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15FFFB">
      <w:pPr>
        <w:pStyle w:val="139"/>
        <w:shd w:val="clear" w:color="auto" w:fill="auto"/>
        <w:wordWrap w:val="0"/>
        <w:adjustRightInd w:val="0"/>
        <w:snapToGrid w:val="0"/>
        <w:spacing w:line="360" w:lineRule="auto"/>
        <w:jc w:val="center"/>
        <w:rPr>
          <w:rFonts w:hint="default" w:ascii="宋体" w:hAnsi="宋体" w:eastAsia="宋体" w:cs="宋体"/>
          <w:b/>
          <w:snapToGrid w:val="0"/>
          <w:color w:val="auto"/>
          <w:kern w:val="0"/>
          <w:sz w:val="44"/>
          <w:szCs w:val="44"/>
          <w:highlight w:val="none"/>
          <w:lang w:val="en-US" w:eastAsia="zh-CN"/>
        </w:rPr>
      </w:pPr>
      <w:r>
        <w:rPr>
          <w:rFonts w:hint="eastAsia" w:ascii="宋体" w:hAnsi="宋体" w:eastAsia="宋体" w:cs="宋体"/>
          <w:b/>
          <w:snapToGrid w:val="0"/>
          <w:color w:val="auto"/>
          <w:kern w:val="0"/>
          <w:sz w:val="48"/>
          <w:szCs w:val="48"/>
          <w:highlight w:val="none"/>
          <w:lang w:eastAsia="zh-CN"/>
        </w:rPr>
        <w:t>武江区江湾镇应急物资仓库建设项目监理</w:t>
      </w:r>
    </w:p>
    <w:p w14:paraId="4D975719">
      <w:pPr>
        <w:pStyle w:val="139"/>
        <w:shd w:val="clear" w:color="auto" w:fill="auto"/>
        <w:wordWrap w:val="0"/>
        <w:adjustRightInd w:val="0"/>
        <w:snapToGrid w:val="0"/>
        <w:spacing w:line="360" w:lineRule="auto"/>
        <w:rPr>
          <w:rFonts w:hint="eastAsia" w:ascii="宋体" w:hAnsi="宋体" w:eastAsia="宋体" w:cs="宋体"/>
          <w:snapToGrid w:val="0"/>
          <w:color w:val="auto"/>
          <w:kern w:val="0"/>
          <w:sz w:val="36"/>
          <w:highlight w:val="none"/>
          <w:u w:val="single"/>
        </w:rPr>
      </w:pPr>
    </w:p>
    <w:p w14:paraId="4F2AB17A">
      <w:pPr>
        <w:pStyle w:val="139"/>
        <w:shd w:val="clear" w:color="auto" w:fill="auto"/>
        <w:wordWrap w:val="0"/>
        <w:adjustRightInd w:val="0"/>
        <w:snapToGrid w:val="0"/>
        <w:spacing w:line="360" w:lineRule="auto"/>
        <w:jc w:val="center"/>
        <w:rPr>
          <w:rFonts w:hint="eastAsia" w:ascii="宋体" w:hAnsi="宋体" w:eastAsia="宋体" w:cs="宋体"/>
          <w:b/>
          <w:bCs/>
          <w:snapToGrid w:val="0"/>
          <w:color w:val="auto"/>
          <w:kern w:val="0"/>
          <w:sz w:val="52"/>
          <w:szCs w:val="52"/>
          <w:highlight w:val="none"/>
          <w:lang w:val="en-US" w:eastAsia="zh-CN"/>
        </w:rPr>
      </w:pPr>
      <w:r>
        <w:rPr>
          <w:rFonts w:hint="eastAsia" w:ascii="宋体" w:hAnsi="宋体" w:eastAsia="宋体" w:cs="宋体"/>
          <w:b/>
          <w:bCs/>
          <w:snapToGrid w:val="0"/>
          <w:color w:val="auto"/>
          <w:kern w:val="0"/>
          <w:sz w:val="96"/>
          <w:szCs w:val="96"/>
          <w:highlight w:val="none"/>
        </w:rPr>
        <w:t>招标文件</w:t>
      </w:r>
    </w:p>
    <w:p w14:paraId="2A9EC3E3">
      <w:pPr>
        <w:pStyle w:val="9"/>
        <w:shd w:val="clear" w:color="auto" w:fill="auto"/>
        <w:rPr>
          <w:rFonts w:hint="eastAsia" w:hAnsi="宋体" w:cs="宋体"/>
          <w:b/>
          <w:bCs/>
          <w:snapToGrid w:val="0"/>
          <w:color w:val="auto"/>
          <w:sz w:val="48"/>
          <w:szCs w:val="48"/>
          <w:highlight w:val="none"/>
        </w:rPr>
      </w:pPr>
    </w:p>
    <w:p w14:paraId="39FEE712">
      <w:pPr>
        <w:rPr>
          <w:rFonts w:hint="eastAsia"/>
          <w:color w:val="auto"/>
          <w:highlight w:val="none"/>
        </w:rPr>
      </w:pPr>
    </w:p>
    <w:tbl>
      <w:tblPr>
        <w:tblStyle w:val="31"/>
        <w:tblpPr w:leftFromText="180" w:rightFromText="180" w:vertAnchor="text" w:horzAnchor="page" w:tblpX="1312" w:tblpY="423"/>
        <w:tblOverlap w:val="never"/>
        <w:tblW w:w="9659" w:type="dxa"/>
        <w:tblInd w:w="0" w:type="dxa"/>
        <w:tblLayout w:type="fixed"/>
        <w:tblCellMar>
          <w:top w:w="0" w:type="dxa"/>
          <w:left w:w="0" w:type="dxa"/>
          <w:bottom w:w="0" w:type="dxa"/>
          <w:right w:w="0" w:type="dxa"/>
        </w:tblCellMar>
      </w:tblPr>
      <w:tblGrid>
        <w:gridCol w:w="4815"/>
        <w:gridCol w:w="4844"/>
      </w:tblGrid>
      <w:tr w14:paraId="603DDFDA">
        <w:tblPrEx>
          <w:tblCellMar>
            <w:top w:w="0" w:type="dxa"/>
            <w:left w:w="0" w:type="dxa"/>
            <w:bottom w:w="0" w:type="dxa"/>
            <w:right w:w="0" w:type="dxa"/>
          </w:tblCellMar>
        </w:tblPrEx>
        <w:trPr>
          <w:trHeight w:val="1057" w:hRule="atLeast"/>
        </w:trPr>
        <w:tc>
          <w:tcPr>
            <w:tcW w:w="4815" w:type="dxa"/>
            <w:noWrap w:val="0"/>
            <w:vAlign w:val="center"/>
          </w:tcPr>
          <w:p w14:paraId="1AA45157">
            <w:pPr>
              <w:pStyle w:val="58"/>
              <w:spacing w:line="240" w:lineRule="auto"/>
              <w:rPr>
                <w:rFonts w:hint="eastAsia" w:hAnsi="宋体" w:cs="宋体"/>
                <w:color w:val="auto"/>
                <w:sz w:val="28"/>
                <w:szCs w:val="28"/>
                <w:highlight w:val="none"/>
              </w:rPr>
            </w:pPr>
            <w:r>
              <w:rPr>
                <w:rFonts w:hint="eastAsia" w:hAnsi="宋体" w:cs="宋体"/>
                <w:color w:val="auto"/>
                <w:sz w:val="28"/>
                <w:szCs w:val="28"/>
                <w:highlight w:val="none"/>
              </w:rPr>
              <w:t>招        标        人（盖 章）：</w:t>
            </w:r>
          </w:p>
        </w:tc>
        <w:tc>
          <w:tcPr>
            <w:tcW w:w="4844" w:type="dxa"/>
            <w:noWrap w:val="0"/>
            <w:vAlign w:val="center"/>
          </w:tcPr>
          <w:p w14:paraId="29B0B35A">
            <w:pPr>
              <w:pStyle w:val="58"/>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韶关市武江区应急管理局</w:t>
            </w:r>
          </w:p>
        </w:tc>
      </w:tr>
      <w:tr w14:paraId="283EC587">
        <w:tblPrEx>
          <w:tblCellMar>
            <w:top w:w="0" w:type="dxa"/>
            <w:left w:w="0" w:type="dxa"/>
            <w:bottom w:w="0" w:type="dxa"/>
            <w:right w:w="0" w:type="dxa"/>
          </w:tblCellMar>
        </w:tblPrEx>
        <w:trPr>
          <w:trHeight w:val="1158" w:hRule="atLeast"/>
        </w:trPr>
        <w:tc>
          <w:tcPr>
            <w:tcW w:w="4815" w:type="dxa"/>
            <w:noWrap w:val="0"/>
            <w:vAlign w:val="center"/>
          </w:tcPr>
          <w:p w14:paraId="546E4F45">
            <w:pPr>
              <w:pStyle w:val="5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招标人工作领导小组负责人（签字）：</w:t>
            </w:r>
          </w:p>
        </w:tc>
        <w:tc>
          <w:tcPr>
            <w:tcW w:w="4844" w:type="dxa"/>
            <w:noWrap w:val="0"/>
            <w:vAlign w:val="center"/>
          </w:tcPr>
          <w:p w14:paraId="7C232D38">
            <w:pPr>
              <w:pStyle w:val="58"/>
              <w:spacing w:line="240" w:lineRule="auto"/>
              <w:rPr>
                <w:rFonts w:hint="eastAsia" w:hAnsi="宋体" w:cs="宋体"/>
                <w:color w:val="auto"/>
                <w:sz w:val="28"/>
                <w:szCs w:val="28"/>
                <w:highlight w:val="none"/>
              </w:rPr>
            </w:pPr>
          </w:p>
        </w:tc>
      </w:tr>
      <w:tr w14:paraId="00F7A803">
        <w:tblPrEx>
          <w:tblCellMar>
            <w:top w:w="0" w:type="dxa"/>
            <w:left w:w="0" w:type="dxa"/>
            <w:bottom w:w="0" w:type="dxa"/>
            <w:right w:w="0" w:type="dxa"/>
          </w:tblCellMar>
        </w:tblPrEx>
        <w:trPr>
          <w:trHeight w:val="1083" w:hRule="atLeast"/>
        </w:trPr>
        <w:tc>
          <w:tcPr>
            <w:tcW w:w="4815" w:type="dxa"/>
            <w:noWrap w:val="0"/>
            <w:vAlign w:val="center"/>
          </w:tcPr>
          <w:p w14:paraId="11F17759">
            <w:pPr>
              <w:pStyle w:val="5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代  理  机  构（盖 章）：</w:t>
            </w:r>
          </w:p>
        </w:tc>
        <w:tc>
          <w:tcPr>
            <w:tcW w:w="4844" w:type="dxa"/>
            <w:noWrap w:val="0"/>
            <w:vAlign w:val="center"/>
          </w:tcPr>
          <w:p w14:paraId="1D53D657">
            <w:pPr>
              <w:pStyle w:val="58"/>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韶关众信项目管理有限公司</w:t>
            </w:r>
          </w:p>
        </w:tc>
      </w:tr>
      <w:tr w14:paraId="4DDEDF31">
        <w:tblPrEx>
          <w:tblCellMar>
            <w:top w:w="0" w:type="dxa"/>
            <w:left w:w="0" w:type="dxa"/>
            <w:bottom w:w="0" w:type="dxa"/>
            <w:right w:w="0" w:type="dxa"/>
          </w:tblCellMar>
        </w:tblPrEx>
        <w:trPr>
          <w:trHeight w:val="1192" w:hRule="atLeast"/>
        </w:trPr>
        <w:tc>
          <w:tcPr>
            <w:tcW w:w="4815" w:type="dxa"/>
            <w:noWrap w:val="0"/>
            <w:vAlign w:val="center"/>
          </w:tcPr>
          <w:p w14:paraId="11DFDA6F">
            <w:pPr>
              <w:pStyle w:val="5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人 （签字）：</w:t>
            </w:r>
          </w:p>
        </w:tc>
        <w:tc>
          <w:tcPr>
            <w:tcW w:w="4844" w:type="dxa"/>
            <w:noWrap w:val="0"/>
            <w:vAlign w:val="center"/>
          </w:tcPr>
          <w:p w14:paraId="5E431CC2">
            <w:pPr>
              <w:pStyle w:val="58"/>
              <w:spacing w:line="240" w:lineRule="auto"/>
              <w:rPr>
                <w:rFonts w:hint="eastAsia" w:hAnsi="宋体" w:cs="宋体"/>
                <w:color w:val="auto"/>
                <w:sz w:val="28"/>
                <w:szCs w:val="28"/>
                <w:highlight w:val="none"/>
              </w:rPr>
            </w:pPr>
          </w:p>
        </w:tc>
      </w:tr>
      <w:tr w14:paraId="6C910399">
        <w:tblPrEx>
          <w:tblCellMar>
            <w:top w:w="0" w:type="dxa"/>
            <w:left w:w="0" w:type="dxa"/>
            <w:bottom w:w="0" w:type="dxa"/>
            <w:right w:w="0" w:type="dxa"/>
          </w:tblCellMar>
        </w:tblPrEx>
        <w:trPr>
          <w:trHeight w:val="1217" w:hRule="atLeast"/>
        </w:trPr>
        <w:tc>
          <w:tcPr>
            <w:tcW w:w="4815" w:type="dxa"/>
            <w:noWrap w:val="0"/>
            <w:vAlign w:val="center"/>
          </w:tcPr>
          <w:p w14:paraId="79310207">
            <w:pPr>
              <w:pStyle w:val="58"/>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招标代理机构项目负责人 （签字）：</w:t>
            </w:r>
          </w:p>
        </w:tc>
        <w:tc>
          <w:tcPr>
            <w:tcW w:w="4844" w:type="dxa"/>
            <w:noWrap w:val="0"/>
            <w:vAlign w:val="center"/>
          </w:tcPr>
          <w:p w14:paraId="70E9C3C5">
            <w:pPr>
              <w:pStyle w:val="58"/>
              <w:spacing w:line="240" w:lineRule="auto"/>
              <w:rPr>
                <w:rFonts w:hint="eastAsia" w:hAnsi="宋体" w:cs="宋体"/>
                <w:color w:val="auto"/>
                <w:sz w:val="28"/>
                <w:szCs w:val="28"/>
                <w:highlight w:val="none"/>
              </w:rPr>
            </w:pPr>
          </w:p>
        </w:tc>
      </w:tr>
      <w:tr w14:paraId="76E30F8E">
        <w:tblPrEx>
          <w:tblCellMar>
            <w:top w:w="0" w:type="dxa"/>
            <w:left w:w="0" w:type="dxa"/>
            <w:bottom w:w="0" w:type="dxa"/>
            <w:right w:w="0" w:type="dxa"/>
          </w:tblCellMar>
        </w:tblPrEx>
        <w:trPr>
          <w:trHeight w:val="950" w:hRule="atLeast"/>
        </w:trPr>
        <w:tc>
          <w:tcPr>
            <w:tcW w:w="4815" w:type="dxa"/>
            <w:noWrap w:val="0"/>
            <w:vAlign w:val="center"/>
          </w:tcPr>
          <w:p w14:paraId="64E894CD">
            <w:pPr>
              <w:pStyle w:val="58"/>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日  期： </w:t>
            </w:r>
          </w:p>
        </w:tc>
        <w:tc>
          <w:tcPr>
            <w:tcW w:w="4844" w:type="dxa"/>
            <w:noWrap w:val="0"/>
            <w:vAlign w:val="center"/>
          </w:tcPr>
          <w:p w14:paraId="04C4C7AC">
            <w:pPr>
              <w:pStyle w:val="58"/>
              <w:spacing w:line="240" w:lineRule="auto"/>
              <w:rPr>
                <w:rFonts w:hint="eastAsia" w:hAnsi="宋体" w:cs="宋体"/>
                <w:color w:val="auto"/>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6</w:t>
            </w:r>
            <w:r>
              <w:rPr>
                <w:rFonts w:hint="eastAsia" w:hAnsi="宋体" w:cs="宋体"/>
                <w:color w:val="auto"/>
                <w:sz w:val="28"/>
                <w:highlight w:val="none"/>
              </w:rPr>
              <w:t>年</w:t>
            </w:r>
            <w:r>
              <w:rPr>
                <w:rFonts w:hint="eastAsia" w:hAnsi="宋体" w:cs="宋体"/>
                <w:color w:val="auto"/>
                <w:sz w:val="28"/>
                <w:highlight w:val="none"/>
                <w:lang w:val="en-US" w:eastAsia="zh-CN"/>
              </w:rPr>
              <w:t>5</w:t>
            </w:r>
            <w:r>
              <w:rPr>
                <w:rFonts w:hint="eastAsia" w:hAnsi="宋体" w:cs="宋体"/>
                <w:color w:val="auto"/>
                <w:sz w:val="28"/>
                <w:highlight w:val="none"/>
              </w:rPr>
              <w:t>月</w:t>
            </w:r>
          </w:p>
        </w:tc>
      </w:tr>
    </w:tbl>
    <w:p w14:paraId="7EA4ECD4">
      <w:pPr>
        <w:pStyle w:val="117"/>
        <w:tabs>
          <w:tab w:val="left" w:pos="1890"/>
          <w:tab w:val="left" w:pos="4935"/>
        </w:tabs>
        <w:rPr>
          <w:rFonts w:hint="eastAsia" w:ascii="宋体" w:hAnsi="宋体" w:eastAsia="宋体" w:cs="宋体"/>
          <w:b/>
          <w:color w:val="auto"/>
          <w:sz w:val="28"/>
          <w:szCs w:val="28"/>
          <w:highlight w:val="none"/>
        </w:rPr>
        <w:sectPr>
          <w:footerReference r:id="rId5" w:type="default"/>
          <w:endnotePr>
            <w:numFmt w:val="decimal"/>
          </w:endnotePr>
          <w:pgSz w:w="11905" w:h="16838"/>
          <w:pgMar w:top="1440" w:right="1417" w:bottom="1440" w:left="1417" w:header="850" w:footer="992" w:gutter="0"/>
          <w:pgNumType w:fmt="decimal" w:start="1"/>
          <w:cols w:space="720" w:num="1"/>
          <w:rtlGutter w:val="0"/>
          <w:docGrid w:type="lines" w:linePitch="317" w:charSpace="0"/>
        </w:sectPr>
      </w:pPr>
    </w:p>
    <w:p w14:paraId="5622FE62">
      <w:pPr>
        <w:spacing w:line="240" w:lineRule="auto"/>
        <w:jc w:val="center"/>
        <w:rPr>
          <w:rFonts w:hAnsi="宋体"/>
          <w:b/>
          <w:bCs/>
          <w:color w:val="auto"/>
          <w:sz w:val="36"/>
          <w:szCs w:val="32"/>
          <w:highlight w:val="none"/>
        </w:rPr>
      </w:pPr>
    </w:p>
    <w:p w14:paraId="69F1A1E8">
      <w:pPr>
        <w:spacing w:line="240" w:lineRule="auto"/>
        <w:jc w:val="center"/>
        <w:rPr>
          <w:rFonts w:hAnsi="宋体"/>
          <w:b/>
          <w:bCs/>
          <w:color w:val="auto"/>
          <w:sz w:val="36"/>
          <w:szCs w:val="32"/>
          <w:highlight w:val="none"/>
        </w:rPr>
      </w:pPr>
    </w:p>
    <w:p w14:paraId="6E8E77DF">
      <w:pPr>
        <w:spacing w:line="240" w:lineRule="auto"/>
        <w:jc w:val="center"/>
        <w:rPr>
          <w:rFonts w:hAnsi="宋体"/>
          <w:b/>
          <w:bCs/>
          <w:color w:val="auto"/>
          <w:sz w:val="36"/>
          <w:szCs w:val="32"/>
          <w:highlight w:val="none"/>
        </w:rPr>
      </w:pPr>
    </w:p>
    <w:p w14:paraId="0673B8DD">
      <w:pPr>
        <w:spacing w:line="240" w:lineRule="auto"/>
        <w:jc w:val="center"/>
        <w:rPr>
          <w:rFonts w:hAnsi="宋体"/>
          <w:b/>
          <w:bCs/>
          <w:color w:val="auto"/>
          <w:sz w:val="36"/>
          <w:szCs w:val="32"/>
          <w:highlight w:val="none"/>
        </w:rPr>
      </w:pPr>
    </w:p>
    <w:p w14:paraId="066D72AA">
      <w:pPr>
        <w:spacing w:line="240" w:lineRule="auto"/>
        <w:jc w:val="center"/>
        <w:rPr>
          <w:rFonts w:hAnsi="宋体"/>
          <w:b/>
          <w:bCs/>
          <w:color w:val="auto"/>
          <w:sz w:val="36"/>
          <w:szCs w:val="32"/>
          <w:highlight w:val="none"/>
        </w:rPr>
      </w:pPr>
    </w:p>
    <w:p w14:paraId="06076F0C">
      <w:pPr>
        <w:spacing w:line="240" w:lineRule="auto"/>
        <w:jc w:val="center"/>
        <w:rPr>
          <w:rFonts w:hAnsi="宋体"/>
          <w:b/>
          <w:bCs/>
          <w:color w:val="auto"/>
          <w:sz w:val="36"/>
          <w:szCs w:val="32"/>
          <w:highlight w:val="none"/>
        </w:rPr>
      </w:pPr>
    </w:p>
    <w:p w14:paraId="4AA42975">
      <w:pPr>
        <w:spacing w:line="240" w:lineRule="auto"/>
        <w:jc w:val="center"/>
        <w:rPr>
          <w:rFonts w:hAnsi="宋体"/>
          <w:b/>
          <w:bCs/>
          <w:color w:val="auto"/>
          <w:sz w:val="36"/>
          <w:szCs w:val="32"/>
          <w:highlight w:val="none"/>
        </w:rPr>
      </w:pPr>
    </w:p>
    <w:p w14:paraId="712A9EE3">
      <w:pPr>
        <w:spacing w:line="240" w:lineRule="auto"/>
        <w:jc w:val="center"/>
        <w:rPr>
          <w:rFonts w:hAnsi="宋体"/>
          <w:b/>
          <w:bCs/>
          <w:color w:val="auto"/>
          <w:sz w:val="36"/>
          <w:szCs w:val="32"/>
          <w:highlight w:val="none"/>
        </w:rPr>
      </w:pPr>
    </w:p>
    <w:p w14:paraId="649DA885">
      <w:pPr>
        <w:spacing w:line="240" w:lineRule="auto"/>
        <w:jc w:val="center"/>
        <w:rPr>
          <w:rFonts w:hAnsi="宋体"/>
          <w:b/>
          <w:bCs/>
          <w:color w:val="auto"/>
          <w:sz w:val="36"/>
          <w:szCs w:val="32"/>
          <w:highlight w:val="none"/>
        </w:rPr>
      </w:pPr>
    </w:p>
    <w:p w14:paraId="7C72B544">
      <w:pPr>
        <w:spacing w:line="240" w:lineRule="auto"/>
        <w:jc w:val="center"/>
        <w:rPr>
          <w:rFonts w:hAnsi="宋体"/>
          <w:b/>
          <w:bCs/>
          <w:color w:val="auto"/>
          <w:sz w:val="36"/>
          <w:szCs w:val="32"/>
          <w:highlight w:val="none"/>
        </w:rPr>
      </w:pPr>
    </w:p>
    <w:p w14:paraId="0127A458">
      <w:pPr>
        <w:spacing w:line="240" w:lineRule="auto"/>
        <w:jc w:val="center"/>
        <w:rPr>
          <w:rFonts w:hAnsi="宋体"/>
          <w:b/>
          <w:bCs/>
          <w:color w:val="auto"/>
          <w:sz w:val="36"/>
          <w:szCs w:val="32"/>
          <w:highlight w:val="none"/>
        </w:rPr>
      </w:pPr>
    </w:p>
    <w:p w14:paraId="5807610B">
      <w:pPr>
        <w:spacing w:line="240" w:lineRule="auto"/>
        <w:jc w:val="center"/>
        <w:rPr>
          <w:rFonts w:hAnsi="宋体"/>
          <w:b/>
          <w:bCs/>
          <w:color w:val="auto"/>
          <w:sz w:val="36"/>
          <w:szCs w:val="32"/>
          <w:highlight w:val="none"/>
        </w:rPr>
      </w:pPr>
    </w:p>
    <w:p w14:paraId="377FA8EA">
      <w:pPr>
        <w:spacing w:line="240" w:lineRule="auto"/>
        <w:jc w:val="center"/>
        <w:rPr>
          <w:rFonts w:hAnsi="宋体"/>
          <w:b/>
          <w:bCs/>
          <w:color w:val="auto"/>
          <w:sz w:val="36"/>
          <w:szCs w:val="32"/>
          <w:highlight w:val="none"/>
        </w:rPr>
      </w:pPr>
    </w:p>
    <w:p w14:paraId="3A5D36E6">
      <w:pPr>
        <w:spacing w:line="240" w:lineRule="auto"/>
        <w:jc w:val="center"/>
        <w:rPr>
          <w:rFonts w:hAnsi="宋体"/>
          <w:b/>
          <w:bCs/>
          <w:color w:val="auto"/>
          <w:sz w:val="36"/>
          <w:szCs w:val="32"/>
          <w:highlight w:val="none"/>
        </w:rPr>
      </w:pPr>
    </w:p>
    <w:p w14:paraId="6BF51DFE">
      <w:pPr>
        <w:spacing w:line="240" w:lineRule="auto"/>
        <w:jc w:val="center"/>
        <w:rPr>
          <w:rFonts w:hAnsi="宋体"/>
          <w:b/>
          <w:bCs/>
          <w:color w:val="auto"/>
          <w:sz w:val="36"/>
          <w:szCs w:val="32"/>
          <w:highlight w:val="none"/>
        </w:rPr>
      </w:pPr>
    </w:p>
    <w:p w14:paraId="552BED8F">
      <w:pPr>
        <w:spacing w:line="240" w:lineRule="auto"/>
        <w:jc w:val="center"/>
        <w:rPr>
          <w:rFonts w:hAnsi="宋体"/>
          <w:b/>
          <w:bCs/>
          <w:color w:val="auto"/>
          <w:sz w:val="36"/>
          <w:szCs w:val="32"/>
          <w:highlight w:val="none"/>
        </w:rPr>
      </w:pPr>
    </w:p>
    <w:p w14:paraId="7D3D645E">
      <w:pPr>
        <w:spacing w:line="240" w:lineRule="auto"/>
        <w:jc w:val="center"/>
        <w:rPr>
          <w:rFonts w:hAnsi="宋体"/>
          <w:b/>
          <w:bCs/>
          <w:color w:val="auto"/>
          <w:sz w:val="36"/>
          <w:szCs w:val="32"/>
          <w:highlight w:val="none"/>
        </w:rPr>
      </w:pPr>
    </w:p>
    <w:p w14:paraId="76CE8816">
      <w:pPr>
        <w:spacing w:line="240" w:lineRule="auto"/>
        <w:jc w:val="center"/>
        <w:rPr>
          <w:rFonts w:hAnsi="宋体"/>
          <w:b/>
          <w:bCs/>
          <w:color w:val="auto"/>
          <w:sz w:val="36"/>
          <w:szCs w:val="32"/>
          <w:highlight w:val="none"/>
        </w:rPr>
      </w:pPr>
    </w:p>
    <w:p w14:paraId="38560CB3">
      <w:pPr>
        <w:spacing w:line="240" w:lineRule="auto"/>
        <w:jc w:val="center"/>
        <w:rPr>
          <w:rFonts w:hAnsi="宋体"/>
          <w:b/>
          <w:bCs/>
          <w:color w:val="auto"/>
          <w:sz w:val="36"/>
          <w:szCs w:val="32"/>
          <w:highlight w:val="none"/>
        </w:rPr>
      </w:pPr>
    </w:p>
    <w:p w14:paraId="731862A0">
      <w:pPr>
        <w:spacing w:line="240" w:lineRule="auto"/>
        <w:jc w:val="center"/>
        <w:rPr>
          <w:rFonts w:hAnsi="宋体"/>
          <w:b/>
          <w:bCs/>
          <w:color w:val="auto"/>
          <w:sz w:val="36"/>
          <w:szCs w:val="32"/>
          <w:highlight w:val="none"/>
        </w:rPr>
      </w:pPr>
    </w:p>
    <w:p w14:paraId="04151467">
      <w:pPr>
        <w:spacing w:line="240" w:lineRule="auto"/>
        <w:jc w:val="center"/>
        <w:rPr>
          <w:rFonts w:hAnsi="宋体"/>
          <w:b/>
          <w:bCs/>
          <w:color w:val="auto"/>
          <w:sz w:val="36"/>
          <w:szCs w:val="32"/>
          <w:highlight w:val="none"/>
        </w:rPr>
      </w:pPr>
    </w:p>
    <w:p w14:paraId="08CC9B48">
      <w:pPr>
        <w:spacing w:line="240" w:lineRule="auto"/>
        <w:jc w:val="center"/>
        <w:rPr>
          <w:rFonts w:hAnsi="宋体"/>
          <w:b/>
          <w:bCs/>
          <w:color w:val="auto"/>
          <w:sz w:val="36"/>
          <w:szCs w:val="32"/>
          <w:highlight w:val="none"/>
        </w:rPr>
      </w:pPr>
    </w:p>
    <w:p w14:paraId="28D3C11D">
      <w:pPr>
        <w:spacing w:line="240" w:lineRule="auto"/>
        <w:jc w:val="center"/>
        <w:rPr>
          <w:rFonts w:hAnsi="宋体"/>
          <w:b/>
          <w:bCs/>
          <w:color w:val="auto"/>
          <w:sz w:val="36"/>
          <w:szCs w:val="32"/>
          <w:highlight w:val="none"/>
        </w:rPr>
      </w:pPr>
    </w:p>
    <w:p w14:paraId="0B126239">
      <w:pPr>
        <w:spacing w:line="240" w:lineRule="auto"/>
        <w:jc w:val="center"/>
        <w:rPr>
          <w:rFonts w:hAnsi="宋体"/>
          <w:b/>
          <w:bCs/>
          <w:color w:val="auto"/>
          <w:sz w:val="36"/>
          <w:szCs w:val="32"/>
          <w:highlight w:val="none"/>
        </w:rPr>
      </w:pPr>
    </w:p>
    <w:p w14:paraId="0A444587">
      <w:pPr>
        <w:spacing w:line="240" w:lineRule="auto"/>
        <w:jc w:val="center"/>
        <w:rPr>
          <w:rFonts w:hAnsi="宋体"/>
          <w:b/>
          <w:bCs/>
          <w:color w:val="auto"/>
          <w:sz w:val="36"/>
          <w:szCs w:val="32"/>
          <w:highlight w:val="none"/>
        </w:rPr>
      </w:pPr>
    </w:p>
    <w:p w14:paraId="033CBDF4">
      <w:pPr>
        <w:spacing w:line="240" w:lineRule="auto"/>
        <w:jc w:val="center"/>
        <w:rPr>
          <w:rFonts w:hAnsi="宋体"/>
          <w:b/>
          <w:bCs/>
          <w:color w:val="auto"/>
          <w:sz w:val="36"/>
          <w:szCs w:val="32"/>
          <w:highlight w:val="none"/>
        </w:rPr>
      </w:pPr>
    </w:p>
    <w:p w14:paraId="3625DE91">
      <w:pPr>
        <w:spacing w:line="240" w:lineRule="auto"/>
        <w:jc w:val="center"/>
        <w:rPr>
          <w:rFonts w:hAnsi="宋体"/>
          <w:b/>
          <w:bCs/>
          <w:color w:val="auto"/>
          <w:sz w:val="36"/>
          <w:szCs w:val="32"/>
          <w:highlight w:val="none"/>
        </w:rPr>
      </w:pPr>
    </w:p>
    <w:p w14:paraId="7EEE2A6C">
      <w:pPr>
        <w:spacing w:line="240" w:lineRule="auto"/>
        <w:jc w:val="center"/>
        <w:rPr>
          <w:rFonts w:hAnsi="宋体"/>
          <w:b/>
          <w:bCs/>
          <w:color w:val="auto"/>
          <w:sz w:val="36"/>
          <w:szCs w:val="32"/>
          <w:highlight w:val="none"/>
        </w:rPr>
      </w:pPr>
    </w:p>
    <w:p w14:paraId="247BB27E">
      <w:pPr>
        <w:spacing w:line="240" w:lineRule="auto"/>
        <w:jc w:val="center"/>
        <w:rPr>
          <w:rFonts w:hAnsi="宋体"/>
          <w:b/>
          <w:bCs/>
          <w:color w:val="auto"/>
          <w:sz w:val="36"/>
          <w:szCs w:val="32"/>
          <w:highlight w:val="none"/>
        </w:rPr>
      </w:pPr>
    </w:p>
    <w:p w14:paraId="65C97C1D">
      <w:pPr>
        <w:spacing w:line="240" w:lineRule="auto"/>
        <w:jc w:val="center"/>
        <w:rPr>
          <w:b/>
          <w:bCs/>
          <w:color w:val="auto"/>
          <w:sz w:val="44"/>
          <w:szCs w:val="32"/>
          <w:highlight w:val="none"/>
        </w:rPr>
      </w:pPr>
      <w:r>
        <w:rPr>
          <w:rFonts w:hAnsi="宋体"/>
          <w:b/>
          <w:bCs/>
          <w:color w:val="auto"/>
          <w:sz w:val="36"/>
          <w:szCs w:val="32"/>
          <w:highlight w:val="none"/>
        </w:rPr>
        <w:t>目</w:t>
      </w:r>
      <w:r>
        <w:rPr>
          <w:rFonts w:hint="eastAsia" w:hAnsi="宋体"/>
          <w:b/>
          <w:bCs/>
          <w:color w:val="auto"/>
          <w:sz w:val="36"/>
          <w:szCs w:val="32"/>
          <w:highlight w:val="none"/>
        </w:rPr>
        <w:t xml:space="preserve">  </w:t>
      </w:r>
      <w:r>
        <w:rPr>
          <w:rFonts w:hAnsi="宋体"/>
          <w:b/>
          <w:bCs/>
          <w:color w:val="auto"/>
          <w:sz w:val="36"/>
          <w:szCs w:val="32"/>
          <w:highlight w:val="none"/>
        </w:rPr>
        <w:t>录</w:t>
      </w:r>
    </w:p>
    <w:p w14:paraId="019C3AC6">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TOC \o "1-3" \h \u </w:instrText>
      </w:r>
      <w:r>
        <w:rPr>
          <w:rFonts w:hint="eastAsia" w:hAnsi="宋体" w:cs="宋体"/>
          <w:color w:val="auto"/>
          <w:szCs w:val="24"/>
          <w:highlight w:val="none"/>
        </w:rPr>
        <w:fldChar w:fldCharType="separate"/>
      </w: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_Toc18357 </w:instrText>
      </w:r>
      <w:r>
        <w:rPr>
          <w:rFonts w:hint="eastAsia" w:hAnsi="宋体" w:cs="宋体"/>
          <w:b/>
          <w:bCs/>
          <w:color w:val="auto"/>
          <w:szCs w:val="24"/>
          <w:highlight w:val="none"/>
        </w:rPr>
        <w:fldChar w:fldCharType="separate"/>
      </w:r>
      <w:r>
        <w:rPr>
          <w:rFonts w:hint="eastAsia" w:ascii="Times New Roman"/>
          <w:b/>
          <w:bCs/>
          <w:snapToGrid w:val="0"/>
          <w:color w:val="auto"/>
          <w:szCs w:val="22"/>
          <w:highlight w:val="none"/>
        </w:rPr>
        <w:t>第一章 投标人须知</w:t>
      </w:r>
      <w:r>
        <w:rPr>
          <w:b/>
          <w:bCs/>
          <w:color w:val="auto"/>
          <w:highlight w:val="none"/>
        </w:rPr>
        <w:tab/>
      </w:r>
      <w:r>
        <w:rPr>
          <w:b/>
          <w:bCs/>
          <w:color w:val="auto"/>
          <w:highlight w:val="none"/>
        </w:rPr>
        <w:fldChar w:fldCharType="begin"/>
      </w:r>
      <w:r>
        <w:rPr>
          <w:b/>
          <w:bCs/>
          <w:color w:val="auto"/>
          <w:highlight w:val="none"/>
        </w:rPr>
        <w:instrText xml:space="preserve"> PAGEREF _Toc18357 \h </w:instrText>
      </w:r>
      <w:r>
        <w:rPr>
          <w:b/>
          <w:bCs/>
          <w:color w:val="auto"/>
          <w:highlight w:val="none"/>
        </w:rPr>
        <w:fldChar w:fldCharType="separate"/>
      </w:r>
      <w:r>
        <w:rPr>
          <w:b/>
          <w:bCs/>
          <w:color w:val="auto"/>
          <w:highlight w:val="none"/>
        </w:rPr>
        <w:t>4</w:t>
      </w:r>
      <w:r>
        <w:rPr>
          <w:b/>
          <w:bCs/>
          <w:color w:val="auto"/>
          <w:highlight w:val="none"/>
        </w:rPr>
        <w:fldChar w:fldCharType="end"/>
      </w:r>
      <w:r>
        <w:rPr>
          <w:rFonts w:hint="eastAsia" w:hAnsi="宋体" w:cs="宋体"/>
          <w:b/>
          <w:bCs/>
          <w:color w:val="auto"/>
          <w:szCs w:val="24"/>
          <w:highlight w:val="none"/>
        </w:rPr>
        <w:fldChar w:fldCharType="end"/>
      </w:r>
    </w:p>
    <w:p w14:paraId="57F1E274">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_Toc1463 </w:instrText>
      </w:r>
      <w:r>
        <w:rPr>
          <w:rFonts w:hint="eastAsia" w:hAnsi="宋体" w:cs="宋体"/>
          <w:color w:val="auto"/>
          <w:szCs w:val="24"/>
          <w:highlight w:val="none"/>
        </w:rPr>
        <w:fldChar w:fldCharType="separate"/>
      </w:r>
      <w:r>
        <w:rPr>
          <w:rFonts w:hint="eastAsia" w:ascii="Times New Roman"/>
          <w:snapToGrid w:val="0"/>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_Toc1463 \h </w:instrText>
      </w:r>
      <w:r>
        <w:rPr>
          <w:color w:val="auto"/>
          <w:highlight w:val="none"/>
        </w:rPr>
        <w:fldChar w:fldCharType="separate"/>
      </w:r>
      <w:r>
        <w:rPr>
          <w:color w:val="auto"/>
          <w:highlight w:val="none"/>
        </w:rPr>
        <w:t>4</w:t>
      </w:r>
      <w:r>
        <w:rPr>
          <w:color w:val="auto"/>
          <w:highlight w:val="none"/>
        </w:rPr>
        <w:fldChar w:fldCharType="end"/>
      </w:r>
      <w:r>
        <w:rPr>
          <w:rFonts w:hint="eastAsia" w:hAnsi="宋体" w:cs="宋体"/>
          <w:color w:val="auto"/>
          <w:szCs w:val="24"/>
          <w:highlight w:val="none"/>
        </w:rPr>
        <w:fldChar w:fldCharType="end"/>
      </w:r>
    </w:p>
    <w:p w14:paraId="57CA3091">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_Toc10191 </w:instrText>
      </w:r>
      <w:r>
        <w:rPr>
          <w:rFonts w:hint="eastAsia" w:hAnsi="宋体" w:cs="宋体"/>
          <w:color w:val="auto"/>
          <w:szCs w:val="24"/>
          <w:highlight w:val="none"/>
        </w:rPr>
        <w:fldChar w:fldCharType="separate"/>
      </w:r>
      <w:r>
        <w:rPr>
          <w:rFonts w:hint="eastAsia" w:ascii="Times New Roman"/>
          <w:snapToGrid w:val="0"/>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_Toc10191 \h </w:instrText>
      </w:r>
      <w:r>
        <w:rPr>
          <w:color w:val="auto"/>
          <w:highlight w:val="none"/>
        </w:rPr>
        <w:fldChar w:fldCharType="separate"/>
      </w:r>
      <w:r>
        <w:rPr>
          <w:color w:val="auto"/>
          <w:highlight w:val="none"/>
        </w:rPr>
        <w:t>11</w:t>
      </w:r>
      <w:r>
        <w:rPr>
          <w:color w:val="auto"/>
          <w:highlight w:val="none"/>
        </w:rPr>
        <w:fldChar w:fldCharType="end"/>
      </w:r>
      <w:r>
        <w:rPr>
          <w:rFonts w:hint="eastAsia" w:hAnsi="宋体" w:cs="宋体"/>
          <w:color w:val="auto"/>
          <w:szCs w:val="24"/>
          <w:highlight w:val="none"/>
        </w:rPr>
        <w:fldChar w:fldCharType="end"/>
      </w:r>
    </w:p>
    <w:p w14:paraId="504D8C73">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_Toc5529 </w:instrText>
      </w:r>
      <w:r>
        <w:rPr>
          <w:rFonts w:hint="eastAsia" w:hAnsi="宋体" w:cs="宋体"/>
          <w:color w:val="auto"/>
          <w:szCs w:val="24"/>
          <w:highlight w:val="none"/>
        </w:rPr>
        <w:fldChar w:fldCharType="separate"/>
      </w:r>
      <w:r>
        <w:rPr>
          <w:rFonts w:hint="eastAsia"/>
          <w:bCs/>
          <w:color w:val="auto"/>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_Toc5529 \h </w:instrText>
      </w:r>
      <w:r>
        <w:rPr>
          <w:color w:val="auto"/>
          <w:highlight w:val="none"/>
        </w:rPr>
        <w:fldChar w:fldCharType="separate"/>
      </w:r>
      <w:r>
        <w:rPr>
          <w:color w:val="auto"/>
          <w:highlight w:val="none"/>
        </w:rPr>
        <w:t>12</w:t>
      </w:r>
      <w:r>
        <w:rPr>
          <w:color w:val="auto"/>
          <w:highlight w:val="none"/>
        </w:rPr>
        <w:fldChar w:fldCharType="end"/>
      </w:r>
      <w:r>
        <w:rPr>
          <w:rFonts w:hint="eastAsia" w:hAnsi="宋体" w:cs="宋体"/>
          <w:color w:val="auto"/>
          <w:szCs w:val="24"/>
          <w:highlight w:val="none"/>
        </w:rPr>
        <w:fldChar w:fldCharType="end"/>
      </w:r>
    </w:p>
    <w:p w14:paraId="71379DBA">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_Toc22199 </w:instrText>
      </w:r>
      <w:r>
        <w:rPr>
          <w:rFonts w:hint="eastAsia" w:hAnsi="宋体" w:cs="宋体"/>
          <w:color w:val="auto"/>
          <w:szCs w:val="24"/>
          <w:highlight w:val="none"/>
        </w:rPr>
        <w:fldChar w:fldCharType="separate"/>
      </w:r>
      <w:r>
        <w:rPr>
          <w:rFonts w:hint="eastAsia"/>
          <w:bCs/>
          <w:snapToGrid w:val="0"/>
          <w:color w:val="auto"/>
          <w:kern w:val="0"/>
          <w:highlight w:val="none"/>
        </w:rPr>
        <w:t>1．项目概况、招标范围和标段划分、投标费用</w:t>
      </w:r>
      <w:r>
        <w:rPr>
          <w:color w:val="auto"/>
          <w:highlight w:val="none"/>
        </w:rPr>
        <w:tab/>
      </w:r>
      <w:r>
        <w:rPr>
          <w:color w:val="auto"/>
          <w:highlight w:val="none"/>
        </w:rPr>
        <w:fldChar w:fldCharType="begin"/>
      </w:r>
      <w:r>
        <w:rPr>
          <w:color w:val="auto"/>
          <w:highlight w:val="none"/>
        </w:rPr>
        <w:instrText xml:space="preserve"> PAGEREF _Toc22199 \h </w:instrText>
      </w:r>
      <w:r>
        <w:rPr>
          <w:color w:val="auto"/>
          <w:highlight w:val="none"/>
        </w:rPr>
        <w:fldChar w:fldCharType="separate"/>
      </w:r>
      <w:r>
        <w:rPr>
          <w:color w:val="auto"/>
          <w:highlight w:val="none"/>
        </w:rPr>
        <w:t>12</w:t>
      </w:r>
      <w:r>
        <w:rPr>
          <w:color w:val="auto"/>
          <w:highlight w:val="none"/>
        </w:rPr>
        <w:fldChar w:fldCharType="end"/>
      </w:r>
      <w:r>
        <w:rPr>
          <w:rFonts w:hint="eastAsia" w:hAnsi="宋体" w:cs="宋体"/>
          <w:color w:val="auto"/>
          <w:szCs w:val="24"/>
          <w:highlight w:val="none"/>
        </w:rPr>
        <w:fldChar w:fldCharType="end"/>
      </w:r>
    </w:p>
    <w:p w14:paraId="71DA38F9">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_Toc8159 </w:instrText>
      </w:r>
      <w:r>
        <w:rPr>
          <w:rFonts w:hint="eastAsia" w:hAnsi="宋体" w:cs="宋体"/>
          <w:color w:val="auto"/>
          <w:szCs w:val="24"/>
          <w:highlight w:val="none"/>
        </w:rPr>
        <w:fldChar w:fldCharType="separate"/>
      </w:r>
      <w:r>
        <w:rPr>
          <w:rFonts w:hint="eastAsia"/>
          <w:bCs/>
          <w:snapToGrid w:val="0"/>
          <w:color w:val="auto"/>
          <w:kern w:val="0"/>
          <w:highlight w:val="none"/>
        </w:rPr>
        <w:t>2．投标人资格要求</w:t>
      </w:r>
      <w:r>
        <w:rPr>
          <w:color w:val="auto"/>
          <w:highlight w:val="none"/>
        </w:rPr>
        <w:tab/>
      </w:r>
      <w:r>
        <w:rPr>
          <w:color w:val="auto"/>
          <w:highlight w:val="none"/>
        </w:rPr>
        <w:fldChar w:fldCharType="begin"/>
      </w:r>
      <w:r>
        <w:rPr>
          <w:color w:val="auto"/>
          <w:highlight w:val="none"/>
        </w:rPr>
        <w:instrText xml:space="preserve"> PAGEREF _Toc8159 \h </w:instrText>
      </w:r>
      <w:r>
        <w:rPr>
          <w:color w:val="auto"/>
          <w:highlight w:val="none"/>
        </w:rPr>
        <w:fldChar w:fldCharType="separate"/>
      </w:r>
      <w:r>
        <w:rPr>
          <w:color w:val="auto"/>
          <w:highlight w:val="none"/>
        </w:rPr>
        <w:t>12</w:t>
      </w:r>
      <w:r>
        <w:rPr>
          <w:color w:val="auto"/>
          <w:highlight w:val="none"/>
        </w:rPr>
        <w:fldChar w:fldCharType="end"/>
      </w:r>
      <w:r>
        <w:rPr>
          <w:rFonts w:hint="eastAsia" w:hAnsi="宋体" w:cs="宋体"/>
          <w:color w:val="auto"/>
          <w:szCs w:val="24"/>
          <w:highlight w:val="none"/>
        </w:rPr>
        <w:fldChar w:fldCharType="end"/>
      </w:r>
    </w:p>
    <w:p w14:paraId="6B2FC6EB">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_Toc23314 </w:instrText>
      </w:r>
      <w:r>
        <w:rPr>
          <w:rFonts w:hint="eastAsia" w:hAnsi="宋体" w:cs="宋体"/>
          <w:color w:val="auto"/>
          <w:szCs w:val="24"/>
          <w:highlight w:val="none"/>
        </w:rPr>
        <w:fldChar w:fldCharType="separate"/>
      </w:r>
      <w:r>
        <w:rPr>
          <w:rFonts w:hint="eastAsia" w:ascii="宋体" w:hAnsi="宋体" w:cs="宋体"/>
          <w:bCs/>
          <w:snapToGrid w:val="0"/>
          <w:color w:val="auto"/>
          <w:kern w:val="0"/>
          <w:highlight w:val="none"/>
        </w:rPr>
        <w:t>3．获取招标文件</w:t>
      </w:r>
      <w:r>
        <w:rPr>
          <w:color w:val="auto"/>
          <w:highlight w:val="none"/>
        </w:rPr>
        <w:tab/>
      </w:r>
      <w:r>
        <w:rPr>
          <w:color w:val="auto"/>
          <w:highlight w:val="none"/>
        </w:rPr>
        <w:fldChar w:fldCharType="begin"/>
      </w:r>
      <w:r>
        <w:rPr>
          <w:color w:val="auto"/>
          <w:highlight w:val="none"/>
        </w:rPr>
        <w:instrText xml:space="preserve"> PAGEREF _Toc23314 \h </w:instrText>
      </w:r>
      <w:r>
        <w:rPr>
          <w:color w:val="auto"/>
          <w:highlight w:val="none"/>
        </w:rPr>
        <w:fldChar w:fldCharType="separate"/>
      </w:r>
      <w:r>
        <w:rPr>
          <w:color w:val="auto"/>
          <w:highlight w:val="none"/>
        </w:rPr>
        <w:t>14</w:t>
      </w:r>
      <w:r>
        <w:rPr>
          <w:color w:val="auto"/>
          <w:highlight w:val="none"/>
        </w:rPr>
        <w:fldChar w:fldCharType="end"/>
      </w:r>
      <w:r>
        <w:rPr>
          <w:rFonts w:hint="eastAsia" w:hAnsi="宋体" w:cs="宋体"/>
          <w:color w:val="auto"/>
          <w:szCs w:val="24"/>
          <w:highlight w:val="none"/>
        </w:rPr>
        <w:fldChar w:fldCharType="end"/>
      </w:r>
    </w:p>
    <w:p w14:paraId="5F073A21">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_Toc28899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4．服务期限</w:t>
      </w:r>
      <w:r>
        <w:rPr>
          <w:color w:val="auto"/>
          <w:highlight w:val="none"/>
        </w:rPr>
        <w:tab/>
      </w:r>
      <w:r>
        <w:rPr>
          <w:color w:val="auto"/>
          <w:highlight w:val="none"/>
        </w:rPr>
        <w:fldChar w:fldCharType="begin"/>
      </w:r>
      <w:r>
        <w:rPr>
          <w:color w:val="auto"/>
          <w:highlight w:val="none"/>
        </w:rPr>
        <w:instrText xml:space="preserve"> PAGEREF _Toc28899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szCs w:val="24"/>
          <w:highlight w:val="none"/>
        </w:rPr>
        <w:fldChar w:fldCharType="end"/>
      </w:r>
    </w:p>
    <w:p w14:paraId="0F95C6F4">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_Toc30430 </w:instrText>
      </w:r>
      <w:r>
        <w:rPr>
          <w:rFonts w:hint="eastAsia" w:hAnsi="宋体" w:cs="宋体"/>
          <w:color w:val="auto"/>
          <w:szCs w:val="24"/>
          <w:highlight w:val="none"/>
        </w:rPr>
        <w:fldChar w:fldCharType="separate"/>
      </w:r>
      <w:r>
        <w:rPr>
          <w:rFonts w:hint="eastAsia" w:hAnsi="宋体" w:cs="宋体"/>
          <w:snapToGrid w:val="0"/>
          <w:color w:val="auto"/>
          <w:highlight w:val="none"/>
        </w:rPr>
        <w:t>5．服务标准</w:t>
      </w:r>
      <w:r>
        <w:rPr>
          <w:color w:val="auto"/>
          <w:highlight w:val="none"/>
        </w:rPr>
        <w:tab/>
      </w:r>
      <w:r>
        <w:rPr>
          <w:color w:val="auto"/>
          <w:highlight w:val="none"/>
        </w:rPr>
        <w:fldChar w:fldCharType="begin"/>
      </w:r>
      <w:r>
        <w:rPr>
          <w:color w:val="auto"/>
          <w:highlight w:val="none"/>
        </w:rPr>
        <w:instrText xml:space="preserve"> PAGEREF _Toc30430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szCs w:val="24"/>
          <w:highlight w:val="none"/>
        </w:rPr>
        <w:fldChar w:fldCharType="end"/>
      </w:r>
    </w:p>
    <w:p w14:paraId="147AADB3">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_Toc30102 </w:instrText>
      </w:r>
      <w:r>
        <w:rPr>
          <w:rFonts w:hint="eastAsia" w:hAnsi="宋体" w:cs="宋体"/>
          <w:color w:val="auto"/>
          <w:szCs w:val="24"/>
          <w:highlight w:val="none"/>
        </w:rPr>
        <w:fldChar w:fldCharType="separate"/>
      </w:r>
      <w:r>
        <w:rPr>
          <w:rFonts w:hint="eastAsia" w:hAnsi="宋体" w:cs="宋体"/>
          <w:snapToGrid w:val="0"/>
          <w:color w:val="auto"/>
          <w:highlight w:val="none"/>
        </w:rPr>
        <w:t>6．现场踏勘</w:t>
      </w:r>
      <w:r>
        <w:rPr>
          <w:color w:val="auto"/>
          <w:highlight w:val="none"/>
        </w:rPr>
        <w:tab/>
      </w:r>
      <w:r>
        <w:rPr>
          <w:color w:val="auto"/>
          <w:highlight w:val="none"/>
        </w:rPr>
        <w:fldChar w:fldCharType="begin"/>
      </w:r>
      <w:r>
        <w:rPr>
          <w:color w:val="auto"/>
          <w:highlight w:val="none"/>
        </w:rPr>
        <w:instrText xml:space="preserve"> PAGEREF _Toc30102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szCs w:val="24"/>
          <w:highlight w:val="none"/>
        </w:rPr>
        <w:fldChar w:fldCharType="end"/>
      </w:r>
    </w:p>
    <w:p w14:paraId="5D18F943">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_Toc21156 </w:instrText>
      </w:r>
      <w:r>
        <w:rPr>
          <w:rFonts w:hint="eastAsia" w:hAnsi="宋体" w:cs="宋体"/>
          <w:color w:val="auto"/>
          <w:szCs w:val="24"/>
          <w:highlight w:val="none"/>
        </w:rPr>
        <w:fldChar w:fldCharType="separate"/>
      </w:r>
      <w:r>
        <w:rPr>
          <w:rFonts w:hint="eastAsia" w:hAnsi="宋体" w:cs="宋体"/>
          <w:snapToGrid w:val="0"/>
          <w:color w:val="auto"/>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_Toc21156 \h </w:instrText>
      </w:r>
      <w:r>
        <w:rPr>
          <w:color w:val="auto"/>
          <w:highlight w:val="none"/>
        </w:rPr>
        <w:fldChar w:fldCharType="separate"/>
      </w:r>
      <w:r>
        <w:rPr>
          <w:color w:val="auto"/>
          <w:highlight w:val="none"/>
        </w:rPr>
        <w:t>17</w:t>
      </w:r>
      <w:r>
        <w:rPr>
          <w:color w:val="auto"/>
          <w:highlight w:val="none"/>
        </w:rPr>
        <w:fldChar w:fldCharType="end"/>
      </w:r>
      <w:r>
        <w:rPr>
          <w:rFonts w:hint="eastAsia" w:hAnsi="宋体" w:cs="宋体"/>
          <w:color w:val="auto"/>
          <w:szCs w:val="24"/>
          <w:highlight w:val="none"/>
        </w:rPr>
        <w:fldChar w:fldCharType="end"/>
      </w:r>
    </w:p>
    <w:p w14:paraId="15B49BBD">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_Toc20044 </w:instrText>
      </w:r>
      <w:r>
        <w:rPr>
          <w:rFonts w:hint="eastAsia" w:hAnsi="宋体" w:cs="宋体"/>
          <w:color w:val="auto"/>
          <w:szCs w:val="24"/>
          <w:highlight w:val="none"/>
        </w:rPr>
        <w:fldChar w:fldCharType="separate"/>
      </w:r>
      <w:r>
        <w:rPr>
          <w:rFonts w:hint="eastAsia" w:hAnsi="宋体" w:cs="宋体"/>
          <w:snapToGrid w:val="0"/>
          <w:color w:val="auto"/>
          <w:highlight w:val="none"/>
        </w:rPr>
        <w:t>8．最高投标限价</w:t>
      </w:r>
      <w:r>
        <w:rPr>
          <w:color w:val="auto"/>
          <w:highlight w:val="none"/>
        </w:rPr>
        <w:tab/>
      </w:r>
      <w:r>
        <w:rPr>
          <w:color w:val="auto"/>
          <w:highlight w:val="none"/>
        </w:rPr>
        <w:fldChar w:fldCharType="begin"/>
      </w:r>
      <w:r>
        <w:rPr>
          <w:color w:val="auto"/>
          <w:highlight w:val="none"/>
        </w:rPr>
        <w:instrText xml:space="preserve"> PAGEREF _Toc20044 \h </w:instrText>
      </w:r>
      <w:r>
        <w:rPr>
          <w:color w:val="auto"/>
          <w:highlight w:val="none"/>
        </w:rPr>
        <w:fldChar w:fldCharType="separate"/>
      </w:r>
      <w:r>
        <w:rPr>
          <w:color w:val="auto"/>
          <w:highlight w:val="none"/>
        </w:rPr>
        <w:t>17</w:t>
      </w:r>
      <w:r>
        <w:rPr>
          <w:color w:val="auto"/>
          <w:highlight w:val="none"/>
        </w:rPr>
        <w:fldChar w:fldCharType="end"/>
      </w:r>
      <w:r>
        <w:rPr>
          <w:rFonts w:hint="eastAsia" w:hAnsi="宋体" w:cs="宋体"/>
          <w:color w:val="auto"/>
          <w:szCs w:val="24"/>
          <w:highlight w:val="none"/>
        </w:rPr>
        <w:fldChar w:fldCharType="end"/>
      </w:r>
    </w:p>
    <w:p w14:paraId="4150DC79">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_Toc1935 </w:instrText>
      </w:r>
      <w:r>
        <w:rPr>
          <w:rFonts w:hint="eastAsia" w:hAnsi="宋体" w:cs="宋体"/>
          <w:color w:val="auto"/>
          <w:szCs w:val="24"/>
          <w:highlight w:val="none"/>
        </w:rPr>
        <w:fldChar w:fldCharType="separate"/>
      </w:r>
      <w:r>
        <w:rPr>
          <w:rFonts w:hint="eastAsia" w:hAnsi="宋体" w:cs="宋体"/>
          <w:snapToGrid w:val="0"/>
          <w:color w:val="auto"/>
          <w:highlight w:val="none"/>
        </w:rPr>
        <w:t>9．投标报价</w:t>
      </w:r>
      <w:r>
        <w:rPr>
          <w:color w:val="auto"/>
          <w:highlight w:val="none"/>
        </w:rPr>
        <w:tab/>
      </w:r>
      <w:r>
        <w:rPr>
          <w:color w:val="auto"/>
          <w:highlight w:val="none"/>
        </w:rPr>
        <w:fldChar w:fldCharType="begin"/>
      </w:r>
      <w:r>
        <w:rPr>
          <w:color w:val="auto"/>
          <w:highlight w:val="none"/>
        </w:rPr>
        <w:instrText xml:space="preserve"> PAGEREF _Toc1935 \h </w:instrText>
      </w:r>
      <w:r>
        <w:rPr>
          <w:color w:val="auto"/>
          <w:highlight w:val="none"/>
        </w:rPr>
        <w:fldChar w:fldCharType="separate"/>
      </w:r>
      <w:r>
        <w:rPr>
          <w:color w:val="auto"/>
          <w:highlight w:val="none"/>
        </w:rPr>
        <w:t>17</w:t>
      </w:r>
      <w:r>
        <w:rPr>
          <w:color w:val="auto"/>
          <w:highlight w:val="none"/>
        </w:rPr>
        <w:fldChar w:fldCharType="end"/>
      </w:r>
      <w:r>
        <w:rPr>
          <w:rFonts w:hint="eastAsia" w:hAnsi="宋体" w:cs="宋体"/>
          <w:color w:val="auto"/>
          <w:szCs w:val="24"/>
          <w:highlight w:val="none"/>
        </w:rPr>
        <w:fldChar w:fldCharType="end"/>
      </w:r>
    </w:p>
    <w:p w14:paraId="78516357">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_Toc26881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10．投标文件的编制要求</w:t>
      </w:r>
      <w:r>
        <w:rPr>
          <w:color w:val="auto"/>
          <w:highlight w:val="none"/>
        </w:rPr>
        <w:tab/>
      </w:r>
      <w:r>
        <w:rPr>
          <w:color w:val="auto"/>
          <w:highlight w:val="none"/>
        </w:rPr>
        <w:fldChar w:fldCharType="begin"/>
      </w:r>
      <w:r>
        <w:rPr>
          <w:color w:val="auto"/>
          <w:highlight w:val="none"/>
        </w:rPr>
        <w:instrText xml:space="preserve"> PAGEREF _Toc26881 \h </w:instrText>
      </w:r>
      <w:r>
        <w:rPr>
          <w:color w:val="auto"/>
          <w:highlight w:val="none"/>
        </w:rPr>
        <w:fldChar w:fldCharType="separate"/>
      </w:r>
      <w:r>
        <w:rPr>
          <w:color w:val="auto"/>
          <w:highlight w:val="none"/>
        </w:rPr>
        <w:t>18</w:t>
      </w:r>
      <w:r>
        <w:rPr>
          <w:color w:val="auto"/>
          <w:highlight w:val="none"/>
        </w:rPr>
        <w:fldChar w:fldCharType="end"/>
      </w:r>
      <w:r>
        <w:rPr>
          <w:rFonts w:hint="eastAsia" w:hAnsi="宋体" w:cs="宋体"/>
          <w:color w:val="auto"/>
          <w:szCs w:val="24"/>
          <w:highlight w:val="none"/>
        </w:rPr>
        <w:fldChar w:fldCharType="end"/>
      </w:r>
    </w:p>
    <w:p w14:paraId="49CC8296">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_Toc10022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11．电子投标</w:t>
      </w:r>
      <w:r>
        <w:rPr>
          <w:color w:val="auto"/>
          <w:highlight w:val="none"/>
        </w:rPr>
        <w:tab/>
      </w:r>
      <w:r>
        <w:rPr>
          <w:color w:val="auto"/>
          <w:highlight w:val="none"/>
        </w:rPr>
        <w:fldChar w:fldCharType="begin"/>
      </w:r>
      <w:r>
        <w:rPr>
          <w:color w:val="auto"/>
          <w:highlight w:val="none"/>
        </w:rPr>
        <w:instrText xml:space="preserve"> PAGEREF _Toc10022 \h </w:instrText>
      </w:r>
      <w:r>
        <w:rPr>
          <w:color w:val="auto"/>
          <w:highlight w:val="none"/>
        </w:rPr>
        <w:fldChar w:fldCharType="separate"/>
      </w:r>
      <w:r>
        <w:rPr>
          <w:color w:val="auto"/>
          <w:highlight w:val="none"/>
        </w:rPr>
        <w:t>21</w:t>
      </w:r>
      <w:r>
        <w:rPr>
          <w:color w:val="auto"/>
          <w:highlight w:val="none"/>
        </w:rPr>
        <w:fldChar w:fldCharType="end"/>
      </w:r>
      <w:r>
        <w:rPr>
          <w:rFonts w:hint="eastAsia" w:hAnsi="宋体" w:cs="宋体"/>
          <w:color w:val="auto"/>
          <w:szCs w:val="24"/>
          <w:highlight w:val="none"/>
        </w:rPr>
        <w:fldChar w:fldCharType="end"/>
      </w:r>
    </w:p>
    <w:p w14:paraId="768D3F81">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_Toc26299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12. 投标文件的提交</w:t>
      </w:r>
      <w:r>
        <w:rPr>
          <w:color w:val="auto"/>
          <w:highlight w:val="none"/>
        </w:rPr>
        <w:tab/>
      </w:r>
      <w:r>
        <w:rPr>
          <w:color w:val="auto"/>
          <w:highlight w:val="none"/>
        </w:rPr>
        <w:fldChar w:fldCharType="begin"/>
      </w:r>
      <w:r>
        <w:rPr>
          <w:color w:val="auto"/>
          <w:highlight w:val="none"/>
        </w:rPr>
        <w:instrText xml:space="preserve"> PAGEREF _Toc26299 \h </w:instrText>
      </w:r>
      <w:r>
        <w:rPr>
          <w:color w:val="auto"/>
          <w:highlight w:val="none"/>
        </w:rPr>
        <w:fldChar w:fldCharType="separate"/>
      </w:r>
      <w:r>
        <w:rPr>
          <w:color w:val="auto"/>
          <w:highlight w:val="none"/>
        </w:rPr>
        <w:t>22</w:t>
      </w:r>
      <w:r>
        <w:rPr>
          <w:color w:val="auto"/>
          <w:highlight w:val="none"/>
        </w:rPr>
        <w:fldChar w:fldCharType="end"/>
      </w:r>
      <w:r>
        <w:rPr>
          <w:rFonts w:hint="eastAsia" w:hAnsi="宋体" w:cs="宋体"/>
          <w:color w:val="auto"/>
          <w:szCs w:val="24"/>
          <w:highlight w:val="none"/>
        </w:rPr>
        <w:fldChar w:fldCharType="end"/>
      </w:r>
    </w:p>
    <w:p w14:paraId="36970615">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_Toc5536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13．投标有效期</w:t>
      </w:r>
      <w:r>
        <w:rPr>
          <w:color w:val="auto"/>
          <w:highlight w:val="none"/>
        </w:rPr>
        <w:tab/>
      </w:r>
      <w:r>
        <w:rPr>
          <w:color w:val="auto"/>
          <w:highlight w:val="none"/>
        </w:rPr>
        <w:fldChar w:fldCharType="begin"/>
      </w:r>
      <w:r>
        <w:rPr>
          <w:color w:val="auto"/>
          <w:highlight w:val="none"/>
        </w:rPr>
        <w:instrText xml:space="preserve"> PAGEREF _Toc5536 \h </w:instrText>
      </w:r>
      <w:r>
        <w:rPr>
          <w:color w:val="auto"/>
          <w:highlight w:val="none"/>
        </w:rPr>
        <w:fldChar w:fldCharType="separate"/>
      </w:r>
      <w:r>
        <w:rPr>
          <w:color w:val="auto"/>
          <w:highlight w:val="none"/>
        </w:rPr>
        <w:t>22</w:t>
      </w:r>
      <w:r>
        <w:rPr>
          <w:color w:val="auto"/>
          <w:highlight w:val="none"/>
        </w:rPr>
        <w:fldChar w:fldCharType="end"/>
      </w:r>
      <w:r>
        <w:rPr>
          <w:rFonts w:hint="eastAsia" w:hAnsi="宋体" w:cs="宋体"/>
          <w:color w:val="auto"/>
          <w:szCs w:val="24"/>
          <w:highlight w:val="none"/>
        </w:rPr>
        <w:fldChar w:fldCharType="end"/>
      </w:r>
    </w:p>
    <w:p w14:paraId="31500035">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_Toc27886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14．开标</w:t>
      </w:r>
      <w:r>
        <w:rPr>
          <w:color w:val="auto"/>
          <w:highlight w:val="none"/>
        </w:rPr>
        <w:tab/>
      </w:r>
      <w:r>
        <w:rPr>
          <w:color w:val="auto"/>
          <w:highlight w:val="none"/>
        </w:rPr>
        <w:fldChar w:fldCharType="begin"/>
      </w:r>
      <w:r>
        <w:rPr>
          <w:color w:val="auto"/>
          <w:highlight w:val="none"/>
        </w:rPr>
        <w:instrText xml:space="preserve"> PAGEREF _Toc27886 \h </w:instrText>
      </w:r>
      <w:r>
        <w:rPr>
          <w:color w:val="auto"/>
          <w:highlight w:val="none"/>
        </w:rPr>
        <w:fldChar w:fldCharType="separate"/>
      </w:r>
      <w:r>
        <w:rPr>
          <w:color w:val="auto"/>
          <w:highlight w:val="none"/>
        </w:rPr>
        <w:t>22</w:t>
      </w:r>
      <w:r>
        <w:rPr>
          <w:color w:val="auto"/>
          <w:highlight w:val="none"/>
        </w:rPr>
        <w:fldChar w:fldCharType="end"/>
      </w:r>
      <w:r>
        <w:rPr>
          <w:rFonts w:hint="eastAsia" w:hAnsi="宋体" w:cs="宋体"/>
          <w:color w:val="auto"/>
          <w:szCs w:val="24"/>
          <w:highlight w:val="none"/>
        </w:rPr>
        <w:fldChar w:fldCharType="end"/>
      </w:r>
    </w:p>
    <w:p w14:paraId="05DDDFEF">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_Toc29759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15．评标</w:t>
      </w:r>
      <w:r>
        <w:rPr>
          <w:color w:val="auto"/>
          <w:highlight w:val="none"/>
        </w:rPr>
        <w:tab/>
      </w:r>
      <w:r>
        <w:rPr>
          <w:color w:val="auto"/>
          <w:highlight w:val="none"/>
        </w:rPr>
        <w:fldChar w:fldCharType="begin"/>
      </w:r>
      <w:r>
        <w:rPr>
          <w:color w:val="auto"/>
          <w:highlight w:val="none"/>
        </w:rPr>
        <w:instrText xml:space="preserve"> PAGEREF _Toc29759 \h </w:instrText>
      </w:r>
      <w:r>
        <w:rPr>
          <w:color w:val="auto"/>
          <w:highlight w:val="none"/>
        </w:rPr>
        <w:fldChar w:fldCharType="separate"/>
      </w:r>
      <w:r>
        <w:rPr>
          <w:color w:val="auto"/>
          <w:highlight w:val="none"/>
        </w:rPr>
        <w:t>24</w:t>
      </w:r>
      <w:r>
        <w:rPr>
          <w:color w:val="auto"/>
          <w:highlight w:val="none"/>
        </w:rPr>
        <w:fldChar w:fldCharType="end"/>
      </w:r>
      <w:r>
        <w:rPr>
          <w:rFonts w:hint="eastAsia" w:hAnsi="宋体" w:cs="宋体"/>
          <w:color w:val="auto"/>
          <w:szCs w:val="24"/>
          <w:highlight w:val="none"/>
        </w:rPr>
        <w:fldChar w:fldCharType="end"/>
      </w:r>
    </w:p>
    <w:p w14:paraId="7B214CB0">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_Toc19214 </w:instrText>
      </w:r>
      <w:r>
        <w:rPr>
          <w:rFonts w:hint="eastAsia" w:hAnsi="宋体" w:cs="宋体"/>
          <w:color w:val="auto"/>
          <w:szCs w:val="24"/>
          <w:highlight w:val="none"/>
        </w:rPr>
        <w:fldChar w:fldCharType="separate"/>
      </w:r>
      <w:r>
        <w:rPr>
          <w:rFonts w:hint="eastAsia" w:ascii="宋体" w:hAnsi="宋体" w:eastAsia="宋体" w:cs="宋体"/>
          <w:bCs/>
          <w:color w:val="auto"/>
          <w:szCs w:val="22"/>
          <w:highlight w:val="none"/>
        </w:rPr>
        <w:t>表1 综合评分表</w:t>
      </w:r>
      <w:r>
        <w:rPr>
          <w:color w:val="auto"/>
          <w:highlight w:val="none"/>
        </w:rPr>
        <w:tab/>
      </w:r>
      <w:r>
        <w:rPr>
          <w:color w:val="auto"/>
          <w:highlight w:val="none"/>
        </w:rPr>
        <w:fldChar w:fldCharType="begin"/>
      </w:r>
      <w:r>
        <w:rPr>
          <w:color w:val="auto"/>
          <w:highlight w:val="none"/>
        </w:rPr>
        <w:instrText xml:space="preserve"> PAGEREF _Toc19214 \h </w:instrText>
      </w:r>
      <w:r>
        <w:rPr>
          <w:color w:val="auto"/>
          <w:highlight w:val="none"/>
        </w:rPr>
        <w:fldChar w:fldCharType="separate"/>
      </w:r>
      <w:r>
        <w:rPr>
          <w:color w:val="auto"/>
          <w:highlight w:val="none"/>
        </w:rPr>
        <w:t>28</w:t>
      </w:r>
      <w:r>
        <w:rPr>
          <w:color w:val="auto"/>
          <w:highlight w:val="none"/>
        </w:rPr>
        <w:fldChar w:fldCharType="end"/>
      </w:r>
      <w:r>
        <w:rPr>
          <w:rFonts w:hint="eastAsia" w:hAnsi="宋体" w:cs="宋体"/>
          <w:color w:val="auto"/>
          <w:szCs w:val="24"/>
          <w:highlight w:val="none"/>
        </w:rPr>
        <w:fldChar w:fldCharType="end"/>
      </w:r>
    </w:p>
    <w:p w14:paraId="611E66B8">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_Toc24046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_Toc24046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7CBF7E85">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_Toc9239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1．资格评审环节</w:t>
      </w:r>
      <w:r>
        <w:rPr>
          <w:color w:val="auto"/>
          <w:highlight w:val="none"/>
        </w:rPr>
        <w:tab/>
      </w:r>
      <w:r>
        <w:rPr>
          <w:color w:val="auto"/>
          <w:highlight w:val="none"/>
        </w:rPr>
        <w:fldChar w:fldCharType="begin"/>
      </w:r>
      <w:r>
        <w:rPr>
          <w:color w:val="auto"/>
          <w:highlight w:val="none"/>
        </w:rPr>
        <w:instrText xml:space="preserve"> PAGEREF _Toc9239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5DA1461E">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_Toc22253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2．形式评审环节</w:t>
      </w:r>
      <w:r>
        <w:rPr>
          <w:color w:val="auto"/>
          <w:highlight w:val="none"/>
        </w:rPr>
        <w:tab/>
      </w:r>
      <w:r>
        <w:rPr>
          <w:color w:val="auto"/>
          <w:highlight w:val="none"/>
        </w:rPr>
        <w:fldChar w:fldCharType="begin"/>
      </w:r>
      <w:r>
        <w:rPr>
          <w:color w:val="auto"/>
          <w:highlight w:val="none"/>
        </w:rPr>
        <w:instrText xml:space="preserve"> PAGEREF _Toc22253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419D1B88">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_Toc24939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_Toc24939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35E490C1">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4．其他</w:t>
      </w:r>
      <w:r>
        <w:rPr>
          <w:color w:val="auto"/>
          <w:highlight w:val="none"/>
        </w:rPr>
        <w:tab/>
      </w:r>
      <w:r>
        <w:rPr>
          <w:color w:val="auto"/>
          <w:highlight w:val="none"/>
        </w:rPr>
        <w:fldChar w:fldCharType="begin"/>
      </w:r>
      <w:r>
        <w:rPr>
          <w:color w:val="auto"/>
          <w:highlight w:val="none"/>
        </w:rPr>
        <w:instrText xml:space="preserve"> PAGEREF _Toc31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22288D85">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_Toc13284 </w:instrText>
      </w:r>
      <w:r>
        <w:rPr>
          <w:rFonts w:hint="eastAsia" w:hAnsi="宋体" w:cs="宋体"/>
          <w:color w:val="auto"/>
          <w:szCs w:val="24"/>
          <w:highlight w:val="none"/>
        </w:rPr>
        <w:fldChar w:fldCharType="separate"/>
      </w:r>
      <w:r>
        <w:rPr>
          <w:rFonts w:hint="eastAsia" w:ascii="宋体" w:hAnsi="宋体" w:eastAsia="宋体" w:cs="宋体"/>
          <w:bCs/>
          <w:color w:val="auto"/>
          <w:highlight w:val="none"/>
          <w:lang w:val="en-US" w:eastAsia="zh-CN"/>
        </w:rPr>
        <w:t>第五节 定标规定及细则</w:t>
      </w:r>
      <w:r>
        <w:rPr>
          <w:color w:val="auto"/>
          <w:highlight w:val="none"/>
        </w:rPr>
        <w:tab/>
      </w:r>
      <w:r>
        <w:rPr>
          <w:color w:val="auto"/>
          <w:highlight w:val="none"/>
        </w:rPr>
        <w:fldChar w:fldCharType="begin"/>
      </w:r>
      <w:r>
        <w:rPr>
          <w:color w:val="auto"/>
          <w:highlight w:val="none"/>
        </w:rPr>
        <w:instrText xml:space="preserve"> PAGEREF _Toc13284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4BA8ECDE">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_Toc18852 </w:instrText>
      </w:r>
      <w:r>
        <w:rPr>
          <w:rFonts w:hint="eastAsia" w:hAnsi="宋体" w:cs="宋体"/>
          <w:color w:val="auto"/>
          <w:szCs w:val="24"/>
          <w:highlight w:val="none"/>
        </w:rPr>
        <w:fldChar w:fldCharType="separate"/>
      </w:r>
      <w:r>
        <w:rPr>
          <w:rFonts w:hint="eastAsia" w:ascii="宋体" w:hAnsi="宋体" w:eastAsia="宋体" w:cs="宋体"/>
          <w:snapToGrid w:val="0"/>
          <w:color w:val="auto"/>
          <w:highlight w:val="none"/>
          <w:lang w:val="en-US" w:eastAsia="zh-CN"/>
        </w:rPr>
        <w:t>1</w:t>
      </w:r>
      <w:r>
        <w:rPr>
          <w:rFonts w:hint="eastAsia" w:ascii="宋体" w:hAnsi="宋体" w:eastAsia="宋体" w:cs="宋体"/>
          <w:snapToGrid w:val="0"/>
          <w:color w:val="auto"/>
          <w:highlight w:val="none"/>
        </w:rPr>
        <w:t>.</w:t>
      </w:r>
      <w:r>
        <w:rPr>
          <w:rFonts w:hint="eastAsia" w:ascii="宋体" w:hAnsi="宋体" w:eastAsia="宋体" w:cs="宋体"/>
          <w:snapToGrid w:val="0"/>
          <w:color w:val="auto"/>
          <w:highlight w:val="none"/>
          <w:lang w:val="en-US" w:eastAsia="zh-CN"/>
        </w:rPr>
        <w:t>定标规定</w:t>
      </w:r>
      <w:r>
        <w:rPr>
          <w:color w:val="auto"/>
          <w:highlight w:val="none"/>
        </w:rPr>
        <w:tab/>
      </w:r>
      <w:r>
        <w:rPr>
          <w:color w:val="auto"/>
          <w:highlight w:val="none"/>
        </w:rPr>
        <w:fldChar w:fldCharType="begin"/>
      </w:r>
      <w:r>
        <w:rPr>
          <w:color w:val="auto"/>
          <w:highlight w:val="none"/>
        </w:rPr>
        <w:instrText xml:space="preserve"> PAGEREF _Toc18852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26934B04">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_Toc4905 </w:instrText>
      </w:r>
      <w:r>
        <w:rPr>
          <w:rFonts w:hint="eastAsia" w:hAnsi="宋体" w:cs="宋体"/>
          <w:color w:val="auto"/>
          <w:szCs w:val="24"/>
          <w:highlight w:val="none"/>
        </w:rPr>
        <w:fldChar w:fldCharType="separate"/>
      </w:r>
      <w:r>
        <w:rPr>
          <w:rFonts w:hint="eastAsia" w:ascii="宋体" w:hAnsi="宋体" w:eastAsia="宋体" w:cs="宋体"/>
          <w:snapToGrid w:val="0"/>
          <w:color w:val="auto"/>
          <w:highlight w:val="none"/>
          <w:lang w:val="en-US" w:eastAsia="zh-CN"/>
        </w:rPr>
        <w:t>2.定标细则</w:t>
      </w:r>
      <w:r>
        <w:rPr>
          <w:color w:val="auto"/>
          <w:highlight w:val="none"/>
        </w:rPr>
        <w:tab/>
      </w:r>
      <w:r>
        <w:rPr>
          <w:color w:val="auto"/>
          <w:highlight w:val="none"/>
        </w:rPr>
        <w:fldChar w:fldCharType="begin"/>
      </w:r>
      <w:r>
        <w:rPr>
          <w:color w:val="auto"/>
          <w:highlight w:val="none"/>
        </w:rPr>
        <w:instrText xml:space="preserve"> PAGEREF _Toc4905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715A5E73">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_Toc31869 </w:instrText>
      </w:r>
      <w:r>
        <w:rPr>
          <w:rFonts w:hint="eastAsia" w:hAnsi="宋体" w:cs="宋体"/>
          <w:color w:val="auto"/>
          <w:szCs w:val="24"/>
          <w:highlight w:val="none"/>
        </w:rPr>
        <w:fldChar w:fldCharType="separate"/>
      </w:r>
      <w:r>
        <w:rPr>
          <w:rFonts w:hint="eastAsia" w:ascii="宋体" w:hAnsi="宋体" w:eastAsia="宋体" w:cs="宋体"/>
          <w:snapToGrid w:val="0"/>
          <w:color w:val="auto"/>
          <w:highlight w:val="none"/>
          <w:lang w:val="en-US" w:eastAsia="zh-CN"/>
        </w:rPr>
        <w:t>3.定标结果公示</w:t>
      </w:r>
      <w:r>
        <w:rPr>
          <w:color w:val="auto"/>
          <w:highlight w:val="none"/>
        </w:rPr>
        <w:tab/>
      </w:r>
      <w:r>
        <w:rPr>
          <w:color w:val="auto"/>
          <w:highlight w:val="none"/>
        </w:rPr>
        <w:fldChar w:fldCharType="begin"/>
      </w:r>
      <w:r>
        <w:rPr>
          <w:color w:val="auto"/>
          <w:highlight w:val="none"/>
        </w:rPr>
        <w:instrText xml:space="preserve"> PAGEREF _Toc31869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65D51B13">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_Toc31812 </w:instrText>
      </w:r>
      <w:r>
        <w:rPr>
          <w:rFonts w:hint="eastAsia" w:hAnsi="宋体" w:cs="宋体"/>
          <w:color w:val="auto"/>
          <w:szCs w:val="24"/>
          <w:highlight w:val="none"/>
        </w:rPr>
        <w:fldChar w:fldCharType="separate"/>
      </w:r>
      <w:r>
        <w:rPr>
          <w:rFonts w:hint="eastAsia" w:ascii="宋体" w:hAnsi="宋体" w:eastAsia="宋体" w:cs="宋体"/>
          <w:snapToGrid w:val="0"/>
          <w:color w:val="auto"/>
          <w:highlight w:val="none"/>
          <w:lang w:val="en-US" w:eastAsia="zh-CN"/>
        </w:rPr>
        <w:t>4.中标确认</w:t>
      </w:r>
      <w:r>
        <w:rPr>
          <w:color w:val="auto"/>
          <w:highlight w:val="none"/>
        </w:rPr>
        <w:tab/>
      </w:r>
      <w:r>
        <w:rPr>
          <w:color w:val="auto"/>
          <w:highlight w:val="none"/>
        </w:rPr>
        <w:fldChar w:fldCharType="begin"/>
      </w:r>
      <w:r>
        <w:rPr>
          <w:color w:val="auto"/>
          <w:highlight w:val="none"/>
        </w:rPr>
        <w:instrText xml:space="preserve"> PAGEREF _Toc31812 \h </w:instrText>
      </w:r>
      <w:r>
        <w:rPr>
          <w:color w:val="auto"/>
          <w:highlight w:val="none"/>
        </w:rPr>
        <w:fldChar w:fldCharType="separate"/>
      </w:r>
      <w:r>
        <w:rPr>
          <w:color w:val="auto"/>
          <w:highlight w:val="none"/>
        </w:rPr>
        <w:t>42</w:t>
      </w:r>
      <w:r>
        <w:rPr>
          <w:color w:val="auto"/>
          <w:highlight w:val="none"/>
        </w:rPr>
        <w:fldChar w:fldCharType="end"/>
      </w:r>
      <w:r>
        <w:rPr>
          <w:rFonts w:hint="eastAsia" w:hAnsi="宋体" w:cs="宋体"/>
          <w:color w:val="auto"/>
          <w:szCs w:val="24"/>
          <w:highlight w:val="none"/>
        </w:rPr>
        <w:fldChar w:fldCharType="end"/>
      </w:r>
    </w:p>
    <w:p w14:paraId="4799FF30">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highlight w:val="none"/>
        </w:rPr>
      </w:pP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_Toc24921 </w:instrText>
      </w:r>
      <w:r>
        <w:rPr>
          <w:rFonts w:hint="eastAsia" w:hAnsi="宋体" w:cs="宋体"/>
          <w:b/>
          <w:bCs/>
          <w:color w:val="auto"/>
          <w:szCs w:val="24"/>
          <w:highlight w:val="none"/>
        </w:rPr>
        <w:fldChar w:fldCharType="separate"/>
      </w:r>
      <w:r>
        <w:rPr>
          <w:rFonts w:hint="eastAsia" w:hAnsi="宋体" w:cs="宋体"/>
          <w:b/>
          <w:bCs/>
          <w:snapToGrid w:val="0"/>
          <w:color w:val="auto"/>
          <w:szCs w:val="22"/>
          <w:highlight w:val="none"/>
        </w:rPr>
        <w:t>第二章 中标人须知</w:t>
      </w:r>
      <w:r>
        <w:rPr>
          <w:b/>
          <w:bCs/>
          <w:color w:val="auto"/>
          <w:highlight w:val="none"/>
        </w:rPr>
        <w:tab/>
      </w:r>
      <w:r>
        <w:rPr>
          <w:b/>
          <w:bCs/>
          <w:color w:val="auto"/>
          <w:highlight w:val="none"/>
        </w:rPr>
        <w:fldChar w:fldCharType="begin"/>
      </w:r>
      <w:r>
        <w:rPr>
          <w:b/>
          <w:bCs/>
          <w:color w:val="auto"/>
          <w:highlight w:val="none"/>
        </w:rPr>
        <w:instrText xml:space="preserve"> PAGEREF _Toc24921 \h </w:instrText>
      </w:r>
      <w:r>
        <w:rPr>
          <w:b/>
          <w:bCs/>
          <w:color w:val="auto"/>
          <w:highlight w:val="none"/>
        </w:rPr>
        <w:fldChar w:fldCharType="separate"/>
      </w:r>
      <w:r>
        <w:rPr>
          <w:b/>
          <w:bCs/>
          <w:color w:val="auto"/>
          <w:highlight w:val="none"/>
        </w:rPr>
        <w:t>43</w:t>
      </w:r>
      <w:r>
        <w:rPr>
          <w:b/>
          <w:bCs/>
          <w:color w:val="auto"/>
          <w:highlight w:val="none"/>
        </w:rPr>
        <w:fldChar w:fldCharType="end"/>
      </w:r>
      <w:r>
        <w:rPr>
          <w:rFonts w:hint="eastAsia" w:hAnsi="宋体" w:cs="宋体"/>
          <w:b/>
          <w:bCs/>
          <w:color w:val="auto"/>
          <w:szCs w:val="24"/>
          <w:highlight w:val="none"/>
        </w:rPr>
        <w:fldChar w:fldCharType="end"/>
      </w:r>
    </w:p>
    <w:p w14:paraId="7444D212">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highlight w:val="none"/>
        </w:rPr>
      </w:pP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_Toc29124 </w:instrText>
      </w:r>
      <w:r>
        <w:rPr>
          <w:rFonts w:hint="eastAsia" w:hAnsi="宋体" w:cs="宋体"/>
          <w:b/>
          <w:bCs/>
          <w:color w:val="auto"/>
          <w:szCs w:val="24"/>
          <w:highlight w:val="none"/>
        </w:rPr>
        <w:fldChar w:fldCharType="separate"/>
      </w:r>
      <w:r>
        <w:rPr>
          <w:rFonts w:hint="eastAsia" w:hAnsi="宋体" w:cs="宋体"/>
          <w:b/>
          <w:bCs/>
          <w:snapToGrid w:val="0"/>
          <w:color w:val="auto"/>
          <w:szCs w:val="32"/>
          <w:highlight w:val="none"/>
        </w:rPr>
        <w:t>第三章 拟签订合同的主要条款</w:t>
      </w:r>
      <w:r>
        <w:rPr>
          <w:b/>
          <w:bCs/>
          <w:color w:val="auto"/>
          <w:highlight w:val="none"/>
        </w:rPr>
        <w:tab/>
      </w:r>
      <w:r>
        <w:rPr>
          <w:b/>
          <w:bCs/>
          <w:color w:val="auto"/>
          <w:highlight w:val="none"/>
        </w:rPr>
        <w:fldChar w:fldCharType="begin"/>
      </w:r>
      <w:r>
        <w:rPr>
          <w:b/>
          <w:bCs/>
          <w:color w:val="auto"/>
          <w:highlight w:val="none"/>
        </w:rPr>
        <w:instrText xml:space="preserve"> PAGEREF _Toc29124 \h </w:instrText>
      </w:r>
      <w:r>
        <w:rPr>
          <w:b/>
          <w:bCs/>
          <w:color w:val="auto"/>
          <w:highlight w:val="none"/>
        </w:rPr>
        <w:fldChar w:fldCharType="separate"/>
      </w:r>
      <w:r>
        <w:rPr>
          <w:b/>
          <w:bCs/>
          <w:color w:val="auto"/>
          <w:highlight w:val="none"/>
        </w:rPr>
        <w:t>47</w:t>
      </w:r>
      <w:r>
        <w:rPr>
          <w:b/>
          <w:bCs/>
          <w:color w:val="auto"/>
          <w:highlight w:val="none"/>
        </w:rPr>
        <w:fldChar w:fldCharType="end"/>
      </w:r>
      <w:r>
        <w:rPr>
          <w:rFonts w:hint="eastAsia" w:hAnsi="宋体" w:cs="宋体"/>
          <w:b/>
          <w:bCs/>
          <w:color w:val="auto"/>
          <w:szCs w:val="24"/>
          <w:highlight w:val="none"/>
        </w:rPr>
        <w:fldChar w:fldCharType="end"/>
      </w:r>
    </w:p>
    <w:p w14:paraId="38D358C6">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highlight w:val="none"/>
        </w:rPr>
      </w:pP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_Toc21170 </w:instrText>
      </w:r>
      <w:r>
        <w:rPr>
          <w:rFonts w:hint="eastAsia" w:hAnsi="宋体" w:cs="宋体"/>
          <w:b/>
          <w:bCs/>
          <w:color w:val="auto"/>
          <w:szCs w:val="24"/>
          <w:highlight w:val="none"/>
        </w:rPr>
        <w:fldChar w:fldCharType="separate"/>
      </w:r>
      <w:r>
        <w:rPr>
          <w:rFonts w:hint="eastAsia" w:ascii="Times New Roman"/>
          <w:b/>
          <w:bCs/>
          <w:snapToGrid w:val="0"/>
          <w:color w:val="auto"/>
          <w:szCs w:val="22"/>
          <w:highlight w:val="none"/>
        </w:rPr>
        <w:t>第四章 技术要求</w:t>
      </w:r>
      <w:r>
        <w:rPr>
          <w:b/>
          <w:bCs/>
          <w:color w:val="auto"/>
          <w:highlight w:val="none"/>
        </w:rPr>
        <w:tab/>
      </w:r>
      <w:r>
        <w:rPr>
          <w:b/>
          <w:bCs/>
          <w:color w:val="auto"/>
          <w:highlight w:val="none"/>
        </w:rPr>
        <w:fldChar w:fldCharType="begin"/>
      </w:r>
      <w:r>
        <w:rPr>
          <w:b/>
          <w:bCs/>
          <w:color w:val="auto"/>
          <w:highlight w:val="none"/>
        </w:rPr>
        <w:instrText xml:space="preserve"> PAGEREF _Toc21170 \h </w:instrText>
      </w:r>
      <w:r>
        <w:rPr>
          <w:b/>
          <w:bCs/>
          <w:color w:val="auto"/>
          <w:highlight w:val="none"/>
        </w:rPr>
        <w:fldChar w:fldCharType="separate"/>
      </w:r>
      <w:r>
        <w:rPr>
          <w:b/>
          <w:bCs/>
          <w:color w:val="auto"/>
          <w:highlight w:val="none"/>
        </w:rPr>
        <w:t>61</w:t>
      </w:r>
      <w:r>
        <w:rPr>
          <w:b/>
          <w:bCs/>
          <w:color w:val="auto"/>
          <w:highlight w:val="none"/>
        </w:rPr>
        <w:fldChar w:fldCharType="end"/>
      </w:r>
      <w:r>
        <w:rPr>
          <w:rFonts w:hint="eastAsia" w:hAnsi="宋体" w:cs="宋体"/>
          <w:b/>
          <w:bCs/>
          <w:color w:val="auto"/>
          <w:szCs w:val="24"/>
          <w:highlight w:val="none"/>
        </w:rPr>
        <w:fldChar w:fldCharType="end"/>
      </w:r>
    </w:p>
    <w:p w14:paraId="57533698">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highlight w:val="none"/>
        </w:rPr>
      </w:pP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_Toc23308 </w:instrText>
      </w:r>
      <w:r>
        <w:rPr>
          <w:rFonts w:hint="eastAsia" w:hAnsi="宋体" w:cs="宋体"/>
          <w:b/>
          <w:bCs/>
          <w:color w:val="auto"/>
          <w:szCs w:val="24"/>
          <w:highlight w:val="none"/>
        </w:rPr>
        <w:fldChar w:fldCharType="separate"/>
      </w:r>
      <w:r>
        <w:rPr>
          <w:rFonts w:hint="eastAsia" w:ascii="Times New Roman"/>
          <w:b/>
          <w:bCs/>
          <w:snapToGrid w:val="0"/>
          <w:color w:val="auto"/>
          <w:szCs w:val="22"/>
          <w:highlight w:val="none"/>
        </w:rPr>
        <w:t>第五章 投标文件格式</w:t>
      </w:r>
      <w:r>
        <w:rPr>
          <w:b/>
          <w:bCs/>
          <w:color w:val="auto"/>
          <w:highlight w:val="none"/>
        </w:rPr>
        <w:tab/>
      </w:r>
      <w:r>
        <w:rPr>
          <w:b/>
          <w:bCs/>
          <w:color w:val="auto"/>
          <w:highlight w:val="none"/>
        </w:rPr>
        <w:fldChar w:fldCharType="begin"/>
      </w:r>
      <w:r>
        <w:rPr>
          <w:b/>
          <w:bCs/>
          <w:color w:val="auto"/>
          <w:highlight w:val="none"/>
        </w:rPr>
        <w:instrText xml:space="preserve"> PAGEREF _Toc23308 \h </w:instrText>
      </w:r>
      <w:r>
        <w:rPr>
          <w:b/>
          <w:bCs/>
          <w:color w:val="auto"/>
          <w:highlight w:val="none"/>
        </w:rPr>
        <w:fldChar w:fldCharType="separate"/>
      </w:r>
      <w:r>
        <w:rPr>
          <w:b/>
          <w:bCs/>
          <w:color w:val="auto"/>
          <w:highlight w:val="none"/>
        </w:rPr>
        <w:t>63</w:t>
      </w:r>
      <w:r>
        <w:rPr>
          <w:b/>
          <w:bCs/>
          <w:color w:val="auto"/>
          <w:highlight w:val="none"/>
        </w:rPr>
        <w:fldChar w:fldCharType="end"/>
      </w:r>
      <w:r>
        <w:rPr>
          <w:rFonts w:hint="eastAsia" w:hAnsi="宋体" w:cs="宋体"/>
          <w:b/>
          <w:bCs/>
          <w:color w:val="auto"/>
          <w:szCs w:val="24"/>
          <w:highlight w:val="none"/>
        </w:rPr>
        <w:fldChar w:fldCharType="end"/>
      </w:r>
    </w:p>
    <w:p w14:paraId="432F9965">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_Toc3155 </w:instrText>
      </w:r>
      <w:r>
        <w:rPr>
          <w:rFonts w:hint="eastAsia" w:hAnsi="宋体" w:cs="宋体"/>
          <w:color w:val="auto"/>
          <w:szCs w:val="24"/>
          <w:highlight w:val="none"/>
        </w:rPr>
        <w:fldChar w:fldCharType="separate"/>
      </w:r>
      <w:r>
        <w:rPr>
          <w:rFonts w:hint="eastAsia" w:ascii="Times New Roman"/>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_Toc3155 \h </w:instrText>
      </w:r>
      <w:r>
        <w:rPr>
          <w:color w:val="auto"/>
          <w:highlight w:val="none"/>
        </w:rPr>
        <w:fldChar w:fldCharType="separate"/>
      </w:r>
      <w:r>
        <w:rPr>
          <w:color w:val="auto"/>
          <w:highlight w:val="none"/>
        </w:rPr>
        <w:t>63</w:t>
      </w:r>
      <w:r>
        <w:rPr>
          <w:color w:val="auto"/>
          <w:highlight w:val="none"/>
        </w:rPr>
        <w:fldChar w:fldCharType="end"/>
      </w:r>
      <w:r>
        <w:rPr>
          <w:rFonts w:hint="eastAsia" w:hAnsi="宋体" w:cs="宋体"/>
          <w:color w:val="auto"/>
          <w:szCs w:val="24"/>
          <w:highlight w:val="none"/>
        </w:rPr>
        <w:fldChar w:fldCharType="end"/>
      </w:r>
    </w:p>
    <w:p w14:paraId="06C583CB">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_Toc25707 </w:instrText>
      </w:r>
      <w:r>
        <w:rPr>
          <w:rFonts w:hint="eastAsia" w:hAnsi="宋体" w:cs="宋体"/>
          <w:color w:val="auto"/>
          <w:szCs w:val="24"/>
          <w:highlight w:val="none"/>
        </w:rPr>
        <w:fldChar w:fldCharType="separate"/>
      </w:r>
      <w:r>
        <w:rPr>
          <w:rFonts w:hint="eastAsia" w:ascii="Times New Roman"/>
          <w:snapToGrid w:val="0"/>
          <w:color w:val="auto"/>
          <w:highlight w:val="none"/>
        </w:rPr>
        <w:t>格式二 投标函</w:t>
      </w:r>
      <w:r>
        <w:rPr>
          <w:color w:val="auto"/>
          <w:highlight w:val="none"/>
        </w:rPr>
        <w:tab/>
      </w:r>
      <w:r>
        <w:rPr>
          <w:color w:val="auto"/>
          <w:highlight w:val="none"/>
        </w:rPr>
        <w:fldChar w:fldCharType="begin"/>
      </w:r>
      <w:r>
        <w:rPr>
          <w:color w:val="auto"/>
          <w:highlight w:val="none"/>
        </w:rPr>
        <w:instrText xml:space="preserve"> PAGEREF _Toc25707 \h </w:instrText>
      </w:r>
      <w:r>
        <w:rPr>
          <w:color w:val="auto"/>
          <w:highlight w:val="none"/>
        </w:rPr>
        <w:fldChar w:fldCharType="separate"/>
      </w:r>
      <w:r>
        <w:rPr>
          <w:color w:val="auto"/>
          <w:highlight w:val="none"/>
        </w:rPr>
        <w:t>64</w:t>
      </w:r>
      <w:r>
        <w:rPr>
          <w:color w:val="auto"/>
          <w:highlight w:val="none"/>
        </w:rPr>
        <w:fldChar w:fldCharType="end"/>
      </w:r>
      <w:r>
        <w:rPr>
          <w:rFonts w:hint="eastAsia" w:hAnsi="宋体" w:cs="宋体"/>
          <w:color w:val="auto"/>
          <w:szCs w:val="24"/>
          <w:highlight w:val="none"/>
        </w:rPr>
        <w:fldChar w:fldCharType="end"/>
      </w:r>
    </w:p>
    <w:p w14:paraId="728E3431">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_Toc30600 </w:instrText>
      </w:r>
      <w:r>
        <w:rPr>
          <w:rFonts w:hint="eastAsia" w:hAnsi="宋体" w:cs="宋体"/>
          <w:color w:val="auto"/>
          <w:szCs w:val="24"/>
          <w:highlight w:val="none"/>
        </w:rPr>
        <w:fldChar w:fldCharType="separate"/>
      </w:r>
      <w:r>
        <w:rPr>
          <w:rFonts w:hint="eastAsia" w:hAnsi="宋体" w:cs="宋体"/>
          <w:snapToGrid w:val="0"/>
          <w:color w:val="auto"/>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_Toc30600 \h </w:instrText>
      </w:r>
      <w:r>
        <w:rPr>
          <w:color w:val="auto"/>
          <w:highlight w:val="none"/>
        </w:rPr>
        <w:fldChar w:fldCharType="separate"/>
      </w:r>
      <w:r>
        <w:rPr>
          <w:color w:val="auto"/>
          <w:highlight w:val="none"/>
        </w:rPr>
        <w:t>65</w:t>
      </w:r>
      <w:r>
        <w:rPr>
          <w:color w:val="auto"/>
          <w:highlight w:val="none"/>
        </w:rPr>
        <w:fldChar w:fldCharType="end"/>
      </w:r>
      <w:r>
        <w:rPr>
          <w:rFonts w:hint="eastAsia" w:hAnsi="宋体" w:cs="宋体"/>
          <w:color w:val="auto"/>
          <w:szCs w:val="24"/>
          <w:highlight w:val="none"/>
        </w:rPr>
        <w:fldChar w:fldCharType="end"/>
      </w:r>
    </w:p>
    <w:p w14:paraId="2C4AE918">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_Toc3697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_Toc3697 \h </w:instrText>
      </w:r>
      <w:r>
        <w:rPr>
          <w:color w:val="auto"/>
          <w:highlight w:val="none"/>
        </w:rPr>
        <w:fldChar w:fldCharType="separate"/>
      </w:r>
      <w:r>
        <w:rPr>
          <w:color w:val="auto"/>
          <w:highlight w:val="none"/>
        </w:rPr>
        <w:t>67</w:t>
      </w:r>
      <w:r>
        <w:rPr>
          <w:color w:val="auto"/>
          <w:highlight w:val="none"/>
        </w:rPr>
        <w:fldChar w:fldCharType="end"/>
      </w:r>
      <w:r>
        <w:rPr>
          <w:rFonts w:hint="eastAsia" w:hAnsi="宋体" w:cs="宋体"/>
          <w:color w:val="auto"/>
          <w:szCs w:val="24"/>
          <w:highlight w:val="none"/>
        </w:rPr>
        <w:fldChar w:fldCharType="end"/>
      </w:r>
    </w:p>
    <w:p w14:paraId="6FCE7461">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_Toc12713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_Toc12713 \h </w:instrText>
      </w:r>
      <w:r>
        <w:rPr>
          <w:color w:val="auto"/>
          <w:highlight w:val="none"/>
        </w:rPr>
        <w:fldChar w:fldCharType="separate"/>
      </w:r>
      <w:r>
        <w:rPr>
          <w:color w:val="auto"/>
          <w:highlight w:val="none"/>
        </w:rPr>
        <w:t>68</w:t>
      </w:r>
      <w:r>
        <w:rPr>
          <w:color w:val="auto"/>
          <w:highlight w:val="none"/>
        </w:rPr>
        <w:fldChar w:fldCharType="end"/>
      </w:r>
      <w:r>
        <w:rPr>
          <w:rFonts w:hint="eastAsia" w:hAnsi="宋体" w:cs="宋体"/>
          <w:color w:val="auto"/>
          <w:szCs w:val="24"/>
          <w:highlight w:val="none"/>
        </w:rPr>
        <w:fldChar w:fldCharType="end"/>
      </w:r>
    </w:p>
    <w:p w14:paraId="53617611">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_Toc17939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格式六 投标人基本情况表</w:t>
      </w:r>
      <w:r>
        <w:rPr>
          <w:color w:val="auto"/>
          <w:highlight w:val="none"/>
        </w:rPr>
        <w:tab/>
      </w:r>
      <w:r>
        <w:rPr>
          <w:color w:val="auto"/>
          <w:highlight w:val="none"/>
        </w:rPr>
        <w:fldChar w:fldCharType="begin"/>
      </w:r>
      <w:r>
        <w:rPr>
          <w:color w:val="auto"/>
          <w:highlight w:val="none"/>
        </w:rPr>
        <w:instrText xml:space="preserve"> PAGEREF _Toc17939 \h </w:instrText>
      </w:r>
      <w:r>
        <w:rPr>
          <w:color w:val="auto"/>
          <w:highlight w:val="none"/>
        </w:rPr>
        <w:fldChar w:fldCharType="separate"/>
      </w:r>
      <w:r>
        <w:rPr>
          <w:color w:val="auto"/>
          <w:highlight w:val="none"/>
        </w:rPr>
        <w:t>69</w:t>
      </w:r>
      <w:r>
        <w:rPr>
          <w:color w:val="auto"/>
          <w:highlight w:val="none"/>
        </w:rPr>
        <w:fldChar w:fldCharType="end"/>
      </w:r>
      <w:r>
        <w:rPr>
          <w:rFonts w:hint="eastAsia" w:hAnsi="宋体" w:cs="宋体"/>
          <w:color w:val="auto"/>
          <w:szCs w:val="24"/>
          <w:highlight w:val="none"/>
        </w:rPr>
        <w:fldChar w:fldCharType="end"/>
      </w:r>
    </w:p>
    <w:p w14:paraId="7B29CECE">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_Toc11472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格式七  总监理工程师任职声明（适用于无任职项目）</w:t>
      </w:r>
      <w:r>
        <w:rPr>
          <w:color w:val="auto"/>
          <w:highlight w:val="none"/>
        </w:rPr>
        <w:tab/>
      </w:r>
      <w:r>
        <w:rPr>
          <w:color w:val="auto"/>
          <w:highlight w:val="none"/>
        </w:rPr>
        <w:fldChar w:fldCharType="begin"/>
      </w:r>
      <w:r>
        <w:rPr>
          <w:color w:val="auto"/>
          <w:highlight w:val="none"/>
        </w:rPr>
        <w:instrText xml:space="preserve"> PAGEREF _Toc11472 \h </w:instrText>
      </w:r>
      <w:r>
        <w:rPr>
          <w:color w:val="auto"/>
          <w:highlight w:val="none"/>
        </w:rPr>
        <w:fldChar w:fldCharType="separate"/>
      </w:r>
      <w:r>
        <w:rPr>
          <w:color w:val="auto"/>
          <w:highlight w:val="none"/>
        </w:rPr>
        <w:t>70</w:t>
      </w:r>
      <w:r>
        <w:rPr>
          <w:color w:val="auto"/>
          <w:highlight w:val="none"/>
        </w:rPr>
        <w:fldChar w:fldCharType="end"/>
      </w:r>
      <w:r>
        <w:rPr>
          <w:rFonts w:hint="eastAsia" w:hAnsi="宋体" w:cs="宋体"/>
          <w:color w:val="auto"/>
          <w:szCs w:val="24"/>
          <w:highlight w:val="none"/>
        </w:rPr>
        <w:fldChar w:fldCharType="end"/>
      </w:r>
    </w:p>
    <w:p w14:paraId="79B3D443">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_Toc29211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格式八 总监理工程师任职声明（适用于有任职项目）</w:t>
      </w:r>
      <w:r>
        <w:rPr>
          <w:color w:val="auto"/>
          <w:highlight w:val="none"/>
        </w:rPr>
        <w:tab/>
      </w:r>
      <w:r>
        <w:rPr>
          <w:color w:val="auto"/>
          <w:highlight w:val="none"/>
        </w:rPr>
        <w:fldChar w:fldCharType="begin"/>
      </w:r>
      <w:r>
        <w:rPr>
          <w:color w:val="auto"/>
          <w:highlight w:val="none"/>
        </w:rPr>
        <w:instrText xml:space="preserve"> PAGEREF _Toc29211 \h </w:instrText>
      </w:r>
      <w:r>
        <w:rPr>
          <w:color w:val="auto"/>
          <w:highlight w:val="none"/>
        </w:rPr>
        <w:fldChar w:fldCharType="separate"/>
      </w:r>
      <w:r>
        <w:rPr>
          <w:color w:val="auto"/>
          <w:highlight w:val="none"/>
        </w:rPr>
        <w:t>71</w:t>
      </w:r>
      <w:r>
        <w:rPr>
          <w:color w:val="auto"/>
          <w:highlight w:val="none"/>
        </w:rPr>
        <w:fldChar w:fldCharType="end"/>
      </w:r>
      <w:r>
        <w:rPr>
          <w:rFonts w:hint="eastAsia" w:hAnsi="宋体" w:cs="宋体"/>
          <w:color w:val="auto"/>
          <w:szCs w:val="24"/>
          <w:highlight w:val="none"/>
        </w:rPr>
        <w:fldChar w:fldCharType="end"/>
      </w:r>
    </w:p>
    <w:p w14:paraId="49BE3B47">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_Toc17768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格式九 总监理工程师任职项目情况表</w:t>
      </w:r>
      <w:r>
        <w:rPr>
          <w:color w:val="auto"/>
          <w:highlight w:val="none"/>
        </w:rPr>
        <w:tab/>
      </w:r>
      <w:r>
        <w:rPr>
          <w:color w:val="auto"/>
          <w:highlight w:val="none"/>
        </w:rPr>
        <w:fldChar w:fldCharType="begin"/>
      </w:r>
      <w:r>
        <w:rPr>
          <w:color w:val="auto"/>
          <w:highlight w:val="none"/>
        </w:rPr>
        <w:instrText xml:space="preserve"> PAGEREF _Toc17768 \h </w:instrText>
      </w:r>
      <w:r>
        <w:rPr>
          <w:color w:val="auto"/>
          <w:highlight w:val="none"/>
        </w:rPr>
        <w:fldChar w:fldCharType="separate"/>
      </w:r>
      <w:r>
        <w:rPr>
          <w:color w:val="auto"/>
          <w:highlight w:val="none"/>
        </w:rPr>
        <w:t>72</w:t>
      </w:r>
      <w:r>
        <w:rPr>
          <w:color w:val="auto"/>
          <w:highlight w:val="none"/>
        </w:rPr>
        <w:fldChar w:fldCharType="end"/>
      </w:r>
      <w:r>
        <w:rPr>
          <w:rFonts w:hint="eastAsia" w:hAnsi="宋体" w:cs="宋体"/>
          <w:color w:val="auto"/>
          <w:szCs w:val="24"/>
          <w:highlight w:val="none"/>
        </w:rPr>
        <w:fldChar w:fldCharType="end"/>
      </w:r>
    </w:p>
    <w:p w14:paraId="682398C7">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_Toc29412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w:t>
      </w:r>
      <w:r>
        <w:rPr>
          <w:rFonts w:hint="eastAsia" w:hAnsi="宋体" w:cs="宋体"/>
          <w:bCs/>
          <w:snapToGrid w:val="0"/>
          <w:color w:val="auto"/>
          <w:kern w:val="0"/>
          <w:szCs w:val="24"/>
          <w:highlight w:val="none"/>
        </w:rPr>
        <w:t>十 项目监理机构组成人员汇总表</w:t>
      </w:r>
      <w:r>
        <w:rPr>
          <w:color w:val="auto"/>
          <w:highlight w:val="none"/>
        </w:rPr>
        <w:tab/>
      </w:r>
      <w:r>
        <w:rPr>
          <w:color w:val="auto"/>
          <w:highlight w:val="none"/>
        </w:rPr>
        <w:fldChar w:fldCharType="begin"/>
      </w:r>
      <w:r>
        <w:rPr>
          <w:color w:val="auto"/>
          <w:highlight w:val="none"/>
        </w:rPr>
        <w:instrText xml:space="preserve"> PAGEREF _Toc29412 \h </w:instrText>
      </w:r>
      <w:r>
        <w:rPr>
          <w:color w:val="auto"/>
          <w:highlight w:val="none"/>
        </w:rPr>
        <w:fldChar w:fldCharType="separate"/>
      </w:r>
      <w:r>
        <w:rPr>
          <w:color w:val="auto"/>
          <w:highlight w:val="none"/>
        </w:rPr>
        <w:t>73</w:t>
      </w:r>
      <w:r>
        <w:rPr>
          <w:color w:val="auto"/>
          <w:highlight w:val="none"/>
        </w:rPr>
        <w:fldChar w:fldCharType="end"/>
      </w:r>
      <w:r>
        <w:rPr>
          <w:rFonts w:hint="eastAsia" w:hAnsi="宋体" w:cs="宋体"/>
          <w:color w:val="auto"/>
          <w:szCs w:val="24"/>
          <w:highlight w:val="none"/>
        </w:rPr>
        <w:fldChar w:fldCharType="end"/>
      </w:r>
    </w:p>
    <w:p w14:paraId="268DEB25">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_Toc379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格式十一  总监理工程师简历表</w:t>
      </w:r>
      <w:r>
        <w:rPr>
          <w:color w:val="auto"/>
          <w:highlight w:val="none"/>
        </w:rPr>
        <w:tab/>
      </w:r>
      <w:r>
        <w:rPr>
          <w:color w:val="auto"/>
          <w:highlight w:val="none"/>
        </w:rPr>
        <w:fldChar w:fldCharType="begin"/>
      </w:r>
      <w:r>
        <w:rPr>
          <w:color w:val="auto"/>
          <w:highlight w:val="none"/>
        </w:rPr>
        <w:instrText xml:space="preserve"> PAGEREF _Toc379 \h </w:instrText>
      </w:r>
      <w:r>
        <w:rPr>
          <w:color w:val="auto"/>
          <w:highlight w:val="none"/>
        </w:rPr>
        <w:fldChar w:fldCharType="separate"/>
      </w:r>
      <w:r>
        <w:rPr>
          <w:color w:val="auto"/>
          <w:highlight w:val="none"/>
        </w:rPr>
        <w:t>74</w:t>
      </w:r>
      <w:r>
        <w:rPr>
          <w:color w:val="auto"/>
          <w:highlight w:val="none"/>
        </w:rPr>
        <w:fldChar w:fldCharType="end"/>
      </w:r>
      <w:r>
        <w:rPr>
          <w:rFonts w:hint="eastAsia" w:hAnsi="宋体" w:cs="宋体"/>
          <w:color w:val="auto"/>
          <w:szCs w:val="24"/>
          <w:highlight w:val="none"/>
        </w:rPr>
        <w:fldChar w:fldCharType="end"/>
      </w:r>
    </w:p>
    <w:p w14:paraId="4FEAE1BC">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_Toc10500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格式十二  其他拟派人员简历表</w:t>
      </w:r>
      <w:r>
        <w:rPr>
          <w:color w:val="auto"/>
          <w:highlight w:val="none"/>
        </w:rPr>
        <w:tab/>
      </w:r>
      <w:r>
        <w:rPr>
          <w:color w:val="auto"/>
          <w:highlight w:val="none"/>
        </w:rPr>
        <w:fldChar w:fldCharType="begin"/>
      </w:r>
      <w:r>
        <w:rPr>
          <w:color w:val="auto"/>
          <w:highlight w:val="none"/>
        </w:rPr>
        <w:instrText xml:space="preserve"> PAGEREF _Toc10500 \h </w:instrText>
      </w:r>
      <w:r>
        <w:rPr>
          <w:color w:val="auto"/>
          <w:highlight w:val="none"/>
        </w:rPr>
        <w:fldChar w:fldCharType="separate"/>
      </w:r>
      <w:r>
        <w:rPr>
          <w:color w:val="auto"/>
          <w:highlight w:val="none"/>
        </w:rPr>
        <w:t>75</w:t>
      </w:r>
      <w:r>
        <w:rPr>
          <w:color w:val="auto"/>
          <w:highlight w:val="none"/>
        </w:rPr>
        <w:fldChar w:fldCharType="end"/>
      </w:r>
      <w:r>
        <w:rPr>
          <w:rFonts w:hint="eastAsia" w:hAnsi="宋体" w:cs="宋体"/>
          <w:color w:val="auto"/>
          <w:szCs w:val="24"/>
          <w:highlight w:val="none"/>
        </w:rPr>
        <w:fldChar w:fldCharType="end"/>
      </w:r>
    </w:p>
    <w:p w14:paraId="4973C15D">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_Toc12078 </w:instrText>
      </w:r>
      <w:r>
        <w:rPr>
          <w:rFonts w:hint="eastAsia" w:hAnsi="宋体" w:cs="宋体"/>
          <w:color w:val="auto"/>
          <w:szCs w:val="24"/>
          <w:highlight w:val="none"/>
        </w:rPr>
        <w:fldChar w:fldCharType="separate"/>
      </w:r>
      <w:r>
        <w:rPr>
          <w:rFonts w:hint="eastAsia"/>
          <w:bCs/>
          <w:color w:val="auto"/>
          <w:highlight w:val="none"/>
          <w:lang w:val="en-US" w:eastAsia="zh-CN"/>
        </w:rPr>
        <w:t>格式十三 原件一览表</w:t>
      </w:r>
      <w:r>
        <w:rPr>
          <w:color w:val="auto"/>
          <w:highlight w:val="none"/>
        </w:rPr>
        <w:tab/>
      </w:r>
      <w:r>
        <w:rPr>
          <w:color w:val="auto"/>
          <w:highlight w:val="none"/>
        </w:rPr>
        <w:fldChar w:fldCharType="begin"/>
      </w:r>
      <w:r>
        <w:rPr>
          <w:color w:val="auto"/>
          <w:highlight w:val="none"/>
        </w:rPr>
        <w:instrText xml:space="preserve"> PAGEREF _Toc12078 \h </w:instrText>
      </w:r>
      <w:r>
        <w:rPr>
          <w:color w:val="auto"/>
          <w:highlight w:val="none"/>
        </w:rPr>
        <w:fldChar w:fldCharType="separate"/>
      </w:r>
      <w:r>
        <w:rPr>
          <w:color w:val="auto"/>
          <w:highlight w:val="none"/>
        </w:rPr>
        <w:t>76</w:t>
      </w:r>
      <w:r>
        <w:rPr>
          <w:color w:val="auto"/>
          <w:highlight w:val="none"/>
        </w:rPr>
        <w:fldChar w:fldCharType="end"/>
      </w:r>
      <w:r>
        <w:rPr>
          <w:rFonts w:hint="eastAsia" w:hAnsi="宋体" w:cs="宋体"/>
          <w:color w:val="auto"/>
          <w:szCs w:val="24"/>
          <w:highlight w:val="none"/>
        </w:rPr>
        <w:fldChar w:fldCharType="end"/>
      </w:r>
    </w:p>
    <w:p w14:paraId="7DBC5EE5">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_Toc591 </w:instrText>
      </w:r>
      <w:r>
        <w:rPr>
          <w:rFonts w:hint="eastAsia" w:hAnsi="宋体" w:cs="宋体"/>
          <w:color w:val="auto"/>
          <w:szCs w:val="24"/>
          <w:highlight w:val="none"/>
        </w:rPr>
        <w:fldChar w:fldCharType="separate"/>
      </w:r>
      <w:r>
        <w:rPr>
          <w:rFonts w:hint="eastAsia" w:ascii="宋体" w:hAnsi="Times New Roman" w:eastAsia="宋体" w:cs="Times New Roman"/>
          <w:bCs/>
          <w:color w:val="auto"/>
          <w:highlight w:val="none"/>
          <w:lang w:val="en-US" w:eastAsia="zh-CN"/>
        </w:rPr>
        <w:t>格式十四 定标因素评审资料</w:t>
      </w:r>
      <w:r>
        <w:rPr>
          <w:color w:val="auto"/>
          <w:highlight w:val="none"/>
        </w:rPr>
        <w:tab/>
      </w:r>
      <w:r>
        <w:rPr>
          <w:color w:val="auto"/>
          <w:highlight w:val="none"/>
        </w:rPr>
        <w:fldChar w:fldCharType="begin"/>
      </w:r>
      <w:r>
        <w:rPr>
          <w:color w:val="auto"/>
          <w:highlight w:val="none"/>
        </w:rPr>
        <w:instrText xml:space="preserve"> PAGEREF _Toc591 \h </w:instrText>
      </w:r>
      <w:r>
        <w:rPr>
          <w:color w:val="auto"/>
          <w:highlight w:val="none"/>
        </w:rPr>
        <w:fldChar w:fldCharType="separate"/>
      </w:r>
      <w:r>
        <w:rPr>
          <w:color w:val="auto"/>
          <w:highlight w:val="none"/>
        </w:rPr>
        <w:t>77</w:t>
      </w:r>
      <w:r>
        <w:rPr>
          <w:color w:val="auto"/>
          <w:highlight w:val="none"/>
        </w:rPr>
        <w:fldChar w:fldCharType="end"/>
      </w:r>
      <w:r>
        <w:rPr>
          <w:rFonts w:hint="eastAsia" w:hAnsi="宋体" w:cs="宋体"/>
          <w:color w:val="auto"/>
          <w:szCs w:val="24"/>
          <w:highlight w:val="none"/>
        </w:rPr>
        <w:fldChar w:fldCharType="end"/>
      </w:r>
    </w:p>
    <w:p w14:paraId="713CCA9B">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highlight w:val="none"/>
        </w:rPr>
      </w:pP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_Toc1091 </w:instrText>
      </w:r>
      <w:r>
        <w:rPr>
          <w:rFonts w:hint="eastAsia" w:hAnsi="宋体" w:cs="宋体"/>
          <w:b/>
          <w:bCs/>
          <w:color w:val="auto"/>
          <w:szCs w:val="24"/>
          <w:highlight w:val="none"/>
        </w:rPr>
        <w:fldChar w:fldCharType="separate"/>
      </w:r>
      <w:r>
        <w:rPr>
          <w:rFonts w:hint="eastAsia" w:ascii="宋体" w:hAnsi="宋体" w:cs="宋体"/>
          <w:b/>
          <w:bCs/>
          <w:color w:val="auto"/>
          <w:kern w:val="44"/>
          <w:szCs w:val="22"/>
          <w:highlight w:val="none"/>
        </w:rPr>
        <w:t>第六章 建设工程监理合同</w:t>
      </w:r>
      <w:r>
        <w:rPr>
          <w:b/>
          <w:bCs/>
          <w:color w:val="auto"/>
          <w:highlight w:val="none"/>
        </w:rPr>
        <w:tab/>
      </w:r>
      <w:r>
        <w:rPr>
          <w:b/>
          <w:bCs/>
          <w:color w:val="auto"/>
          <w:highlight w:val="none"/>
        </w:rPr>
        <w:fldChar w:fldCharType="begin"/>
      </w:r>
      <w:r>
        <w:rPr>
          <w:b/>
          <w:bCs/>
          <w:color w:val="auto"/>
          <w:highlight w:val="none"/>
        </w:rPr>
        <w:instrText xml:space="preserve"> PAGEREF _Toc1091 \h </w:instrText>
      </w:r>
      <w:r>
        <w:rPr>
          <w:b/>
          <w:bCs/>
          <w:color w:val="auto"/>
          <w:highlight w:val="none"/>
        </w:rPr>
        <w:fldChar w:fldCharType="separate"/>
      </w:r>
      <w:r>
        <w:rPr>
          <w:b/>
          <w:bCs/>
          <w:color w:val="auto"/>
          <w:highlight w:val="none"/>
        </w:rPr>
        <w:t>78</w:t>
      </w:r>
      <w:r>
        <w:rPr>
          <w:b/>
          <w:bCs/>
          <w:color w:val="auto"/>
          <w:highlight w:val="none"/>
        </w:rPr>
        <w:fldChar w:fldCharType="end"/>
      </w:r>
      <w:r>
        <w:rPr>
          <w:rFonts w:hint="eastAsia" w:hAnsi="宋体" w:cs="宋体"/>
          <w:b/>
          <w:bCs/>
          <w:color w:val="auto"/>
          <w:szCs w:val="24"/>
          <w:highlight w:val="none"/>
        </w:rPr>
        <w:fldChar w:fldCharType="end"/>
      </w:r>
    </w:p>
    <w:p w14:paraId="04AFE2B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szCs w:val="24"/>
          <w:highlight w:val="none"/>
        </w:rPr>
      </w:pPr>
      <w:r>
        <w:rPr>
          <w:rFonts w:hint="eastAsia" w:hAnsi="宋体" w:cs="宋体"/>
          <w:color w:val="auto"/>
          <w:szCs w:val="24"/>
          <w:highlight w:val="none"/>
        </w:rPr>
        <w:fldChar w:fldCharType="end"/>
      </w:r>
    </w:p>
    <w:p w14:paraId="72C6CDF7">
      <w:pPr>
        <w:bidi w:val="0"/>
        <w:rPr>
          <w:rFonts w:hint="eastAsia"/>
          <w:color w:val="auto"/>
          <w:highlight w:val="none"/>
        </w:rPr>
      </w:pPr>
    </w:p>
    <w:p w14:paraId="44E278EF">
      <w:pPr>
        <w:bidi w:val="0"/>
        <w:rPr>
          <w:rFonts w:hint="eastAsia"/>
          <w:color w:val="auto"/>
          <w:highlight w:val="none"/>
        </w:rPr>
      </w:pPr>
    </w:p>
    <w:p w14:paraId="4CFFDCA3">
      <w:pPr>
        <w:bidi w:val="0"/>
        <w:rPr>
          <w:rFonts w:hint="eastAsia"/>
          <w:color w:val="auto"/>
          <w:highlight w:val="none"/>
        </w:rPr>
      </w:pPr>
    </w:p>
    <w:p w14:paraId="49FACEF0">
      <w:pPr>
        <w:bidi w:val="0"/>
        <w:rPr>
          <w:rFonts w:hint="eastAsia"/>
          <w:color w:val="auto"/>
          <w:highlight w:val="none"/>
        </w:rPr>
      </w:pPr>
    </w:p>
    <w:p w14:paraId="67D59685">
      <w:pPr>
        <w:bidi w:val="0"/>
        <w:rPr>
          <w:rFonts w:hint="eastAsia"/>
          <w:color w:val="auto"/>
          <w:highlight w:val="none"/>
        </w:rPr>
      </w:pPr>
    </w:p>
    <w:p w14:paraId="3CF29BF7">
      <w:pPr>
        <w:bidi w:val="0"/>
        <w:rPr>
          <w:rFonts w:hint="eastAsia"/>
          <w:color w:val="auto"/>
          <w:highlight w:val="none"/>
        </w:rPr>
      </w:pPr>
    </w:p>
    <w:p w14:paraId="1C6B5B71">
      <w:pPr>
        <w:bidi w:val="0"/>
        <w:rPr>
          <w:rFonts w:hint="eastAsia"/>
          <w:color w:val="auto"/>
          <w:highlight w:val="none"/>
        </w:rPr>
      </w:pPr>
    </w:p>
    <w:p w14:paraId="11886F1D">
      <w:pPr>
        <w:pStyle w:val="2"/>
        <w:rPr>
          <w:rFonts w:hint="eastAsia"/>
          <w:color w:val="auto"/>
          <w:highlight w:val="none"/>
        </w:rPr>
      </w:pPr>
    </w:p>
    <w:p w14:paraId="00CD5A72">
      <w:pPr>
        <w:bidi w:val="0"/>
        <w:rPr>
          <w:rFonts w:hint="eastAsia"/>
          <w:color w:val="auto"/>
          <w:highlight w:val="none"/>
        </w:rPr>
      </w:pPr>
    </w:p>
    <w:p w14:paraId="7906C4F8">
      <w:pPr>
        <w:bidi w:val="0"/>
        <w:rPr>
          <w:rFonts w:hint="eastAsia"/>
          <w:color w:val="auto"/>
          <w:highlight w:val="none"/>
        </w:rPr>
      </w:pPr>
    </w:p>
    <w:p w14:paraId="7FA25707">
      <w:pPr>
        <w:bidi w:val="0"/>
        <w:rPr>
          <w:rFonts w:hint="eastAsia"/>
          <w:color w:val="auto"/>
          <w:highlight w:val="none"/>
        </w:rPr>
      </w:pPr>
    </w:p>
    <w:p w14:paraId="1AC08286">
      <w:pPr>
        <w:bidi w:val="0"/>
        <w:rPr>
          <w:rFonts w:hint="eastAsia"/>
          <w:color w:val="auto"/>
          <w:highlight w:val="none"/>
        </w:rPr>
      </w:pPr>
    </w:p>
    <w:p w14:paraId="73AD38DD">
      <w:pPr>
        <w:pStyle w:val="3"/>
        <w:wordWrap w:val="0"/>
        <w:autoSpaceDE/>
        <w:autoSpaceDN/>
        <w:snapToGrid w:val="0"/>
        <w:spacing w:line="440" w:lineRule="exact"/>
        <w:jc w:val="center"/>
        <w:rPr>
          <w:rFonts w:ascii="Times New Roman"/>
          <w:b/>
          <w:snapToGrid w:val="0"/>
          <w:color w:val="auto"/>
          <w:sz w:val="32"/>
          <w:szCs w:val="22"/>
          <w:highlight w:val="none"/>
        </w:rPr>
      </w:pPr>
      <w:bookmarkStart w:id="0" w:name="_Toc18357"/>
      <w:r>
        <w:rPr>
          <w:rFonts w:hint="eastAsia" w:ascii="Times New Roman"/>
          <w:b/>
          <w:snapToGrid w:val="0"/>
          <w:color w:val="auto"/>
          <w:sz w:val="32"/>
          <w:szCs w:val="22"/>
          <w:highlight w:val="none"/>
        </w:rPr>
        <w:t>第一章 投标人须知</w:t>
      </w:r>
      <w:bookmarkEnd w:id="0"/>
    </w:p>
    <w:p w14:paraId="64D39061">
      <w:pPr>
        <w:pStyle w:val="4"/>
        <w:wordWrap w:val="0"/>
        <w:autoSpaceDE/>
        <w:autoSpaceDN/>
        <w:snapToGrid w:val="0"/>
        <w:spacing w:before="260" w:after="260" w:line="440" w:lineRule="exact"/>
        <w:jc w:val="both"/>
        <w:rPr>
          <w:rFonts w:ascii="Times New Roman"/>
          <w:b/>
          <w:snapToGrid w:val="0"/>
          <w:color w:val="auto"/>
          <w:highlight w:val="none"/>
        </w:rPr>
      </w:pPr>
      <w:bookmarkStart w:id="1" w:name="_Hlt127175444"/>
      <w:bookmarkEnd w:id="1"/>
      <w:bookmarkStart w:id="2" w:name="_Toc1463"/>
      <w:bookmarkStart w:id="3" w:name="_Toc4883"/>
      <w:bookmarkStart w:id="4" w:name="_Hlt120077520"/>
      <w:r>
        <w:rPr>
          <w:rFonts w:hint="eastAsia" w:ascii="Times New Roman"/>
          <w:b/>
          <w:snapToGrid w:val="0"/>
          <w:color w:val="auto"/>
          <w:highlight w:val="none"/>
        </w:rPr>
        <w:t>第一节 投标人须知前附表</w:t>
      </w:r>
      <w:bookmarkEnd w:id="2"/>
      <w:bookmarkEnd w:id="3"/>
    </w:p>
    <w:tbl>
      <w:tblPr>
        <w:tblStyle w:val="31"/>
        <w:tblW w:w="9302"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1"/>
        <w:gridCol w:w="1725"/>
        <w:gridCol w:w="6856"/>
      </w:tblGrid>
      <w:tr w14:paraId="2CEA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atLeast"/>
        </w:trPr>
        <w:tc>
          <w:tcPr>
            <w:tcW w:w="721" w:type="dxa"/>
            <w:tcBorders>
              <w:top w:val="single" w:color="auto" w:sz="4" w:space="0"/>
              <w:left w:val="single" w:color="auto" w:sz="4" w:space="0"/>
              <w:bottom w:val="single" w:color="auto" w:sz="4" w:space="0"/>
              <w:right w:val="single" w:color="auto" w:sz="4" w:space="0"/>
            </w:tcBorders>
            <w:vAlign w:val="center"/>
          </w:tcPr>
          <w:p w14:paraId="5A616D1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1592A7F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内容</w:t>
            </w:r>
          </w:p>
        </w:tc>
        <w:tc>
          <w:tcPr>
            <w:tcW w:w="6856" w:type="dxa"/>
            <w:tcBorders>
              <w:top w:val="single" w:color="auto" w:sz="4" w:space="0"/>
              <w:left w:val="single" w:color="auto" w:sz="4" w:space="0"/>
              <w:bottom w:val="single" w:color="auto" w:sz="4" w:space="0"/>
              <w:right w:val="single" w:color="auto" w:sz="4" w:space="0"/>
            </w:tcBorders>
            <w:vAlign w:val="center"/>
          </w:tcPr>
          <w:p w14:paraId="6F58C683">
            <w:pPr>
              <w:keepNext w:val="0"/>
              <w:keepLines w:val="0"/>
              <w:pageBreakBefore w:val="0"/>
              <w:widowControl w:val="0"/>
              <w:tabs>
                <w:tab w:val="left" w:pos="1180"/>
              </w:tabs>
              <w:kinsoku/>
              <w:wordWrap w:val="0"/>
              <w:overflowPunct/>
              <w:topLinePunct w:val="0"/>
              <w:autoSpaceDE/>
              <w:autoSpaceDN/>
              <w:bidi w:val="0"/>
              <w:adjustRightInd w:val="0"/>
              <w:snapToGrid w:val="0"/>
              <w:spacing w:line="5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说明与要求</w:t>
            </w:r>
          </w:p>
        </w:tc>
      </w:tr>
      <w:tr w14:paraId="17894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8" w:hRule="exact"/>
        </w:trPr>
        <w:tc>
          <w:tcPr>
            <w:tcW w:w="721" w:type="dxa"/>
            <w:tcBorders>
              <w:top w:val="single" w:color="auto" w:sz="4" w:space="0"/>
              <w:left w:val="single" w:color="auto" w:sz="4" w:space="0"/>
              <w:bottom w:val="single" w:color="auto" w:sz="4" w:space="0"/>
              <w:right w:val="single" w:color="auto" w:sz="4" w:space="0"/>
            </w:tcBorders>
            <w:vAlign w:val="center"/>
          </w:tcPr>
          <w:p w14:paraId="02DAE48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725" w:type="dxa"/>
            <w:tcBorders>
              <w:top w:val="single" w:color="auto" w:sz="4" w:space="0"/>
              <w:left w:val="single" w:color="auto" w:sz="4" w:space="0"/>
              <w:bottom w:val="single" w:color="auto" w:sz="4" w:space="0"/>
              <w:right w:val="single" w:color="auto" w:sz="4" w:space="0"/>
            </w:tcBorders>
            <w:vAlign w:val="center"/>
          </w:tcPr>
          <w:p w14:paraId="0259AB1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项目名称</w:t>
            </w:r>
          </w:p>
        </w:tc>
        <w:tc>
          <w:tcPr>
            <w:tcW w:w="6856" w:type="dxa"/>
            <w:tcBorders>
              <w:top w:val="single" w:color="auto" w:sz="4" w:space="0"/>
              <w:left w:val="single" w:color="auto" w:sz="4" w:space="0"/>
              <w:bottom w:val="single" w:color="auto" w:sz="4" w:space="0"/>
              <w:right w:val="single" w:color="auto" w:sz="4" w:space="0"/>
            </w:tcBorders>
            <w:vAlign w:val="center"/>
          </w:tcPr>
          <w:p w14:paraId="5A039704">
            <w:pPr>
              <w:shd w:val="clear" w:color="auto" w:fill="auto"/>
              <w:tabs>
                <w:tab w:val="left" w:pos="1180"/>
              </w:tabs>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val="0"/>
                <w:snapToGrid w:val="0"/>
                <w:color w:val="auto"/>
                <w:kern w:val="0"/>
                <w:sz w:val="24"/>
                <w:szCs w:val="24"/>
                <w:highlight w:val="none"/>
                <w:lang w:eastAsia="zh-CN"/>
              </w:rPr>
              <w:t>武江区江湾镇应急物资仓库建设项目监理</w:t>
            </w:r>
          </w:p>
        </w:tc>
      </w:tr>
      <w:tr w14:paraId="4391C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0FBA70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725" w:type="dxa"/>
            <w:tcBorders>
              <w:top w:val="single" w:color="auto" w:sz="4" w:space="0"/>
              <w:left w:val="single" w:color="auto" w:sz="4" w:space="0"/>
              <w:bottom w:val="single" w:color="auto" w:sz="4" w:space="0"/>
              <w:right w:val="single" w:color="auto" w:sz="4" w:space="0"/>
            </w:tcBorders>
            <w:vAlign w:val="center"/>
          </w:tcPr>
          <w:p w14:paraId="039B656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项目业主</w:t>
            </w:r>
          </w:p>
        </w:tc>
        <w:tc>
          <w:tcPr>
            <w:tcW w:w="6856" w:type="dxa"/>
            <w:tcBorders>
              <w:top w:val="single" w:color="auto" w:sz="4" w:space="0"/>
              <w:left w:val="single" w:color="auto" w:sz="4" w:space="0"/>
              <w:bottom w:val="single" w:color="auto" w:sz="4" w:space="0"/>
              <w:right w:val="single" w:color="auto" w:sz="4" w:space="0"/>
            </w:tcBorders>
            <w:vAlign w:val="center"/>
          </w:tcPr>
          <w:p w14:paraId="36C8F025">
            <w:pPr>
              <w:pStyle w:val="117"/>
              <w:shd w:val="clear" w:color="auto" w:fill="auto"/>
              <w:spacing w:line="240" w:lineRule="auto"/>
              <w:ind w:firstLine="240" w:firstLineChars="1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韶关市武江区应急管理局</w:t>
            </w:r>
          </w:p>
        </w:tc>
      </w:tr>
      <w:tr w14:paraId="5127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65" w:hRule="exact"/>
        </w:trPr>
        <w:tc>
          <w:tcPr>
            <w:tcW w:w="721" w:type="dxa"/>
            <w:tcBorders>
              <w:top w:val="single" w:color="auto" w:sz="4" w:space="0"/>
              <w:left w:val="single" w:color="auto" w:sz="4" w:space="0"/>
              <w:bottom w:val="single" w:color="auto" w:sz="4" w:space="0"/>
              <w:right w:val="single" w:color="auto" w:sz="4" w:space="0"/>
            </w:tcBorders>
            <w:vAlign w:val="center"/>
          </w:tcPr>
          <w:p w14:paraId="7AA9DCF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725" w:type="dxa"/>
            <w:tcBorders>
              <w:top w:val="single" w:color="auto" w:sz="4" w:space="0"/>
              <w:left w:val="single" w:color="auto" w:sz="4" w:space="0"/>
              <w:bottom w:val="single" w:color="auto" w:sz="4" w:space="0"/>
              <w:right w:val="single" w:color="auto" w:sz="4" w:space="0"/>
            </w:tcBorders>
            <w:vAlign w:val="center"/>
          </w:tcPr>
          <w:p w14:paraId="324DDCC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项目批准部门</w:t>
            </w:r>
          </w:p>
        </w:tc>
        <w:tc>
          <w:tcPr>
            <w:tcW w:w="6856" w:type="dxa"/>
            <w:tcBorders>
              <w:top w:val="single" w:color="auto" w:sz="4" w:space="0"/>
              <w:left w:val="single" w:color="auto" w:sz="4" w:space="0"/>
              <w:bottom w:val="single" w:color="auto" w:sz="4" w:space="0"/>
              <w:right w:val="single" w:color="auto" w:sz="4" w:space="0"/>
            </w:tcBorders>
            <w:vAlign w:val="center"/>
          </w:tcPr>
          <w:p w14:paraId="0802AB7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韶关市武江区发展和改革局</w:t>
            </w:r>
          </w:p>
        </w:tc>
      </w:tr>
      <w:tr w14:paraId="72C56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D1E85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725" w:type="dxa"/>
            <w:tcBorders>
              <w:top w:val="single" w:color="auto" w:sz="4" w:space="0"/>
              <w:left w:val="single" w:color="auto" w:sz="4" w:space="0"/>
              <w:bottom w:val="single" w:color="auto" w:sz="4" w:space="0"/>
              <w:right w:val="single" w:color="auto" w:sz="4" w:space="0"/>
            </w:tcBorders>
            <w:vAlign w:val="center"/>
          </w:tcPr>
          <w:p w14:paraId="366DC76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项目批准文号</w:t>
            </w:r>
          </w:p>
        </w:tc>
        <w:tc>
          <w:tcPr>
            <w:tcW w:w="6856" w:type="dxa"/>
            <w:tcBorders>
              <w:top w:val="single" w:color="auto" w:sz="4" w:space="0"/>
              <w:left w:val="single" w:color="auto" w:sz="4" w:space="0"/>
              <w:bottom w:val="single" w:color="auto" w:sz="4" w:space="0"/>
              <w:right w:val="single" w:color="auto" w:sz="4" w:space="0"/>
            </w:tcBorders>
            <w:vAlign w:val="center"/>
          </w:tcPr>
          <w:p w14:paraId="52204F50">
            <w:pPr>
              <w:pStyle w:val="9"/>
              <w:shd w:val="clear" w:color="auto" w:fill="auto"/>
              <w:ind w:firstLine="240"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韶武发改投审〔2026〕14号</w:t>
            </w:r>
          </w:p>
        </w:tc>
      </w:tr>
      <w:tr w14:paraId="570D6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24E7E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725" w:type="dxa"/>
            <w:tcBorders>
              <w:top w:val="single" w:color="auto" w:sz="4" w:space="0"/>
              <w:left w:val="single" w:color="auto" w:sz="4" w:space="0"/>
              <w:bottom w:val="single" w:color="auto" w:sz="4" w:space="0"/>
              <w:right w:val="single" w:color="auto" w:sz="4" w:space="0"/>
            </w:tcBorders>
            <w:vAlign w:val="center"/>
          </w:tcPr>
          <w:p w14:paraId="62CA9CC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项目代码</w:t>
            </w:r>
          </w:p>
        </w:tc>
        <w:tc>
          <w:tcPr>
            <w:tcW w:w="6856" w:type="dxa"/>
            <w:tcBorders>
              <w:top w:val="single" w:color="auto" w:sz="4" w:space="0"/>
              <w:left w:val="single" w:color="auto" w:sz="4" w:space="0"/>
              <w:bottom w:val="single" w:color="auto" w:sz="4" w:space="0"/>
              <w:right w:val="single" w:color="auto" w:sz="4" w:space="0"/>
            </w:tcBorders>
            <w:vAlign w:val="center"/>
          </w:tcPr>
          <w:p w14:paraId="2BAFF47C">
            <w:pPr>
              <w:pStyle w:val="117"/>
              <w:shd w:val="clear" w:color="auto" w:fill="auto"/>
              <w:spacing w:line="360" w:lineRule="auto"/>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2501-440203-25-01-502908</w:t>
            </w:r>
          </w:p>
        </w:tc>
      </w:tr>
      <w:tr w14:paraId="53A3A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85" w:hRule="exact"/>
        </w:trPr>
        <w:tc>
          <w:tcPr>
            <w:tcW w:w="721" w:type="dxa"/>
            <w:tcBorders>
              <w:top w:val="single" w:color="auto" w:sz="4" w:space="0"/>
              <w:left w:val="single" w:color="auto" w:sz="4" w:space="0"/>
              <w:bottom w:val="single" w:color="auto" w:sz="4" w:space="0"/>
              <w:right w:val="single" w:color="auto" w:sz="4" w:space="0"/>
            </w:tcBorders>
            <w:vAlign w:val="center"/>
          </w:tcPr>
          <w:p w14:paraId="160475F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725" w:type="dxa"/>
            <w:tcBorders>
              <w:top w:val="single" w:color="auto" w:sz="4" w:space="0"/>
              <w:left w:val="single" w:color="auto" w:sz="4" w:space="0"/>
              <w:bottom w:val="single" w:color="auto" w:sz="4" w:space="0"/>
              <w:right w:val="single" w:color="auto" w:sz="4" w:space="0"/>
            </w:tcBorders>
            <w:vAlign w:val="center"/>
          </w:tcPr>
          <w:p w14:paraId="55C1A5D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资金来源</w:t>
            </w:r>
          </w:p>
          <w:p w14:paraId="0D0501A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及出资比例</w:t>
            </w:r>
          </w:p>
        </w:tc>
        <w:tc>
          <w:tcPr>
            <w:tcW w:w="6856" w:type="dxa"/>
            <w:tcBorders>
              <w:top w:val="single" w:color="auto" w:sz="4" w:space="0"/>
              <w:left w:val="single" w:color="auto" w:sz="4" w:space="0"/>
              <w:bottom w:val="single" w:color="auto" w:sz="4" w:space="0"/>
              <w:right w:val="single" w:color="auto" w:sz="4" w:space="0"/>
            </w:tcBorders>
            <w:vAlign w:val="center"/>
          </w:tcPr>
          <w:p w14:paraId="556F9C6E">
            <w:pPr>
              <w:pStyle w:val="117"/>
              <w:shd w:val="clear" w:color="auto" w:fill="auto"/>
              <w:spacing w:line="360" w:lineRule="auto"/>
              <w:ind w:firstLine="240" w:firstLineChars="100"/>
              <w:rPr>
                <w:rFonts w:hint="eastAsia" w:ascii="宋体" w:hAnsi="宋体" w:eastAsia="宋体" w:cs="宋体"/>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区财政统筹解决，100%</w:t>
            </w:r>
          </w:p>
        </w:tc>
      </w:tr>
      <w:tr w14:paraId="12B64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4F4D09A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725" w:type="dxa"/>
            <w:tcBorders>
              <w:top w:val="single" w:color="auto" w:sz="4" w:space="0"/>
              <w:left w:val="single" w:color="auto" w:sz="4" w:space="0"/>
              <w:bottom w:val="single" w:color="auto" w:sz="4" w:space="0"/>
              <w:right w:val="single" w:color="auto" w:sz="4" w:space="0"/>
            </w:tcBorders>
            <w:vAlign w:val="center"/>
          </w:tcPr>
          <w:p w14:paraId="7E8E6FA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tc>
        <w:tc>
          <w:tcPr>
            <w:tcW w:w="6856" w:type="dxa"/>
            <w:tcBorders>
              <w:top w:val="single" w:color="auto" w:sz="4" w:space="0"/>
              <w:left w:val="single" w:color="auto" w:sz="4" w:space="0"/>
              <w:bottom w:val="single" w:color="auto" w:sz="4" w:space="0"/>
              <w:right w:val="single" w:color="auto" w:sz="4" w:space="0"/>
            </w:tcBorders>
            <w:vAlign w:val="center"/>
          </w:tcPr>
          <w:p w14:paraId="2B78CE3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韶关市武江区应急管理局</w:t>
            </w:r>
          </w:p>
        </w:tc>
      </w:tr>
      <w:tr w14:paraId="7E0D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1862C63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725" w:type="dxa"/>
            <w:tcBorders>
              <w:top w:val="single" w:color="auto" w:sz="4" w:space="0"/>
              <w:left w:val="single" w:color="auto" w:sz="4" w:space="0"/>
              <w:bottom w:val="single" w:color="auto" w:sz="4" w:space="0"/>
              <w:right w:val="single" w:color="auto" w:sz="4" w:space="0"/>
            </w:tcBorders>
            <w:vAlign w:val="center"/>
          </w:tcPr>
          <w:p w14:paraId="4E7BF7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tc>
        <w:tc>
          <w:tcPr>
            <w:tcW w:w="6856" w:type="dxa"/>
            <w:tcBorders>
              <w:top w:val="single" w:color="auto" w:sz="4" w:space="0"/>
              <w:left w:val="single" w:color="auto" w:sz="4" w:space="0"/>
              <w:bottom w:val="single" w:color="auto" w:sz="4" w:space="0"/>
              <w:right w:val="single" w:color="auto" w:sz="4" w:space="0"/>
            </w:tcBorders>
            <w:vAlign w:val="center"/>
          </w:tcPr>
          <w:p w14:paraId="247F9F6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韶关众信项目管理有限公司</w:t>
            </w:r>
          </w:p>
        </w:tc>
      </w:tr>
      <w:tr w14:paraId="52722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67F0BD2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1725" w:type="dxa"/>
            <w:tcBorders>
              <w:top w:val="single" w:color="auto" w:sz="4" w:space="0"/>
              <w:left w:val="single" w:color="auto" w:sz="4" w:space="0"/>
              <w:bottom w:val="single" w:color="auto" w:sz="4" w:space="0"/>
              <w:right w:val="single" w:color="auto" w:sz="4" w:space="0"/>
            </w:tcBorders>
            <w:vAlign w:val="center"/>
          </w:tcPr>
          <w:p w14:paraId="38C9C6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设计单位</w:t>
            </w:r>
          </w:p>
        </w:tc>
        <w:tc>
          <w:tcPr>
            <w:tcW w:w="6856" w:type="dxa"/>
            <w:tcBorders>
              <w:top w:val="single" w:color="auto" w:sz="4" w:space="0"/>
              <w:left w:val="single" w:color="auto" w:sz="4" w:space="0"/>
              <w:bottom w:val="single" w:color="auto" w:sz="4" w:space="0"/>
              <w:right w:val="single" w:color="auto" w:sz="4" w:space="0"/>
            </w:tcBorders>
            <w:vAlign w:val="center"/>
          </w:tcPr>
          <w:p w14:paraId="5A573BFA">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中誉恒信工程咨询有限公司</w:t>
            </w:r>
          </w:p>
        </w:tc>
      </w:tr>
      <w:tr w14:paraId="23BD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CDDB2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1725" w:type="dxa"/>
            <w:tcBorders>
              <w:top w:val="single" w:color="auto" w:sz="4" w:space="0"/>
              <w:left w:val="single" w:color="auto" w:sz="4" w:space="0"/>
              <w:bottom w:val="single" w:color="auto" w:sz="4" w:space="0"/>
              <w:right w:val="single" w:color="auto" w:sz="4" w:space="0"/>
            </w:tcBorders>
            <w:vAlign w:val="center"/>
          </w:tcPr>
          <w:p w14:paraId="6FF12DE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建设地点</w:t>
            </w:r>
          </w:p>
        </w:tc>
        <w:tc>
          <w:tcPr>
            <w:tcW w:w="6856" w:type="dxa"/>
            <w:tcBorders>
              <w:top w:val="single" w:color="auto" w:sz="4" w:space="0"/>
              <w:left w:val="single" w:color="auto" w:sz="4" w:space="0"/>
              <w:bottom w:val="single" w:color="auto" w:sz="4" w:space="0"/>
              <w:right w:val="single" w:color="auto" w:sz="4" w:space="0"/>
            </w:tcBorders>
            <w:vAlign w:val="center"/>
          </w:tcPr>
          <w:p w14:paraId="38AD813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ascii="宋体" w:hAnsi="宋体" w:eastAsia="宋体" w:cs="宋体"/>
                <w:bCs/>
                <w:snapToGrid w:val="0"/>
                <w:color w:val="auto"/>
                <w:kern w:val="0"/>
                <w:sz w:val="24"/>
                <w:szCs w:val="24"/>
                <w:highlight w:val="none"/>
                <w:lang w:val="en-US"/>
              </w:rPr>
            </w:pPr>
            <w:r>
              <w:rPr>
                <w:rFonts w:hint="eastAsia" w:ascii="宋体" w:hAnsi="宋体" w:eastAsia="宋体" w:cs="宋体"/>
                <w:bCs/>
                <w:snapToGrid w:val="0"/>
                <w:color w:val="auto"/>
                <w:kern w:val="0"/>
                <w:sz w:val="24"/>
                <w:szCs w:val="24"/>
                <w:highlight w:val="none"/>
                <w:lang w:val="en-US" w:eastAsia="zh-CN"/>
              </w:rPr>
              <w:t>韶关市武江区江湾镇江湾中学地块</w:t>
            </w:r>
          </w:p>
        </w:tc>
      </w:tr>
      <w:tr w14:paraId="60FB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939" w:hRule="exact"/>
        </w:trPr>
        <w:tc>
          <w:tcPr>
            <w:tcW w:w="721" w:type="dxa"/>
            <w:tcBorders>
              <w:top w:val="single" w:color="auto" w:sz="4" w:space="0"/>
              <w:left w:val="single" w:color="auto" w:sz="4" w:space="0"/>
              <w:bottom w:val="single" w:color="auto" w:sz="4" w:space="0"/>
              <w:right w:val="single" w:color="auto" w:sz="4" w:space="0"/>
            </w:tcBorders>
            <w:vAlign w:val="center"/>
          </w:tcPr>
          <w:p w14:paraId="1C3DB1E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1725" w:type="dxa"/>
            <w:tcBorders>
              <w:top w:val="single" w:color="auto" w:sz="4" w:space="0"/>
              <w:left w:val="single" w:color="auto" w:sz="4" w:space="0"/>
              <w:bottom w:val="single" w:color="auto" w:sz="4" w:space="0"/>
              <w:right w:val="single" w:color="auto" w:sz="4" w:space="0"/>
            </w:tcBorders>
            <w:vAlign w:val="center"/>
          </w:tcPr>
          <w:p w14:paraId="524B41A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建设内容和规模</w:t>
            </w:r>
          </w:p>
        </w:tc>
        <w:tc>
          <w:tcPr>
            <w:tcW w:w="6856" w:type="dxa"/>
            <w:tcBorders>
              <w:top w:val="single" w:color="auto" w:sz="4" w:space="0"/>
              <w:left w:val="single" w:color="auto" w:sz="4" w:space="0"/>
              <w:bottom w:val="single" w:color="auto" w:sz="4" w:space="0"/>
              <w:right w:val="single" w:color="auto" w:sz="4" w:space="0"/>
            </w:tcBorders>
            <w:vAlign w:val="center"/>
          </w:tcPr>
          <w:p w14:paraId="78E28E24">
            <w:pPr>
              <w:keepNext w:val="0"/>
              <w:keepLines w:val="0"/>
              <w:pageBreakBefore w:val="0"/>
              <w:widowControl/>
              <w:suppressLineNumbers w:val="0"/>
              <w:shd w:val="clear" w:color="auto" w:fill="auto"/>
              <w:kinsoku/>
              <w:wordWrap/>
              <w:overflowPunct/>
              <w:topLinePunct w:val="0"/>
              <w:autoSpaceDE/>
              <w:autoSpaceDN/>
              <w:bidi w:val="0"/>
              <w:adjustRightInd/>
              <w:snapToGrid/>
              <w:spacing w:line="400" w:lineRule="exact"/>
              <w:ind w:left="0" w:leftChars="0" w:firstLine="240" w:firstLineChars="1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□建设规模：/</w:t>
            </w:r>
          </w:p>
          <w:p w14:paraId="2359EBA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2"/>
                <w:sz w:val="24"/>
                <w:szCs w:val="24"/>
                <w:highlight w:val="none"/>
                <w:lang w:val="en-US" w:eastAsia="zh-CN" w:bidi="ar-SA"/>
              </w:rPr>
              <w:t>☑建设内容：</w:t>
            </w:r>
            <w:r>
              <w:rPr>
                <w:rFonts w:hint="eastAsia" w:ascii="宋体" w:hAnsi="宋体" w:eastAsia="宋体" w:cs="宋体"/>
                <w:snapToGrid w:val="0"/>
                <w:color w:val="auto"/>
                <w:kern w:val="0"/>
                <w:sz w:val="24"/>
                <w:szCs w:val="24"/>
                <w:highlight w:val="none"/>
                <w:lang w:eastAsia="zh-CN"/>
              </w:rPr>
              <w:t>建设应急物资仓库1栋，地上4层，地下1层。首层为柴油发电机房、丁类应急物资用房、消防控制室、配电间、停车库等；二、三层为丁类应急物资用房、警卫室及监控室;四层为丁类小仓库;地下室为消防水泵房及消防水池；建筑高度为19.20米，总建筑面积约1500平方米(其中:地上建筑面积为1358.96平方米，地下建筑面积为142.04平方米)。拟建仓库的东侧设有丁类应急物资堆场，总面积为624.58平方米。</w:t>
            </w:r>
          </w:p>
        </w:tc>
      </w:tr>
      <w:tr w14:paraId="2CCBD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28" w:hRule="exact"/>
        </w:trPr>
        <w:tc>
          <w:tcPr>
            <w:tcW w:w="721" w:type="dxa"/>
            <w:tcBorders>
              <w:top w:val="single" w:color="auto" w:sz="4" w:space="0"/>
              <w:left w:val="single" w:color="auto" w:sz="4" w:space="0"/>
              <w:bottom w:val="single" w:color="auto" w:sz="4" w:space="0"/>
              <w:right w:val="single" w:color="auto" w:sz="4" w:space="0"/>
            </w:tcBorders>
            <w:vAlign w:val="center"/>
          </w:tcPr>
          <w:p w14:paraId="38F04D5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1725" w:type="dxa"/>
            <w:tcBorders>
              <w:top w:val="single" w:color="auto" w:sz="4" w:space="0"/>
              <w:left w:val="single" w:color="auto" w:sz="4" w:space="0"/>
              <w:bottom w:val="single" w:color="auto" w:sz="4" w:space="0"/>
              <w:right w:val="single" w:color="auto" w:sz="4" w:space="0"/>
            </w:tcBorders>
            <w:vAlign w:val="center"/>
          </w:tcPr>
          <w:p w14:paraId="77F81F0E">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w:t>
            </w:r>
            <w:r>
              <w:rPr>
                <w:rFonts w:hint="eastAsia" w:ascii="宋体" w:hAnsi="宋体" w:eastAsia="宋体" w:cs="宋体"/>
                <w:color w:val="auto"/>
                <w:kern w:val="0"/>
                <w:sz w:val="24"/>
                <w:szCs w:val="24"/>
                <w:highlight w:val="none"/>
                <w:u w:val="none"/>
                <w:lang w:val="en-US" w:eastAsia="zh-CN"/>
              </w:rPr>
              <w:t>概算</w:t>
            </w:r>
            <w:r>
              <w:rPr>
                <w:rFonts w:hint="eastAsia" w:ascii="宋体" w:hAnsi="宋体" w:eastAsia="宋体" w:cs="宋体"/>
                <w:snapToGrid w:val="0"/>
                <w:color w:val="auto"/>
                <w:kern w:val="0"/>
                <w:sz w:val="24"/>
                <w:szCs w:val="24"/>
                <w:highlight w:val="none"/>
                <w:u w:val="none"/>
              </w:rPr>
              <w:t>投</w:t>
            </w:r>
            <w:r>
              <w:rPr>
                <w:rFonts w:hint="eastAsia" w:ascii="宋体" w:hAnsi="宋体" w:eastAsia="宋体" w:cs="宋体"/>
                <w:snapToGrid w:val="0"/>
                <w:color w:val="auto"/>
                <w:kern w:val="0"/>
                <w:sz w:val="24"/>
                <w:szCs w:val="24"/>
                <w:highlight w:val="none"/>
              </w:rPr>
              <w:t>资额</w:t>
            </w:r>
          </w:p>
        </w:tc>
        <w:tc>
          <w:tcPr>
            <w:tcW w:w="6856" w:type="dxa"/>
            <w:tcBorders>
              <w:top w:val="single" w:color="auto" w:sz="4" w:space="0"/>
              <w:left w:val="single" w:color="auto" w:sz="4" w:space="0"/>
              <w:bottom w:val="single" w:color="auto" w:sz="4" w:space="0"/>
              <w:right w:val="single" w:color="auto" w:sz="4" w:space="0"/>
            </w:tcBorders>
            <w:vAlign w:val="center"/>
          </w:tcPr>
          <w:p w14:paraId="5A4E55A0">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lang w:val="en-US" w:eastAsia="zh-CN"/>
              </w:rPr>
              <w:t>项目概算总投资762.98万元，其中工程费用605.04万元。</w:t>
            </w:r>
          </w:p>
        </w:tc>
      </w:tr>
      <w:tr w14:paraId="2303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58" w:hRule="exact"/>
        </w:trPr>
        <w:tc>
          <w:tcPr>
            <w:tcW w:w="721" w:type="dxa"/>
            <w:tcBorders>
              <w:top w:val="single" w:color="auto" w:sz="4" w:space="0"/>
              <w:left w:val="single" w:color="auto" w:sz="4" w:space="0"/>
              <w:bottom w:val="single" w:color="auto" w:sz="4" w:space="0"/>
              <w:right w:val="single" w:color="auto" w:sz="4" w:space="0"/>
            </w:tcBorders>
            <w:vAlign w:val="center"/>
          </w:tcPr>
          <w:p w14:paraId="4291E04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1725" w:type="dxa"/>
            <w:tcBorders>
              <w:top w:val="single" w:color="auto" w:sz="4" w:space="0"/>
              <w:left w:val="single" w:color="auto" w:sz="4" w:space="0"/>
              <w:bottom w:val="single" w:color="auto" w:sz="4" w:space="0"/>
              <w:right w:val="single" w:color="auto" w:sz="4" w:space="0"/>
            </w:tcBorders>
            <w:vAlign w:val="center"/>
          </w:tcPr>
          <w:p w14:paraId="7C84CB2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招标范围</w:t>
            </w:r>
          </w:p>
        </w:tc>
        <w:tc>
          <w:tcPr>
            <w:tcW w:w="6856" w:type="dxa"/>
            <w:tcBorders>
              <w:top w:val="single" w:color="auto" w:sz="4" w:space="0"/>
              <w:left w:val="single" w:color="auto" w:sz="4" w:space="0"/>
              <w:bottom w:val="single" w:color="auto" w:sz="4" w:space="0"/>
              <w:right w:val="single" w:color="auto" w:sz="4" w:space="0"/>
            </w:tcBorders>
            <w:vAlign w:val="center"/>
          </w:tcPr>
          <w:p w14:paraId="15FBF6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项目建设施工阶段监理（含施工准备阶段、施工阶段、工程竣工结算阶段和保修阶段监理）</w:t>
            </w:r>
          </w:p>
        </w:tc>
      </w:tr>
      <w:tr w14:paraId="56A16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E64C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1725" w:type="dxa"/>
            <w:tcBorders>
              <w:top w:val="single" w:color="auto" w:sz="4" w:space="0"/>
              <w:left w:val="single" w:color="auto" w:sz="4" w:space="0"/>
              <w:bottom w:val="single" w:color="auto" w:sz="4" w:space="0"/>
              <w:right w:val="single" w:color="auto" w:sz="4" w:space="0"/>
            </w:tcBorders>
            <w:vAlign w:val="center"/>
          </w:tcPr>
          <w:p w14:paraId="395764C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标段划分</w:t>
            </w:r>
          </w:p>
        </w:tc>
        <w:tc>
          <w:tcPr>
            <w:tcW w:w="6856" w:type="dxa"/>
            <w:tcBorders>
              <w:top w:val="single" w:color="auto" w:sz="4" w:space="0"/>
              <w:left w:val="single" w:color="auto" w:sz="4" w:space="0"/>
              <w:bottom w:val="single" w:color="auto" w:sz="4" w:space="0"/>
              <w:right w:val="single" w:color="auto" w:sz="4" w:space="0"/>
            </w:tcBorders>
            <w:vAlign w:val="center"/>
          </w:tcPr>
          <w:p w14:paraId="6F6ED3D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本招标项目不划分标段。</w:t>
            </w:r>
          </w:p>
        </w:tc>
      </w:tr>
      <w:tr w14:paraId="1EAF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721" w:type="dxa"/>
            <w:tcBorders>
              <w:top w:val="single" w:color="auto" w:sz="4" w:space="0"/>
              <w:left w:val="single" w:color="auto" w:sz="4" w:space="0"/>
              <w:bottom w:val="single" w:color="auto" w:sz="4" w:space="0"/>
              <w:right w:val="single" w:color="auto" w:sz="4" w:space="0"/>
            </w:tcBorders>
            <w:vAlign w:val="center"/>
          </w:tcPr>
          <w:p w14:paraId="0D21C1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1725" w:type="dxa"/>
            <w:tcBorders>
              <w:top w:val="single" w:color="auto" w:sz="4" w:space="0"/>
              <w:left w:val="single" w:color="auto" w:sz="4" w:space="0"/>
              <w:bottom w:val="single" w:color="auto" w:sz="4" w:space="0"/>
              <w:right w:val="single" w:color="auto" w:sz="4" w:space="0"/>
            </w:tcBorders>
            <w:vAlign w:val="center"/>
          </w:tcPr>
          <w:p w14:paraId="39645DB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投标人资格要求</w:t>
            </w:r>
          </w:p>
        </w:tc>
        <w:tc>
          <w:tcPr>
            <w:tcW w:w="6856" w:type="dxa"/>
            <w:tcBorders>
              <w:top w:val="single" w:color="auto" w:sz="4" w:space="0"/>
              <w:left w:val="single" w:color="auto" w:sz="4" w:space="0"/>
              <w:bottom w:val="single" w:color="auto" w:sz="4" w:space="0"/>
              <w:right w:val="single" w:color="auto" w:sz="4" w:space="0"/>
            </w:tcBorders>
            <w:vAlign w:val="center"/>
          </w:tcPr>
          <w:p w14:paraId="72B4A5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1．本次招标不接受联合体投标。</w:t>
            </w:r>
          </w:p>
          <w:p w14:paraId="0C43707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2．资质要求</w:t>
            </w:r>
          </w:p>
          <w:p w14:paraId="5E83E10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投标人须具备独立法人资格，按国家法律经营。</w:t>
            </w:r>
          </w:p>
          <w:p w14:paraId="0BD694E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投标人须具备以下资质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工程监理综合资质或房屋建筑工程专业监理乙级以上（含乙级）资质。</w:t>
            </w:r>
          </w:p>
          <w:p w14:paraId="313E5A8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F5074A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3．相关人员要求</w:t>
            </w:r>
          </w:p>
          <w:p w14:paraId="167EA2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拟派总监理工程师为</w:t>
            </w:r>
            <w:r>
              <w:rPr>
                <w:rFonts w:hint="eastAsia" w:ascii="宋体" w:hAnsi="宋体" w:eastAsia="宋体" w:cs="宋体"/>
                <w:color w:val="auto"/>
                <w:sz w:val="24"/>
                <w:szCs w:val="24"/>
                <w:highlight w:val="none"/>
                <w:u w:val="single"/>
                <w:lang w:eastAsia="zh-CN"/>
              </w:rPr>
              <w:t>房屋建筑工</w:t>
            </w:r>
            <w:r>
              <w:rPr>
                <w:rFonts w:hint="eastAsia" w:ascii="宋体" w:hAnsi="宋体" w:eastAsia="宋体" w:cs="宋体"/>
                <w:color w:val="auto"/>
                <w:sz w:val="24"/>
                <w:szCs w:val="24"/>
                <w:highlight w:val="none"/>
                <w:u w:val="single"/>
              </w:rPr>
              <w:t>程</w:t>
            </w:r>
            <w:r>
              <w:rPr>
                <w:rFonts w:hint="eastAsia" w:ascii="宋体" w:hAnsi="宋体" w:eastAsia="宋体" w:cs="宋体"/>
                <w:color w:val="auto"/>
                <w:sz w:val="24"/>
                <w:szCs w:val="24"/>
                <w:highlight w:val="none"/>
              </w:rPr>
              <w:t>专业注册监理工程师，应持有国家住建部印发的有效注册证书，其担任总监理工程师职务的其他在施（包括已中标未开工、已开工未竣工）建设工程项目不得超过</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个。</w:t>
            </w:r>
          </w:p>
          <w:p w14:paraId="6A7B36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拟派总监理工程师现阶段有担任其他在施建设工程项目总监理工程师职务的，须得到任职项目建设单位书面同意后方可担任本招标项目总监理工程师。</w:t>
            </w:r>
          </w:p>
          <w:p w14:paraId="271834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投标人与其拟派往本项目监理机构的所有人员之间必须具备合法、唯一的劳动聘用关系。拟派人员中具备注册执业资格的，其注册单位须与投标人保持一致。</w:t>
            </w:r>
          </w:p>
          <w:p w14:paraId="4D8E3C3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4．禁止投标条款</w:t>
            </w:r>
          </w:p>
          <w:p w14:paraId="643A797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投标人不得存在下列情形之一：</w:t>
            </w:r>
          </w:p>
          <w:p w14:paraId="33D9336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（1）为招标人不具有独立法人资格的附属机构（单位）；</w:t>
            </w:r>
          </w:p>
          <w:p w14:paraId="050EBDB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（2）与招标人存在利害关系且可能影响招标公正性；</w:t>
            </w:r>
          </w:p>
          <w:p w14:paraId="24F40CA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（3）与本招标项目的其他投标人为同一个单位负责人；</w:t>
            </w:r>
          </w:p>
          <w:p w14:paraId="1244D3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（4）与本招标项目的其他投标人存在控股、管理关系；</w:t>
            </w:r>
          </w:p>
          <w:p w14:paraId="66985AC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（5）为本招标项目的代建人；</w:t>
            </w:r>
          </w:p>
          <w:p w14:paraId="7A5518C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（6）为本招标项目的招标代理机构；</w:t>
            </w:r>
          </w:p>
          <w:p w14:paraId="4B96EB3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（7）与本招标项目的代建人或招标代理机构同为一个法定代表人；</w:t>
            </w:r>
          </w:p>
          <w:p w14:paraId="097A8C0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（8）与本招标项目的代建人或招标代理机构存在控股或参股关系；</w:t>
            </w:r>
          </w:p>
          <w:p w14:paraId="6F337B4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（9）与本招标项目的施工承包人以及建筑材料、建筑构配件和设备供应商有隶属关系或者其他利害关系；</w:t>
            </w:r>
          </w:p>
          <w:p w14:paraId="73DC565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（10）被依法暂停或者取消投标资格；</w:t>
            </w:r>
          </w:p>
          <w:p w14:paraId="679F454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（11）被责令停产停业、暂扣或者吊销许可证、暂扣或者吊销执照；</w:t>
            </w:r>
          </w:p>
          <w:p w14:paraId="27E4256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（12）进入清算程序，或被宣告破产，或其他丧失履约能力的情形；</w:t>
            </w:r>
          </w:p>
          <w:p w14:paraId="74156A1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（13）在最近三年内发生重大监理质量问题（以相关行业主管部门的行政处罚决定或司法机关出具的有关法律文书为准）；</w:t>
            </w:r>
          </w:p>
          <w:p w14:paraId="6002F34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r>
              <w:rPr>
                <w:rFonts w:hint="eastAsia" w:ascii="宋体" w:hAnsi="宋体" w:eastAsia="宋体" w:cs="宋体"/>
                <w:color w:val="auto"/>
                <w:kern w:val="0"/>
                <w:sz w:val="24"/>
                <w:szCs w:val="24"/>
                <w:highlight w:val="none"/>
              </w:rPr>
              <w:t>被“信用中国”网站（https://www.creditchina.gov.cn）发布的《法人和非法人组织公共信用信息报告》列为严重失信主体名单的</w:t>
            </w:r>
            <w:r>
              <w:rPr>
                <w:rFonts w:hint="eastAsia" w:ascii="宋体" w:hAnsi="宋体" w:eastAsia="宋体" w:cs="宋体"/>
                <w:color w:val="auto"/>
                <w:sz w:val="24"/>
                <w:szCs w:val="24"/>
                <w:highlight w:val="none"/>
              </w:rPr>
              <w:t>。</w:t>
            </w:r>
          </w:p>
          <w:p w14:paraId="07596E7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招标人拒绝以下名单中的单位参加本次投标：</w:t>
            </w:r>
          </w:p>
          <w:tbl>
            <w:tblPr>
              <w:tblStyle w:val="31"/>
              <w:tblW w:w="6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2875"/>
              <w:gridCol w:w="2966"/>
            </w:tblGrid>
            <w:tr w14:paraId="6DFE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1D38E1D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2875" w:type="dxa"/>
                  <w:noWrap w:val="0"/>
                  <w:vAlign w:val="center"/>
                </w:tcPr>
                <w:p w14:paraId="7D918E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2966" w:type="dxa"/>
                  <w:noWrap w:val="0"/>
                  <w:vAlign w:val="center"/>
                </w:tcPr>
                <w:p w14:paraId="20BE8CAB">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3D6A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5B757AB9">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2875" w:type="dxa"/>
                  <w:noWrap w:val="0"/>
                  <w:vAlign w:val="center"/>
                </w:tcPr>
                <w:p w14:paraId="33309A4E">
                  <w:pPr>
                    <w:pStyle w:val="88"/>
                    <w:wordWrap w:val="0"/>
                    <w:adjustRightInd w:val="0"/>
                    <w:snapToGrid w:val="0"/>
                    <w:spacing w:line="3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无</w:t>
                  </w:r>
                </w:p>
              </w:tc>
              <w:tc>
                <w:tcPr>
                  <w:tcW w:w="2966" w:type="dxa"/>
                  <w:noWrap w:val="0"/>
                  <w:vAlign w:val="center"/>
                </w:tcPr>
                <w:p w14:paraId="3109F4A9">
                  <w:pPr>
                    <w:pStyle w:val="88"/>
                    <w:wordWrap w:val="0"/>
                    <w:adjustRightInd w:val="0"/>
                    <w:snapToGrid w:val="0"/>
                    <w:spacing w:line="3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为招标人不具有独立法人资格的附属机构</w:t>
                  </w:r>
                </w:p>
              </w:tc>
            </w:tr>
            <w:tr w14:paraId="74C7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28FEDDA3">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2875" w:type="dxa"/>
                  <w:noWrap w:val="0"/>
                  <w:vAlign w:val="center"/>
                </w:tcPr>
                <w:p w14:paraId="22B974FA">
                  <w:pPr>
                    <w:pStyle w:val="88"/>
                    <w:wordWrap w:val="0"/>
                    <w:adjustRightInd w:val="0"/>
                    <w:snapToGrid w:val="0"/>
                    <w:spacing w:line="3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韶关市武江区应急管理局</w:t>
                  </w:r>
                </w:p>
              </w:tc>
              <w:tc>
                <w:tcPr>
                  <w:tcW w:w="2966" w:type="dxa"/>
                  <w:noWrap w:val="0"/>
                  <w:vAlign w:val="center"/>
                </w:tcPr>
                <w:p w14:paraId="3A221F21">
                  <w:pPr>
                    <w:pStyle w:val="88"/>
                    <w:wordWrap w:val="0"/>
                    <w:adjustRightInd w:val="0"/>
                    <w:snapToGrid w:val="0"/>
                    <w:spacing w:line="3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为本招标项目的招标人</w:t>
                  </w:r>
                </w:p>
              </w:tc>
            </w:tr>
            <w:tr w14:paraId="5A9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74118216">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p>
              </w:tc>
              <w:tc>
                <w:tcPr>
                  <w:tcW w:w="2875" w:type="dxa"/>
                  <w:noWrap w:val="0"/>
                  <w:vAlign w:val="center"/>
                </w:tcPr>
                <w:p w14:paraId="0A3FF80A">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eastAsia="zh-CN"/>
                    </w:rPr>
                    <w:t>韶关众信项目管理有限公司</w:t>
                  </w:r>
                </w:p>
              </w:tc>
              <w:tc>
                <w:tcPr>
                  <w:tcW w:w="2966" w:type="dxa"/>
                  <w:noWrap w:val="0"/>
                  <w:vAlign w:val="center"/>
                </w:tcPr>
                <w:p w14:paraId="5C95264F">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为本招标项目的招标代理机构</w:t>
                  </w:r>
                </w:p>
              </w:tc>
            </w:tr>
            <w:tr w14:paraId="5E68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0D97E1E8">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4</w:t>
                  </w:r>
                </w:p>
              </w:tc>
              <w:tc>
                <w:tcPr>
                  <w:tcW w:w="2875" w:type="dxa"/>
                  <w:noWrap w:val="0"/>
                  <w:vAlign w:val="center"/>
                </w:tcPr>
                <w:p w14:paraId="5DD32DF6">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中创名建工程管理集团有限公司</w:t>
                  </w:r>
                </w:p>
              </w:tc>
              <w:tc>
                <w:tcPr>
                  <w:tcW w:w="2966" w:type="dxa"/>
                  <w:noWrap w:val="0"/>
                  <w:vAlign w:val="center"/>
                </w:tcPr>
                <w:p w14:paraId="0884CAA7">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全过程造价咨询</w:t>
                  </w:r>
                  <w:r>
                    <w:rPr>
                      <w:rFonts w:hint="eastAsia" w:ascii="宋体" w:hAnsi="宋体" w:eastAsia="宋体" w:cs="宋体"/>
                      <w:snapToGrid w:val="0"/>
                      <w:color w:val="auto"/>
                      <w:kern w:val="0"/>
                      <w:sz w:val="24"/>
                      <w:szCs w:val="24"/>
                      <w:highlight w:val="none"/>
                    </w:rPr>
                    <w:t>单位</w:t>
                  </w:r>
                </w:p>
              </w:tc>
            </w:tr>
            <w:tr w14:paraId="223D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vAlign w:val="center"/>
                </w:tcPr>
                <w:p w14:paraId="12C6AB1E">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5</w:t>
                  </w:r>
                </w:p>
              </w:tc>
              <w:tc>
                <w:tcPr>
                  <w:tcW w:w="2875" w:type="dxa"/>
                  <w:noWrap w:val="0"/>
                  <w:vAlign w:val="center"/>
                </w:tcPr>
                <w:p w14:paraId="08C50894">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eastAsia="zh-CN"/>
                    </w:rPr>
                    <w:t>中誉设计有限公司</w:t>
                  </w:r>
                </w:p>
              </w:tc>
              <w:tc>
                <w:tcPr>
                  <w:tcW w:w="2966" w:type="dxa"/>
                  <w:noWrap w:val="0"/>
                  <w:vAlign w:val="center"/>
                </w:tcPr>
                <w:p w14:paraId="0F42C53D">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为本招标项目的设计单位</w:t>
                  </w:r>
                </w:p>
              </w:tc>
            </w:tr>
          </w:tbl>
          <w:p w14:paraId="0C8F709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5．其他要求</w:t>
            </w:r>
          </w:p>
          <w:p w14:paraId="3927F0F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EB3D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721" w:type="dxa"/>
            <w:tcBorders>
              <w:top w:val="single" w:color="auto" w:sz="4" w:space="0"/>
              <w:left w:val="single" w:color="auto" w:sz="4" w:space="0"/>
              <w:bottom w:val="single" w:color="auto" w:sz="4" w:space="0"/>
              <w:right w:val="single" w:color="auto" w:sz="4" w:space="0"/>
            </w:tcBorders>
            <w:vAlign w:val="center"/>
          </w:tcPr>
          <w:p w14:paraId="49A6DA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c>
          <w:tcPr>
            <w:tcW w:w="1725" w:type="dxa"/>
            <w:tcBorders>
              <w:top w:val="single" w:color="auto" w:sz="4" w:space="0"/>
              <w:left w:val="single" w:color="auto" w:sz="4" w:space="0"/>
              <w:bottom w:val="single" w:color="auto" w:sz="4" w:space="0"/>
              <w:right w:val="single" w:color="auto" w:sz="4" w:space="0"/>
            </w:tcBorders>
            <w:vAlign w:val="center"/>
          </w:tcPr>
          <w:p w14:paraId="688F74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服务期限</w:t>
            </w:r>
          </w:p>
        </w:tc>
        <w:tc>
          <w:tcPr>
            <w:tcW w:w="6856" w:type="dxa"/>
            <w:tcBorders>
              <w:top w:val="single" w:color="auto" w:sz="4" w:space="0"/>
              <w:left w:val="single" w:color="auto" w:sz="4" w:space="0"/>
              <w:bottom w:val="single" w:color="auto" w:sz="4" w:space="0"/>
              <w:right w:val="single" w:color="auto" w:sz="4" w:space="0"/>
            </w:tcBorders>
            <w:vAlign w:val="center"/>
          </w:tcPr>
          <w:p w14:paraId="5CB8F92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本项目施工招标</w:t>
            </w:r>
            <w:r>
              <w:rPr>
                <w:rFonts w:hint="eastAsia" w:hAnsi="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val="en-US" w:eastAsia="zh-CN"/>
              </w:rPr>
              <w:t>工期为360个日历天，</w:t>
            </w:r>
            <w:r>
              <w:rPr>
                <w:rFonts w:hint="eastAsia" w:ascii="宋体" w:hAnsi="宋体" w:eastAsia="宋体" w:cs="宋体"/>
                <w:snapToGrid w:val="0"/>
                <w:color w:val="auto"/>
                <w:kern w:val="0"/>
                <w:sz w:val="24"/>
                <w:szCs w:val="24"/>
                <w:highlight w:val="none"/>
              </w:rPr>
              <w:t>监理服务期从监理合同签订之日起计，至本工程缺陷责任保修期结束且本工程结算金额经政府主管部门审定且双方的责任义务履行完毕时止。</w:t>
            </w:r>
          </w:p>
        </w:tc>
      </w:tr>
      <w:tr w14:paraId="69F3B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4679C8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1725" w:type="dxa"/>
            <w:tcBorders>
              <w:top w:val="single" w:color="auto" w:sz="4" w:space="0"/>
              <w:left w:val="single" w:color="auto" w:sz="4" w:space="0"/>
              <w:bottom w:val="single" w:color="auto" w:sz="4" w:space="0"/>
              <w:right w:val="single" w:color="auto" w:sz="4" w:space="0"/>
            </w:tcBorders>
            <w:vAlign w:val="center"/>
          </w:tcPr>
          <w:p w14:paraId="61DD648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服务标准</w:t>
            </w:r>
          </w:p>
        </w:tc>
        <w:tc>
          <w:tcPr>
            <w:tcW w:w="6856" w:type="dxa"/>
            <w:tcBorders>
              <w:top w:val="single" w:color="auto" w:sz="4" w:space="0"/>
              <w:left w:val="single" w:color="auto" w:sz="4" w:space="0"/>
              <w:bottom w:val="single" w:color="auto" w:sz="4" w:space="0"/>
              <w:right w:val="single" w:color="auto" w:sz="4" w:space="0"/>
            </w:tcBorders>
            <w:vAlign w:val="center"/>
          </w:tcPr>
          <w:p w14:paraId="4C9992E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工程质量达到合格或以上标准。</w:t>
            </w:r>
          </w:p>
        </w:tc>
      </w:tr>
      <w:tr w14:paraId="51DD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75EDEE7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1725" w:type="dxa"/>
            <w:tcBorders>
              <w:top w:val="single" w:color="auto" w:sz="4" w:space="0"/>
              <w:left w:val="single" w:color="auto" w:sz="4" w:space="0"/>
              <w:bottom w:val="single" w:color="auto" w:sz="4" w:space="0"/>
              <w:right w:val="single" w:color="auto" w:sz="4" w:space="0"/>
            </w:tcBorders>
            <w:vAlign w:val="center"/>
          </w:tcPr>
          <w:p w14:paraId="126D9AF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最高投标限价</w:t>
            </w:r>
          </w:p>
        </w:tc>
        <w:tc>
          <w:tcPr>
            <w:tcW w:w="6856" w:type="dxa"/>
            <w:tcBorders>
              <w:top w:val="single" w:color="auto" w:sz="4" w:space="0"/>
              <w:left w:val="single" w:color="auto" w:sz="4" w:space="0"/>
              <w:bottom w:val="single" w:color="auto" w:sz="4" w:space="0"/>
              <w:right w:val="single" w:color="auto" w:sz="4" w:space="0"/>
            </w:tcBorders>
            <w:vAlign w:val="center"/>
          </w:tcPr>
          <w:p w14:paraId="495F840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Cs/>
                <w:color w:val="auto"/>
                <w:sz w:val="24"/>
                <w:szCs w:val="24"/>
                <w:highlight w:val="none"/>
              </w:rPr>
              <w:t>详见招标文件“第一章 投标人须知 8 最高投标限价”</w:t>
            </w:r>
          </w:p>
        </w:tc>
      </w:tr>
      <w:tr w14:paraId="3D022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721" w:type="dxa"/>
            <w:tcBorders>
              <w:top w:val="single" w:color="auto" w:sz="4" w:space="0"/>
              <w:left w:val="single" w:color="auto" w:sz="4" w:space="0"/>
              <w:bottom w:val="single" w:color="auto" w:sz="4" w:space="0"/>
              <w:right w:val="single" w:color="auto" w:sz="4" w:space="0"/>
            </w:tcBorders>
            <w:vAlign w:val="center"/>
          </w:tcPr>
          <w:p w14:paraId="5943758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1725" w:type="dxa"/>
            <w:tcBorders>
              <w:top w:val="single" w:color="auto" w:sz="4" w:space="0"/>
              <w:left w:val="single" w:color="auto" w:sz="4" w:space="0"/>
              <w:bottom w:val="single" w:color="auto" w:sz="4" w:space="0"/>
              <w:right w:val="single" w:color="auto" w:sz="4" w:space="0"/>
            </w:tcBorders>
            <w:vAlign w:val="center"/>
          </w:tcPr>
          <w:p w14:paraId="0AAED69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投标保证金</w:t>
            </w:r>
          </w:p>
        </w:tc>
        <w:tc>
          <w:tcPr>
            <w:tcW w:w="6856" w:type="dxa"/>
            <w:tcBorders>
              <w:top w:val="single" w:color="auto" w:sz="4" w:space="0"/>
              <w:left w:val="single" w:color="auto" w:sz="4" w:space="0"/>
              <w:bottom w:val="single" w:color="auto" w:sz="4" w:space="0"/>
              <w:right w:val="single" w:color="auto" w:sz="4" w:space="0"/>
            </w:tcBorders>
            <w:vAlign w:val="center"/>
          </w:tcPr>
          <w:p w14:paraId="69BE724C">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1.投标人须缴纳金额为人民币</w:t>
            </w:r>
            <w:r>
              <w:rPr>
                <w:rFonts w:hint="eastAsia" w:ascii="宋体" w:hAnsi="宋体" w:eastAsia="宋体" w:cs="宋体"/>
                <w:color w:val="auto"/>
                <w:sz w:val="24"/>
                <w:szCs w:val="24"/>
                <w:highlight w:val="none"/>
                <w:u w:val="single"/>
                <w:lang w:val="en-US" w:eastAsia="zh-CN"/>
              </w:rPr>
              <w:t>贰仟</w:t>
            </w:r>
            <w:r>
              <w:rPr>
                <w:rFonts w:hint="eastAsia" w:ascii="宋体" w:hAnsi="宋体" w:eastAsia="宋体" w:cs="宋体"/>
                <w:color w:val="auto"/>
                <w:sz w:val="24"/>
                <w:szCs w:val="24"/>
                <w:highlight w:val="none"/>
              </w:rPr>
              <w:t>元的投标保证。</w:t>
            </w:r>
          </w:p>
          <w:p w14:paraId="0BEC4750">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2.投标保证的形式包括投标保证金、投标保证担保、投标保证保险三种，由投标人自主选择。</w:t>
            </w:r>
          </w:p>
          <w:p w14:paraId="74EBCF82">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0B87F79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CF2939A">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06E48727">
            <w:pPr>
              <w:keepNext w:val="0"/>
              <w:keepLines w:val="0"/>
              <w:pageBreakBefore w:val="0"/>
              <w:widowControl w:val="0"/>
              <w:kinsoku/>
              <w:overflowPunct/>
              <w:topLinePunct w:val="0"/>
              <w:autoSpaceDE/>
              <w:autoSpaceDN/>
              <w:bidi w:val="0"/>
              <w:snapToGrid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（https://ygp.gdzwfw.gov.cn/ggzy-portal/#/440200/index），在【服务指南】栏目中下载《韶关市公共资源建设工程交易系统-投标人操作指南》，了解网上投保具体操作流程。逾期投保的，其投标无效。</w:t>
            </w:r>
          </w:p>
          <w:p w14:paraId="099FFFD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5F40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6EBF5F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1725" w:type="dxa"/>
            <w:tcBorders>
              <w:top w:val="single" w:color="auto" w:sz="4" w:space="0"/>
              <w:left w:val="single" w:color="auto" w:sz="4" w:space="0"/>
              <w:bottom w:val="single" w:color="auto" w:sz="4" w:space="0"/>
              <w:right w:val="single" w:color="auto" w:sz="4" w:space="0"/>
            </w:tcBorders>
            <w:vAlign w:val="center"/>
          </w:tcPr>
          <w:p w14:paraId="55725C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投标有效期</w:t>
            </w:r>
          </w:p>
        </w:tc>
        <w:tc>
          <w:tcPr>
            <w:tcW w:w="6856" w:type="dxa"/>
            <w:tcBorders>
              <w:top w:val="single" w:color="auto" w:sz="4" w:space="0"/>
              <w:left w:val="single" w:color="auto" w:sz="4" w:space="0"/>
              <w:bottom w:val="single" w:color="auto" w:sz="4" w:space="0"/>
              <w:right w:val="single" w:color="auto" w:sz="4" w:space="0"/>
            </w:tcBorders>
            <w:vAlign w:val="center"/>
          </w:tcPr>
          <w:p w14:paraId="73AFD77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本次招标的投标有效期为</w:t>
            </w:r>
            <w:r>
              <w:rPr>
                <w:rFonts w:hint="eastAsia" w:ascii="宋体" w:hAnsi="宋体" w:eastAsia="宋体" w:cs="宋体"/>
                <w:snapToGrid w:val="0"/>
                <w:color w:val="auto"/>
                <w:kern w:val="0"/>
                <w:sz w:val="24"/>
                <w:szCs w:val="24"/>
                <w:highlight w:val="none"/>
                <w:u w:val="single"/>
              </w:rPr>
              <w:t xml:space="preserve"> 90 </w:t>
            </w:r>
            <w:r>
              <w:rPr>
                <w:rFonts w:hint="eastAsia" w:ascii="宋体" w:hAnsi="宋体" w:eastAsia="宋体" w:cs="宋体"/>
                <w:snapToGrid w:val="0"/>
                <w:color w:val="auto"/>
                <w:kern w:val="0"/>
                <w:sz w:val="24"/>
                <w:szCs w:val="24"/>
                <w:highlight w:val="none"/>
              </w:rPr>
              <w:t>个日历天。</w:t>
            </w:r>
          </w:p>
        </w:tc>
      </w:tr>
      <w:tr w14:paraId="1490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8" w:hRule="exact"/>
        </w:trPr>
        <w:tc>
          <w:tcPr>
            <w:tcW w:w="721" w:type="dxa"/>
            <w:tcBorders>
              <w:top w:val="single" w:color="auto" w:sz="4" w:space="0"/>
              <w:left w:val="single" w:color="auto" w:sz="4" w:space="0"/>
              <w:bottom w:val="single" w:color="auto" w:sz="4" w:space="0"/>
              <w:right w:val="single" w:color="auto" w:sz="4" w:space="0"/>
            </w:tcBorders>
            <w:vAlign w:val="center"/>
          </w:tcPr>
          <w:p w14:paraId="298563C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1725" w:type="dxa"/>
            <w:tcBorders>
              <w:top w:val="single" w:color="auto" w:sz="4" w:space="0"/>
              <w:left w:val="single" w:color="auto" w:sz="4" w:space="0"/>
              <w:bottom w:val="single" w:color="auto" w:sz="4" w:space="0"/>
              <w:right w:val="single" w:color="auto" w:sz="4" w:space="0"/>
            </w:tcBorders>
            <w:vAlign w:val="center"/>
          </w:tcPr>
          <w:p w14:paraId="35AAF60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投标文件组成</w:t>
            </w:r>
          </w:p>
        </w:tc>
        <w:tc>
          <w:tcPr>
            <w:tcW w:w="6856" w:type="dxa"/>
            <w:tcBorders>
              <w:top w:val="single" w:color="auto" w:sz="4" w:space="0"/>
              <w:left w:val="single" w:color="auto" w:sz="4" w:space="0"/>
              <w:bottom w:val="single" w:color="auto" w:sz="4" w:space="0"/>
              <w:right w:val="single" w:color="auto" w:sz="4" w:space="0"/>
            </w:tcBorders>
            <w:vAlign w:val="center"/>
          </w:tcPr>
          <w:p w14:paraId="0A5EC30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投标文件包括商务标书、监理大纲</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定标文件三</w:t>
            </w:r>
            <w:r>
              <w:rPr>
                <w:rFonts w:hint="eastAsia" w:ascii="宋体" w:hAnsi="宋体" w:eastAsia="宋体" w:cs="宋体"/>
                <w:snapToGrid w:val="0"/>
                <w:color w:val="auto"/>
                <w:kern w:val="0"/>
                <w:sz w:val="24"/>
                <w:szCs w:val="24"/>
                <w:highlight w:val="none"/>
              </w:rPr>
              <w:t>个分册。</w:t>
            </w:r>
          </w:p>
        </w:tc>
      </w:tr>
      <w:tr w14:paraId="61150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982B3C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1725" w:type="dxa"/>
            <w:tcBorders>
              <w:top w:val="single" w:color="auto" w:sz="4" w:space="0"/>
              <w:left w:val="single" w:color="auto" w:sz="4" w:space="0"/>
              <w:bottom w:val="single" w:color="auto" w:sz="4" w:space="0"/>
              <w:right w:val="single" w:color="auto" w:sz="4" w:space="0"/>
            </w:tcBorders>
            <w:vAlign w:val="center"/>
          </w:tcPr>
          <w:p w14:paraId="37EED64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评标方法</w:t>
            </w:r>
          </w:p>
        </w:tc>
        <w:tc>
          <w:tcPr>
            <w:tcW w:w="6856" w:type="dxa"/>
            <w:tcBorders>
              <w:top w:val="single" w:color="auto" w:sz="4" w:space="0"/>
              <w:left w:val="single" w:color="auto" w:sz="4" w:space="0"/>
              <w:bottom w:val="single" w:color="auto" w:sz="4" w:space="0"/>
              <w:right w:val="single" w:color="auto" w:sz="4" w:space="0"/>
            </w:tcBorders>
            <w:vAlign w:val="center"/>
          </w:tcPr>
          <w:p w14:paraId="606C701F">
            <w:pPr>
              <w:keepNext w:val="0"/>
              <w:keepLines w:val="0"/>
              <w:pageBreakBefore w:val="0"/>
              <w:widowControl w:val="0"/>
              <w:kinsoku/>
              <w:wordWrap w:val="0"/>
              <w:overflowPunct/>
              <w:topLinePunct w:val="0"/>
              <w:autoSpaceDE/>
              <w:autoSpaceDN/>
              <w:bidi w:val="0"/>
              <w:adjustRightInd w:val="0"/>
              <w:snapToGrid w:val="0"/>
              <w:spacing w:line="5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综合评估法</w:t>
            </w:r>
          </w:p>
        </w:tc>
      </w:tr>
      <w:tr w14:paraId="75B13D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5F2B9D9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23</w:t>
            </w:r>
          </w:p>
        </w:tc>
        <w:tc>
          <w:tcPr>
            <w:tcW w:w="1725" w:type="dxa"/>
            <w:tcBorders>
              <w:top w:val="single" w:color="auto" w:sz="4" w:space="0"/>
              <w:left w:val="single" w:color="auto" w:sz="4" w:space="0"/>
              <w:bottom w:val="single" w:color="auto" w:sz="4" w:space="0"/>
              <w:right w:val="single" w:color="auto" w:sz="4" w:space="0"/>
            </w:tcBorders>
            <w:vAlign w:val="center"/>
          </w:tcPr>
          <w:p w14:paraId="384C1EC1">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定标办法</w:t>
            </w:r>
          </w:p>
        </w:tc>
        <w:tc>
          <w:tcPr>
            <w:tcW w:w="6856" w:type="dxa"/>
            <w:tcBorders>
              <w:top w:val="single" w:color="auto" w:sz="4" w:space="0"/>
              <w:left w:val="single" w:color="auto" w:sz="4" w:space="0"/>
              <w:bottom w:val="single" w:color="auto" w:sz="4" w:space="0"/>
              <w:right w:val="single" w:color="auto" w:sz="4" w:space="0"/>
            </w:tcBorders>
            <w:vAlign w:val="center"/>
          </w:tcPr>
          <w:p w14:paraId="3410BE91">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采用</w:t>
            </w:r>
            <w:r>
              <w:rPr>
                <w:rFonts w:hint="eastAsia" w:ascii="宋体" w:hAnsi="宋体" w:eastAsia="宋体" w:cs="宋体"/>
                <w:b/>
                <w:bCs w:val="0"/>
                <w:snapToGrid w:val="0"/>
                <w:color w:val="auto"/>
                <w:kern w:val="0"/>
                <w:sz w:val="24"/>
                <w:szCs w:val="24"/>
                <w:highlight w:val="none"/>
                <w:lang w:val="en-US" w:eastAsia="zh-CN"/>
              </w:rPr>
              <w:t>评定分离</w:t>
            </w:r>
            <w:r>
              <w:rPr>
                <w:rFonts w:hint="eastAsia" w:ascii="宋体" w:hAnsi="宋体" w:eastAsia="宋体" w:cs="宋体"/>
                <w:bCs/>
                <w:snapToGrid w:val="0"/>
                <w:color w:val="auto"/>
                <w:kern w:val="0"/>
                <w:sz w:val="24"/>
                <w:szCs w:val="24"/>
                <w:highlight w:val="none"/>
                <w:lang w:val="en-US" w:eastAsia="zh-CN"/>
              </w:rPr>
              <w:t>的项目，应选定下列定标办法：</w:t>
            </w:r>
          </w:p>
          <w:p w14:paraId="19B42425">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☑票决数量法</w:t>
            </w:r>
          </w:p>
          <w:p w14:paraId="2FCFF72B">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□票决计分法</w:t>
            </w:r>
          </w:p>
          <w:p w14:paraId="1F354B5D">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□集体议事法</w:t>
            </w:r>
          </w:p>
          <w:p w14:paraId="3E66347B">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□其他方法：</w:t>
            </w:r>
            <w:r>
              <w:rPr>
                <w:rFonts w:hint="eastAsia" w:ascii="宋体" w:hAnsi="宋体" w:eastAsia="宋体" w:cs="宋体"/>
                <w:bCs/>
                <w:snapToGrid w:val="0"/>
                <w:color w:val="auto"/>
                <w:kern w:val="0"/>
                <w:sz w:val="24"/>
                <w:szCs w:val="24"/>
                <w:highlight w:val="none"/>
                <w:u w:val="single"/>
                <w:lang w:val="en-US" w:eastAsia="zh-CN"/>
              </w:rPr>
              <w:t xml:space="preserve">       </w:t>
            </w:r>
          </w:p>
        </w:tc>
      </w:tr>
      <w:tr w14:paraId="076C4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B5D858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4</w:t>
            </w:r>
          </w:p>
        </w:tc>
        <w:tc>
          <w:tcPr>
            <w:tcW w:w="1725" w:type="dxa"/>
            <w:tcBorders>
              <w:top w:val="single" w:color="auto" w:sz="4" w:space="0"/>
              <w:left w:val="single" w:color="auto" w:sz="4" w:space="0"/>
              <w:bottom w:val="single" w:color="auto" w:sz="4" w:space="0"/>
              <w:right w:val="single" w:color="auto" w:sz="4" w:space="0"/>
            </w:tcBorders>
            <w:vAlign w:val="center"/>
          </w:tcPr>
          <w:p w14:paraId="794A682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监理大纲评审</w:t>
            </w:r>
          </w:p>
          <w:p w14:paraId="3AB04B4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方式</w:t>
            </w:r>
          </w:p>
        </w:tc>
        <w:tc>
          <w:tcPr>
            <w:tcW w:w="6856" w:type="dxa"/>
            <w:tcBorders>
              <w:top w:val="single" w:color="auto" w:sz="4" w:space="0"/>
              <w:left w:val="single" w:color="auto" w:sz="4" w:space="0"/>
              <w:bottom w:val="single" w:color="auto" w:sz="4" w:space="0"/>
              <w:right w:val="single" w:color="auto" w:sz="4" w:space="0"/>
            </w:tcBorders>
            <w:vAlign w:val="center"/>
          </w:tcPr>
          <w:p w14:paraId="6D01719C">
            <w:pPr>
              <w:keepNext w:val="0"/>
              <w:keepLines w:val="0"/>
              <w:pageBreakBefore w:val="0"/>
              <w:widowControl w:val="0"/>
              <w:kinsoku/>
              <w:wordWrap w:val="0"/>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本次招标监理大纲</w:t>
            </w:r>
            <w:r>
              <w:rPr>
                <w:rFonts w:hint="eastAsia" w:ascii="宋体" w:hAnsi="宋体" w:eastAsia="宋体" w:cs="宋体"/>
                <w:snapToGrid w:val="0"/>
                <w:color w:val="auto"/>
                <w:kern w:val="0"/>
                <w:sz w:val="24"/>
                <w:szCs w:val="24"/>
                <w:highlight w:val="none"/>
                <w:u w:val="single"/>
              </w:rPr>
              <w:t xml:space="preserve"> 不采用 </w:t>
            </w:r>
            <w:r>
              <w:rPr>
                <w:rFonts w:hint="eastAsia" w:ascii="宋体" w:hAnsi="宋体" w:eastAsia="宋体" w:cs="宋体"/>
                <w:snapToGrid w:val="0"/>
                <w:color w:val="auto"/>
                <w:kern w:val="0"/>
                <w:sz w:val="24"/>
                <w:szCs w:val="24"/>
                <w:highlight w:val="none"/>
              </w:rPr>
              <w:t>“暗标”方式进行评审。</w:t>
            </w:r>
          </w:p>
        </w:tc>
      </w:tr>
      <w:tr w14:paraId="2BF2E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A83B32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5</w:t>
            </w:r>
          </w:p>
        </w:tc>
        <w:tc>
          <w:tcPr>
            <w:tcW w:w="1725" w:type="dxa"/>
            <w:tcBorders>
              <w:top w:val="single" w:color="auto" w:sz="4" w:space="0"/>
              <w:left w:val="single" w:color="auto" w:sz="4" w:space="0"/>
              <w:bottom w:val="single" w:color="auto" w:sz="4" w:space="0"/>
              <w:right w:val="single" w:color="auto" w:sz="4" w:space="0"/>
            </w:tcBorders>
            <w:vAlign w:val="center"/>
          </w:tcPr>
          <w:p w14:paraId="6CC5BE8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w:t>
            </w:r>
          </w:p>
        </w:tc>
        <w:tc>
          <w:tcPr>
            <w:tcW w:w="6856" w:type="dxa"/>
            <w:tcBorders>
              <w:top w:val="single" w:color="auto" w:sz="4" w:space="0"/>
              <w:left w:val="single" w:color="auto" w:sz="4" w:space="0"/>
              <w:bottom w:val="single" w:color="auto" w:sz="4" w:space="0"/>
              <w:right w:val="single" w:color="auto" w:sz="4" w:space="0"/>
            </w:tcBorders>
            <w:vAlign w:val="center"/>
          </w:tcPr>
          <w:p w14:paraId="71EEA21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评标委员会由</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 xml:space="preserve"> 0 </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人。专家从广东省综合评标评审专家库</w:t>
            </w:r>
            <w:r>
              <w:rPr>
                <w:rFonts w:hint="eastAsia" w:ascii="宋体" w:hAnsi="宋体" w:eastAsia="宋体" w:cs="宋体"/>
                <w:snapToGrid w:val="0"/>
                <w:color w:val="auto"/>
                <w:kern w:val="0"/>
                <w:sz w:val="24"/>
                <w:szCs w:val="24"/>
                <w:highlight w:val="none"/>
                <w:lang w:val="en-US" w:eastAsia="zh-CN"/>
              </w:rPr>
              <w:t>-韶关区域</w:t>
            </w:r>
            <w:r>
              <w:rPr>
                <w:rFonts w:hint="eastAsia" w:ascii="宋体" w:hAnsi="宋体" w:eastAsia="宋体" w:cs="宋体"/>
                <w:snapToGrid w:val="0"/>
                <w:color w:val="auto"/>
                <w:kern w:val="0"/>
                <w:sz w:val="24"/>
                <w:szCs w:val="24"/>
                <w:highlight w:val="none"/>
              </w:rPr>
              <w:t>中随机抽取，其中技术类专家</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人。</w:t>
            </w:r>
          </w:p>
        </w:tc>
      </w:tr>
      <w:tr w14:paraId="4D4B4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7" w:hRule="atLeast"/>
        </w:trPr>
        <w:tc>
          <w:tcPr>
            <w:tcW w:w="721" w:type="dxa"/>
            <w:tcBorders>
              <w:top w:val="single" w:color="auto" w:sz="4" w:space="0"/>
              <w:left w:val="single" w:color="auto" w:sz="4" w:space="0"/>
              <w:bottom w:val="single" w:color="auto" w:sz="4" w:space="0"/>
              <w:right w:val="single" w:color="auto" w:sz="4" w:space="0"/>
            </w:tcBorders>
            <w:vAlign w:val="center"/>
          </w:tcPr>
          <w:p w14:paraId="4B5191B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26</w:t>
            </w:r>
          </w:p>
        </w:tc>
        <w:tc>
          <w:tcPr>
            <w:tcW w:w="1725" w:type="dxa"/>
            <w:tcBorders>
              <w:top w:val="single" w:color="auto" w:sz="4" w:space="0"/>
              <w:left w:val="single" w:color="auto" w:sz="4" w:space="0"/>
              <w:bottom w:val="single" w:color="auto" w:sz="4" w:space="0"/>
              <w:right w:val="single" w:color="auto" w:sz="4" w:space="0"/>
            </w:tcBorders>
            <w:vAlign w:val="center"/>
          </w:tcPr>
          <w:p w14:paraId="16D0E780">
            <w:pPr>
              <w:keepNext w:val="0"/>
              <w:keepLines w:val="0"/>
              <w:pageBreakBefore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定标委员会</w:t>
            </w:r>
          </w:p>
        </w:tc>
        <w:tc>
          <w:tcPr>
            <w:tcW w:w="6856" w:type="dxa"/>
            <w:tcBorders>
              <w:top w:val="single" w:color="auto" w:sz="4" w:space="0"/>
              <w:left w:val="single" w:color="auto" w:sz="4" w:space="0"/>
              <w:bottom w:val="single" w:color="auto" w:sz="4" w:space="0"/>
              <w:right w:val="single" w:color="auto" w:sz="4" w:space="0"/>
            </w:tcBorders>
            <w:vAlign w:val="center"/>
          </w:tcPr>
          <w:p w14:paraId="0A9DB321">
            <w:pPr>
              <w:keepNext w:val="0"/>
              <w:keepLines w:val="0"/>
              <w:pageBreakBefore w:val="0"/>
              <w:kinsoku/>
              <w:wordWrap w:val="0"/>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本项目定标委员会组成人员为</w:t>
            </w:r>
            <w:r>
              <w:rPr>
                <w:rFonts w:hint="eastAsia" w:ascii="宋体" w:hAnsi="宋体" w:eastAsia="宋体" w:cs="宋体"/>
                <w:snapToGrid w:val="0"/>
                <w:color w:val="auto"/>
                <w:kern w:val="0"/>
                <w:sz w:val="24"/>
                <w:szCs w:val="24"/>
                <w:highlight w:val="none"/>
                <w:u w:val="single"/>
                <w:lang w:val="en-US" w:eastAsia="zh-CN"/>
              </w:rPr>
              <w:t xml:space="preserve"> 7 </w:t>
            </w:r>
            <w:r>
              <w:rPr>
                <w:rFonts w:hint="eastAsia" w:ascii="宋体" w:hAnsi="宋体" w:eastAsia="宋体" w:cs="宋体"/>
                <w:snapToGrid w:val="0"/>
                <w:color w:val="auto"/>
                <w:kern w:val="0"/>
                <w:sz w:val="24"/>
                <w:szCs w:val="24"/>
                <w:highlight w:val="none"/>
                <w:lang w:val="en-US" w:eastAsia="zh-CN"/>
              </w:rPr>
              <w:t>人。</w:t>
            </w:r>
          </w:p>
        </w:tc>
      </w:tr>
      <w:tr w14:paraId="0C448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85B89B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7</w:t>
            </w:r>
          </w:p>
        </w:tc>
        <w:tc>
          <w:tcPr>
            <w:tcW w:w="1725" w:type="dxa"/>
            <w:tcBorders>
              <w:top w:val="single" w:color="auto" w:sz="4" w:space="0"/>
              <w:left w:val="single" w:color="auto" w:sz="4" w:space="0"/>
              <w:bottom w:val="single" w:color="auto" w:sz="4" w:space="0"/>
              <w:right w:val="single" w:color="auto" w:sz="4" w:space="0"/>
            </w:tcBorders>
            <w:vAlign w:val="center"/>
          </w:tcPr>
          <w:p w14:paraId="3196D7E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招标文件要求提交的用于评审的证书、证件、证明原件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p>
        </w:tc>
        <w:tc>
          <w:tcPr>
            <w:tcW w:w="6856" w:type="dxa"/>
            <w:tcBorders>
              <w:top w:val="single" w:color="auto" w:sz="4" w:space="0"/>
              <w:left w:val="single" w:color="auto" w:sz="4" w:space="0"/>
              <w:bottom w:val="single" w:color="auto" w:sz="4" w:space="0"/>
              <w:right w:val="single" w:color="auto" w:sz="4" w:space="0"/>
            </w:tcBorders>
            <w:vAlign w:val="center"/>
          </w:tcPr>
          <w:p w14:paraId="72AFF7D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投标人提交用于评审的证书、证件、证明原件的，应自行准备两张“原件一览表”(详见</w:t>
            </w:r>
            <w:r>
              <w:rPr>
                <w:rFonts w:hint="eastAsia" w:ascii="宋体" w:hAnsi="宋体" w:eastAsia="宋体" w:cs="宋体"/>
                <w:snapToGrid w:val="0"/>
                <w:color w:val="auto"/>
                <w:kern w:val="0"/>
                <w:sz w:val="24"/>
                <w:szCs w:val="24"/>
                <w:highlight w:val="none"/>
                <w:lang w:val="en-US" w:eastAsia="zh-CN"/>
              </w:rPr>
              <w:t>投标文件格式</w:t>
            </w:r>
            <w:r>
              <w:rPr>
                <w:rFonts w:hint="eastAsia" w:ascii="宋体" w:hAnsi="宋体" w:eastAsia="宋体" w:cs="宋体"/>
                <w:snapToGrid w:val="0"/>
                <w:color w:val="auto"/>
                <w:kern w:val="0"/>
                <w:sz w:val="24"/>
                <w:szCs w:val="24"/>
                <w:highlight w:val="none"/>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7161C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7B8721E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8</w:t>
            </w:r>
          </w:p>
        </w:tc>
        <w:tc>
          <w:tcPr>
            <w:tcW w:w="1725" w:type="dxa"/>
            <w:tcBorders>
              <w:top w:val="single" w:color="auto" w:sz="4" w:space="0"/>
              <w:left w:val="single" w:color="auto" w:sz="4" w:space="0"/>
              <w:bottom w:val="single" w:color="auto" w:sz="4" w:space="0"/>
              <w:right w:val="single" w:color="auto" w:sz="4" w:space="0"/>
            </w:tcBorders>
            <w:vAlign w:val="center"/>
          </w:tcPr>
          <w:p w14:paraId="4CB5F7E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14:paraId="7CA2CE30">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02293D6F">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韶关市武江区应急管理局</w:t>
            </w:r>
          </w:p>
          <w:p w14:paraId="644B9FD7">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办公地址：广东省韶关市武江区建设路29号武江科创天紫路演中心三号棚</w:t>
            </w:r>
          </w:p>
          <w:p w14:paraId="6FA15766">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联系人（部门）：</w:t>
            </w:r>
            <w:r>
              <w:rPr>
                <w:rFonts w:hint="eastAsia" w:ascii="宋体" w:hAnsi="宋体" w:eastAsia="宋体" w:cs="宋体"/>
                <w:snapToGrid w:val="0"/>
                <w:color w:val="auto"/>
                <w:kern w:val="0"/>
                <w:sz w:val="24"/>
                <w:szCs w:val="24"/>
                <w:highlight w:val="none"/>
                <w:lang w:val="en-US" w:eastAsia="zh-CN"/>
              </w:rPr>
              <w:t>郑工</w:t>
            </w:r>
          </w:p>
          <w:p w14:paraId="6A022966">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联系电话：</w:t>
            </w:r>
            <w:r>
              <w:rPr>
                <w:rFonts w:hint="eastAsia" w:ascii="宋体" w:hAnsi="宋体" w:eastAsia="宋体" w:cs="宋体"/>
                <w:i w:val="0"/>
                <w:iCs w:val="0"/>
                <w:caps w:val="0"/>
                <w:color w:val="auto"/>
                <w:spacing w:val="0"/>
                <w:sz w:val="24"/>
                <w:szCs w:val="24"/>
                <w:highlight w:val="none"/>
                <w:shd w:val="clear" w:fill="FFFFFF"/>
              </w:rPr>
              <w:t>0751-8739926</w:t>
            </w:r>
          </w:p>
        </w:tc>
      </w:tr>
      <w:tr w14:paraId="06B4F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18"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7824A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9</w:t>
            </w:r>
          </w:p>
        </w:tc>
        <w:tc>
          <w:tcPr>
            <w:tcW w:w="1725" w:type="dxa"/>
            <w:tcBorders>
              <w:top w:val="single" w:color="auto" w:sz="4" w:space="0"/>
              <w:left w:val="single" w:color="auto" w:sz="4" w:space="0"/>
              <w:bottom w:val="single" w:color="auto" w:sz="4" w:space="0"/>
              <w:right w:val="single" w:color="auto" w:sz="4" w:space="0"/>
            </w:tcBorders>
            <w:vAlign w:val="center"/>
          </w:tcPr>
          <w:p w14:paraId="42B2F57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p w14:paraId="70009F9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7C04DDDF">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rPr>
              <w:t>单位名称：</w:t>
            </w:r>
            <w:r>
              <w:rPr>
                <w:rFonts w:hint="eastAsia" w:ascii="宋体" w:hAnsi="宋体" w:eastAsia="宋体" w:cs="宋体"/>
                <w:snapToGrid w:val="0"/>
                <w:color w:val="auto"/>
                <w:kern w:val="0"/>
                <w:sz w:val="24"/>
                <w:szCs w:val="24"/>
                <w:highlight w:val="none"/>
                <w:lang w:val="en-US" w:eastAsia="zh-CN"/>
              </w:rPr>
              <w:t>韶关众信项目管理有限公司</w:t>
            </w:r>
          </w:p>
          <w:p w14:paraId="133270A1">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rPr>
              <w:t>办公地址：</w:t>
            </w:r>
            <w:r>
              <w:rPr>
                <w:rFonts w:hint="eastAsia" w:ascii="宋体" w:hAnsi="宋体" w:eastAsia="宋体" w:cs="宋体"/>
                <w:snapToGrid w:val="0"/>
                <w:color w:val="auto"/>
                <w:kern w:val="0"/>
                <w:sz w:val="24"/>
                <w:szCs w:val="24"/>
                <w:highlight w:val="none"/>
                <w:lang w:val="en-US" w:eastAsia="zh-CN"/>
              </w:rPr>
              <w:t>韶关市武江区西联镇老阳山村323线旁新五洲国际汽配用品商贸城A1幢610号</w:t>
            </w:r>
          </w:p>
          <w:p w14:paraId="16D76E4B">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rPr>
              <w:t>项目负责人：</w:t>
            </w:r>
            <w:r>
              <w:rPr>
                <w:rFonts w:hint="eastAsia" w:ascii="宋体" w:hAnsi="宋体" w:eastAsia="宋体" w:cs="宋体"/>
                <w:snapToGrid w:val="0"/>
                <w:color w:val="auto"/>
                <w:kern w:val="0"/>
                <w:sz w:val="24"/>
                <w:szCs w:val="24"/>
                <w:highlight w:val="none"/>
                <w:lang w:val="en-US" w:eastAsia="zh-CN"/>
              </w:rPr>
              <w:t>杨平平</w:t>
            </w:r>
          </w:p>
          <w:p w14:paraId="782E9C79">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rPr>
              <w:t>经办人：</w:t>
            </w:r>
            <w:r>
              <w:rPr>
                <w:rFonts w:hint="eastAsia" w:ascii="宋体" w:hAnsi="宋体" w:eastAsia="宋体" w:cs="宋体"/>
                <w:snapToGrid w:val="0"/>
                <w:color w:val="auto"/>
                <w:kern w:val="0"/>
                <w:sz w:val="24"/>
                <w:szCs w:val="24"/>
                <w:highlight w:val="none"/>
                <w:lang w:val="en-US" w:eastAsia="zh-CN"/>
              </w:rPr>
              <w:t>何海涛</w:t>
            </w:r>
          </w:p>
          <w:p w14:paraId="402A4D7E">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color w:val="auto"/>
                <w:sz w:val="24"/>
                <w:szCs w:val="24"/>
                <w:highlight w:val="none"/>
                <w:lang w:val="en-US"/>
              </w:rPr>
            </w:pPr>
            <w:r>
              <w:rPr>
                <w:rFonts w:hint="eastAsia" w:ascii="宋体" w:hAnsi="宋体" w:eastAsia="宋体" w:cs="宋体"/>
                <w:snapToGrid w:val="0"/>
                <w:color w:val="auto"/>
                <w:kern w:val="0"/>
                <w:sz w:val="24"/>
                <w:szCs w:val="24"/>
                <w:highlight w:val="none"/>
                <w:lang w:val="en-US" w:eastAsia="zh-CN"/>
              </w:rPr>
              <w:t>联系电话：0751-8821012</w:t>
            </w:r>
          </w:p>
        </w:tc>
      </w:tr>
      <w:tr w14:paraId="61384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79"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4F5D145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30</w:t>
            </w:r>
          </w:p>
        </w:tc>
        <w:tc>
          <w:tcPr>
            <w:tcW w:w="1725" w:type="dxa"/>
            <w:tcBorders>
              <w:top w:val="single" w:color="auto" w:sz="4" w:space="0"/>
              <w:left w:val="single" w:color="auto" w:sz="4" w:space="0"/>
              <w:bottom w:val="single" w:color="auto" w:sz="4" w:space="0"/>
              <w:right w:val="single" w:color="auto" w:sz="4" w:space="0"/>
            </w:tcBorders>
            <w:vAlign w:val="center"/>
          </w:tcPr>
          <w:p w14:paraId="767B8CA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交易场所</w:t>
            </w:r>
          </w:p>
          <w:p w14:paraId="4CC7096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4937FB8D">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 韶关市公共资源交易中心</w:t>
            </w:r>
          </w:p>
          <w:p w14:paraId="7A8BCA9A">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 广东省韶关市武江区西联镇</w:t>
            </w:r>
          </w:p>
          <w:p w14:paraId="1157454C">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联系人（部门）：工程交易部</w:t>
            </w:r>
          </w:p>
          <w:p w14:paraId="50ABD4ED">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联系电话：0751</w:t>
            </w:r>
            <w:r>
              <w:rPr>
                <w:rFonts w:hint="eastAsia" w:ascii="宋体" w:hAnsi="宋体" w:eastAsia="宋体" w:cs="宋体"/>
                <w:snapToGrid w:val="0"/>
                <w:color w:val="auto"/>
                <w:kern w:val="0"/>
                <w:sz w:val="24"/>
                <w:szCs w:val="24"/>
                <w:highlight w:val="none"/>
                <w:u w:val="none"/>
                <w:lang w:val="en-US" w:eastAsia="zh-CN" w:bidi="ar-SA"/>
              </w:rPr>
              <w:t>-</w:t>
            </w:r>
            <w:r>
              <w:rPr>
                <w:rFonts w:hint="eastAsia" w:ascii="宋体" w:hAnsi="宋体" w:eastAsia="宋体" w:cs="宋体"/>
                <w:snapToGrid w:val="0"/>
                <w:color w:val="auto"/>
                <w:kern w:val="0"/>
                <w:sz w:val="24"/>
                <w:szCs w:val="24"/>
                <w:highlight w:val="none"/>
              </w:rPr>
              <w:t>8633211</w:t>
            </w:r>
          </w:p>
        </w:tc>
      </w:tr>
      <w:tr w14:paraId="6D41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74"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3D05CDA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31</w:t>
            </w:r>
          </w:p>
        </w:tc>
        <w:tc>
          <w:tcPr>
            <w:tcW w:w="1725" w:type="dxa"/>
            <w:tcBorders>
              <w:top w:val="single" w:color="auto" w:sz="4" w:space="0"/>
              <w:left w:val="single" w:color="auto" w:sz="4" w:space="0"/>
              <w:bottom w:val="single" w:color="auto" w:sz="4" w:space="0"/>
              <w:right w:val="single" w:color="auto" w:sz="4" w:space="0"/>
            </w:tcBorders>
            <w:vAlign w:val="center"/>
          </w:tcPr>
          <w:p w14:paraId="5EB098A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行政监督部门</w:t>
            </w:r>
          </w:p>
          <w:p w14:paraId="45C4639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354B75F3">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u w:val="none"/>
              </w:rPr>
              <w:t>单位名称：韶关市住房和城乡建设管理局</w:t>
            </w:r>
          </w:p>
          <w:p w14:paraId="3D42B5C3">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u w:val="none"/>
              </w:rPr>
              <w:t>办公地址：广东省韶关市武江区芙蓉东路5号</w:t>
            </w:r>
          </w:p>
          <w:p w14:paraId="13B28D8F">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u w:val="none"/>
              </w:rPr>
              <w:t>联系人（部门）：建筑业市场管理科</w:t>
            </w:r>
          </w:p>
          <w:p w14:paraId="4C6F578D">
            <w:pPr>
              <w:shd w:val="clear" w:color="auto" w:fill="auto"/>
              <w:wordWrap w:val="0"/>
              <w:adjustRightInd w:val="0"/>
              <w:snapToGrid w:val="0"/>
              <w:spacing w:line="400" w:lineRule="exact"/>
              <w:ind w:left="0" w:leftChars="0"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u w:val="none"/>
              </w:rPr>
              <w:t>联系电话：0751-8892601</w:t>
            </w:r>
          </w:p>
        </w:tc>
      </w:tr>
      <w:bookmarkEnd w:id="4"/>
      <w:tr w14:paraId="74867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2"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565918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bookmarkStart w:id="5" w:name="_Toc122769943"/>
            <w:bookmarkStart w:id="6" w:name="_Toc122859103"/>
            <w:bookmarkStart w:id="7" w:name="_Toc122671103"/>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2</w:t>
            </w:r>
          </w:p>
        </w:tc>
        <w:tc>
          <w:tcPr>
            <w:tcW w:w="1725" w:type="dxa"/>
            <w:tcBorders>
              <w:top w:val="single" w:color="auto" w:sz="4" w:space="0"/>
              <w:left w:val="single" w:color="auto" w:sz="4" w:space="0"/>
              <w:bottom w:val="single" w:color="auto" w:sz="4" w:space="0"/>
              <w:right w:val="single" w:color="auto" w:sz="4" w:space="0"/>
            </w:tcBorders>
            <w:vAlign w:val="center"/>
          </w:tcPr>
          <w:p w14:paraId="24C0BFA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术语</w:t>
            </w:r>
          </w:p>
        </w:tc>
        <w:tc>
          <w:tcPr>
            <w:tcW w:w="6856" w:type="dxa"/>
            <w:tcBorders>
              <w:top w:val="single" w:color="auto" w:sz="4" w:space="0"/>
              <w:left w:val="single" w:color="auto" w:sz="4" w:space="0"/>
              <w:bottom w:val="single" w:color="auto" w:sz="4" w:space="0"/>
              <w:right w:val="single" w:color="auto" w:sz="4" w:space="0"/>
            </w:tcBorders>
            <w:vAlign w:val="center"/>
          </w:tcPr>
          <w:p w14:paraId="1A8F6FF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D3FB5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2．“相关服务”是指监理人受委托人的委托，按照合同约定，在勘察、设计、保修等阶段提供的服务活动。</w:t>
            </w:r>
          </w:p>
        </w:tc>
      </w:tr>
      <w:bookmarkEnd w:id="5"/>
      <w:bookmarkEnd w:id="6"/>
      <w:bookmarkEnd w:id="7"/>
      <w:tr w14:paraId="40921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18" w:hRule="atLeast"/>
        </w:trPr>
        <w:tc>
          <w:tcPr>
            <w:tcW w:w="721" w:type="dxa"/>
            <w:tcBorders>
              <w:top w:val="single" w:color="auto" w:sz="4" w:space="0"/>
              <w:left w:val="single" w:color="auto" w:sz="4" w:space="0"/>
              <w:bottom w:val="single" w:color="auto" w:sz="4" w:space="0"/>
              <w:right w:val="single" w:color="auto" w:sz="4" w:space="0"/>
            </w:tcBorders>
            <w:vAlign w:val="center"/>
          </w:tcPr>
          <w:p w14:paraId="57613CC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33</w:t>
            </w:r>
          </w:p>
        </w:tc>
        <w:tc>
          <w:tcPr>
            <w:tcW w:w="1725" w:type="dxa"/>
            <w:tcBorders>
              <w:top w:val="single" w:color="auto" w:sz="4" w:space="0"/>
              <w:left w:val="single" w:color="auto" w:sz="4" w:space="0"/>
              <w:bottom w:val="single" w:color="auto" w:sz="4" w:space="0"/>
              <w:right w:val="single" w:color="auto" w:sz="4" w:space="0"/>
            </w:tcBorders>
            <w:vAlign w:val="center"/>
          </w:tcPr>
          <w:p w14:paraId="5B5FCE42">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2"/>
                <w:sz w:val="24"/>
                <w:szCs w:val="24"/>
                <w:highlight w:val="none"/>
                <w:lang w:val="en-US" w:eastAsia="zh-CN" w:bidi="ar-SA"/>
              </w:rPr>
              <w:t>招标代理费及评标专家酬劳</w:t>
            </w:r>
          </w:p>
        </w:tc>
        <w:tc>
          <w:tcPr>
            <w:tcW w:w="6856" w:type="dxa"/>
            <w:tcBorders>
              <w:top w:val="single" w:color="auto" w:sz="4" w:space="0"/>
              <w:left w:val="single" w:color="auto" w:sz="4" w:space="0"/>
              <w:bottom w:val="single" w:color="auto" w:sz="4" w:space="0"/>
              <w:right w:val="single" w:color="auto" w:sz="4" w:space="0"/>
            </w:tcBorders>
            <w:vAlign w:val="center"/>
          </w:tcPr>
          <w:p w14:paraId="7DC1CEF4">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kern w:val="0"/>
                <w:sz w:val="24"/>
                <w:szCs w:val="24"/>
                <w:highlight w:val="none"/>
                <w:lang w:val="en-US" w:eastAsia="zh-CN"/>
              </w:rPr>
              <w:t>本项目的招标代理服务费和评标专家酬劳（包括食宿费用、交通费、专家评审劳务费等）由中标人支付。该费用不再另行报价，由投标人在投标报价时综合考虑在内。招标代理服务费参照《招标代理服务收费管理暂行办法》计价格[2002]1980号文计算并下浮20%；不足柒仟元按柒仟元整收取。中标人在领取中标通知书前须向招标代理机构一次性支付（评标专家酬劳先由招标代理垫付）。</w:t>
            </w:r>
          </w:p>
        </w:tc>
      </w:tr>
    </w:tbl>
    <w:p w14:paraId="3D2E1CE3">
      <w:pPr>
        <w:pStyle w:val="4"/>
        <w:wordWrap w:val="0"/>
        <w:autoSpaceDE/>
        <w:autoSpaceDN/>
        <w:snapToGrid w:val="0"/>
        <w:spacing w:before="260" w:after="260" w:line="440" w:lineRule="exact"/>
        <w:jc w:val="both"/>
        <w:rPr>
          <w:rFonts w:ascii="Times New Roman"/>
          <w:b/>
          <w:snapToGrid w:val="0"/>
          <w:color w:val="auto"/>
          <w:sz w:val="24"/>
          <w:szCs w:val="24"/>
          <w:highlight w:val="none"/>
        </w:rPr>
        <w:sectPr>
          <w:footerReference r:id="rId6" w:type="default"/>
          <w:endnotePr>
            <w:numFmt w:val="decimal"/>
          </w:endnotePr>
          <w:pgSz w:w="11906" w:h="16838"/>
          <w:pgMar w:top="1417" w:right="1417" w:bottom="1417" w:left="1417" w:header="850" w:footer="992" w:gutter="0"/>
          <w:pgNumType w:start="1"/>
          <w:cols w:space="0" w:num="1"/>
          <w:docGrid w:linePitch="327" w:charSpace="0"/>
        </w:sectPr>
      </w:pPr>
    </w:p>
    <w:p w14:paraId="21CE9C32">
      <w:pPr>
        <w:pStyle w:val="4"/>
        <w:wordWrap w:val="0"/>
        <w:autoSpaceDE/>
        <w:autoSpaceDN/>
        <w:snapToGrid w:val="0"/>
        <w:spacing w:after="120" w:afterLines="50" w:line="440" w:lineRule="exact"/>
        <w:jc w:val="both"/>
        <w:rPr>
          <w:rFonts w:ascii="Times New Roman"/>
          <w:snapToGrid w:val="0"/>
          <w:color w:val="auto"/>
          <w:highlight w:val="none"/>
        </w:rPr>
      </w:pPr>
      <w:bookmarkStart w:id="8" w:name="_Toc714"/>
      <w:bookmarkStart w:id="9" w:name="_Toc10191"/>
      <w:r>
        <w:rPr>
          <w:rFonts w:hint="eastAsia" w:ascii="Times New Roman"/>
          <w:b/>
          <w:snapToGrid w:val="0"/>
          <w:color w:val="auto"/>
          <w:highlight w:val="none"/>
        </w:rPr>
        <w:t>第二节 重要事项时间地点一览表</w:t>
      </w:r>
      <w:bookmarkEnd w:id="8"/>
      <w:bookmarkEnd w:id="9"/>
    </w:p>
    <w:tbl>
      <w:tblPr>
        <w:tblStyle w:val="31"/>
        <w:tblW w:w="5081"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26"/>
        <w:gridCol w:w="1326"/>
        <w:gridCol w:w="7477"/>
      </w:tblGrid>
      <w:tr w14:paraId="1FCC57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3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15154A6">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7FC0689B">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招标公告</w:t>
            </w:r>
          </w:p>
          <w:p w14:paraId="6CF9F9BC">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发布时间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1A14D70">
            <w:pPr>
              <w:pStyle w:val="88"/>
              <w:widowControl/>
              <w:snapToGrid w:val="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3</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12</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 xml:space="preserve"> </w:t>
            </w:r>
          </w:p>
        </w:tc>
      </w:tr>
      <w:tr w14:paraId="19E57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5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A45AD0F">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251929FC">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获取招标文件</w:t>
            </w:r>
          </w:p>
          <w:p w14:paraId="13B17BC0">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56576377">
            <w:pPr>
              <w:pStyle w:val="88"/>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25</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19308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4"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D32DC5D">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0AF3A7CB">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网上提问</w:t>
            </w:r>
          </w:p>
          <w:p w14:paraId="2BE90DC1">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516B27F">
            <w:pPr>
              <w:pStyle w:val="88"/>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15</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16</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分</w:t>
            </w:r>
          </w:p>
        </w:tc>
      </w:tr>
      <w:tr w14:paraId="01F57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3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98C0766">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34139913">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网上答疑</w:t>
            </w:r>
          </w:p>
          <w:p w14:paraId="70A9C70E">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9EFA0E5">
            <w:pPr>
              <w:pStyle w:val="88"/>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15</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16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30 </w:t>
            </w:r>
            <w:r>
              <w:rPr>
                <w:rFonts w:hint="eastAsia" w:ascii="宋体" w:hAnsi="宋体" w:eastAsia="宋体" w:cs="宋体"/>
                <w:color w:val="auto"/>
                <w:kern w:val="0"/>
                <w:sz w:val="24"/>
                <w:szCs w:val="24"/>
                <w:highlight w:val="none"/>
              </w:rPr>
              <w:t>分至</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18</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16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00</w:t>
            </w:r>
            <w:r>
              <w:rPr>
                <w:rFonts w:hint="eastAsia" w:ascii="宋体" w:hAnsi="宋体" w:eastAsia="宋体" w:cs="宋体"/>
                <w:color w:val="auto"/>
                <w:kern w:val="0"/>
                <w:sz w:val="24"/>
                <w:szCs w:val="24"/>
                <w:highlight w:val="none"/>
              </w:rPr>
              <w:t>分</w:t>
            </w:r>
          </w:p>
        </w:tc>
      </w:tr>
      <w:tr w14:paraId="1F4DA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8"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050AA6F">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0B31F86">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投标保证缴</w:t>
            </w:r>
          </w:p>
          <w:p w14:paraId="249647CA">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纳截止时间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0544092">
            <w:pPr>
              <w:pStyle w:val="88"/>
              <w:widowControl/>
              <w:snapToGrid w:val="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投标保证金到账截止时间：</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24</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p w14:paraId="534D20EF">
            <w:pPr>
              <w:pStyle w:val="88"/>
              <w:widowControl/>
              <w:snapToGrid w:val="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投标保证担保上传截止时间：</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24</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p w14:paraId="086C2F12">
            <w:pPr>
              <w:pStyle w:val="88"/>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投标保证保险投保截止时间：</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24</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5CEC7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16"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213E411F">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67DAD104">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电子投标</w:t>
            </w:r>
          </w:p>
          <w:p w14:paraId="3E473E72">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EF7FFA6">
            <w:pPr>
              <w:pStyle w:val="88"/>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25</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255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2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0CC6312E">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2ED64A0B">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投标评审原件（如有）</w:t>
            </w:r>
          </w:p>
          <w:p w14:paraId="7F77CCDF">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递交时间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2F71BF2">
            <w:pPr>
              <w:pStyle w:val="88"/>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25</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rPr>
              <w:t>分至</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25</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7281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2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7EB5C072">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39E24EC4">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投标评审原件（如有）</w:t>
            </w:r>
          </w:p>
          <w:p w14:paraId="3261A94D">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递交地点</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1769D75D">
            <w:pPr>
              <w:pStyle w:val="88"/>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递交场所：韶关市公共资源交易中心</w:t>
            </w:r>
          </w:p>
          <w:p w14:paraId="54D0F656">
            <w:pPr>
              <w:pStyle w:val="88"/>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地址：广东省韶关市武江区西联镇，具体房间号以当日现场通知为准</w:t>
            </w:r>
            <w:r>
              <w:rPr>
                <w:rFonts w:hint="eastAsia" w:ascii="宋体" w:hAnsi="宋体" w:eastAsia="宋体" w:cs="宋体"/>
                <w:snapToGrid w:val="0"/>
                <w:color w:val="auto"/>
                <w:kern w:val="0"/>
                <w:sz w:val="24"/>
                <w:szCs w:val="24"/>
                <w:highlight w:val="none"/>
                <w:lang w:eastAsia="zh-CN"/>
              </w:rPr>
              <w:t>。</w:t>
            </w:r>
          </w:p>
        </w:tc>
      </w:tr>
      <w:tr w14:paraId="6DA9E2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91"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6908499">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42877DA">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A9DFEE6">
            <w:pPr>
              <w:pStyle w:val="88"/>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25</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bookmarkStart w:id="356" w:name="_GoBack"/>
            <w:bookmarkEnd w:id="356"/>
          </w:p>
        </w:tc>
      </w:tr>
      <w:tr w14:paraId="600A2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45"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3530CF7">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37D61018">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开标地点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1DF9C1CA">
            <w:pPr>
              <w:pStyle w:val="88"/>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开标场所：韶关市公共资源交易中心</w:t>
            </w:r>
          </w:p>
          <w:p w14:paraId="03D1D3BA">
            <w:pPr>
              <w:pStyle w:val="88"/>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地址：广东省韶关市武江区西联镇，具体房间号以当日现场通知为准</w:t>
            </w:r>
            <w:r>
              <w:rPr>
                <w:rFonts w:hint="eastAsia" w:ascii="宋体" w:hAnsi="宋体" w:eastAsia="宋体" w:cs="宋体"/>
                <w:snapToGrid w:val="0"/>
                <w:color w:val="auto"/>
                <w:kern w:val="0"/>
                <w:sz w:val="24"/>
                <w:szCs w:val="24"/>
                <w:highlight w:val="none"/>
                <w:lang w:eastAsia="zh-CN"/>
              </w:rPr>
              <w:t>。</w:t>
            </w:r>
          </w:p>
        </w:tc>
      </w:tr>
      <w:tr w14:paraId="4FC6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45" w:hRule="exact"/>
        </w:trPr>
        <w:tc>
          <w:tcPr>
            <w:tcW w:w="949" w:type="pct"/>
            <w:gridSpan w:val="2"/>
            <w:tcBorders>
              <w:top w:val="single" w:color="080000" w:sz="4" w:space="0"/>
              <w:left w:val="single" w:color="080000" w:sz="4" w:space="0"/>
              <w:bottom w:val="single" w:color="080000" w:sz="4" w:space="0"/>
              <w:right w:val="single" w:color="080000" w:sz="4" w:space="0"/>
            </w:tcBorders>
            <w:noWrap w:val="0"/>
            <w:vAlign w:val="center"/>
          </w:tcPr>
          <w:p w14:paraId="2F0B7FAB">
            <w:pPr>
              <w:pStyle w:val="8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备注</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344A197">
            <w:pPr>
              <w:pStyle w:val="88"/>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自行下载招标文件、资料文件及招标答疑书等。若由于投标人自身原因未能及时取得上述资料的，由此发生的任何责任由投标人自负。</w:t>
            </w:r>
          </w:p>
        </w:tc>
      </w:tr>
    </w:tbl>
    <w:p w14:paraId="59E6F630">
      <w:pPr>
        <w:pStyle w:val="40"/>
        <w:rPr>
          <w:color w:val="auto"/>
          <w:highlight w:val="none"/>
        </w:rPr>
        <w:sectPr>
          <w:endnotePr>
            <w:numFmt w:val="decimal"/>
          </w:endnotePr>
          <w:pgSz w:w="11906" w:h="16838"/>
          <w:pgMar w:top="1417" w:right="1417" w:bottom="1417" w:left="1417" w:header="850" w:footer="992" w:gutter="0"/>
          <w:cols w:space="0" w:num="1"/>
          <w:docGrid w:linePitch="327" w:charSpace="0"/>
        </w:sectPr>
      </w:pPr>
    </w:p>
    <w:p w14:paraId="59BCED9A">
      <w:pPr>
        <w:pStyle w:val="4"/>
        <w:keepNext w:val="0"/>
        <w:keepLines w:val="0"/>
        <w:pageBreakBefore w:val="0"/>
        <w:topLinePunct w:val="0"/>
        <w:bidi w:val="0"/>
        <w:spacing w:line="500" w:lineRule="exact"/>
        <w:textAlignment w:val="auto"/>
        <w:rPr>
          <w:b/>
          <w:bCs/>
          <w:color w:val="auto"/>
          <w:highlight w:val="none"/>
        </w:rPr>
      </w:pPr>
      <w:bookmarkStart w:id="10" w:name="_Hlt87793819"/>
      <w:bookmarkEnd w:id="10"/>
      <w:bookmarkStart w:id="11" w:name="_Toc5529"/>
      <w:bookmarkStart w:id="12" w:name="_Toc29916"/>
      <w:bookmarkStart w:id="13" w:name="_Hlt69698705"/>
      <w:bookmarkStart w:id="14" w:name="_Hlt69698754"/>
      <w:r>
        <w:rPr>
          <w:rFonts w:hint="eastAsia"/>
          <w:b/>
          <w:bCs/>
          <w:color w:val="auto"/>
          <w:highlight w:val="none"/>
        </w:rPr>
        <w:t>第三节 投标人须知</w:t>
      </w:r>
      <w:bookmarkStart w:id="15" w:name="_Hlt69669159"/>
      <w:bookmarkEnd w:id="15"/>
      <w:r>
        <w:rPr>
          <w:rFonts w:hint="eastAsia"/>
          <w:b/>
          <w:bCs/>
          <w:color w:val="auto"/>
          <w:highlight w:val="none"/>
        </w:rPr>
        <w:t>正文</w:t>
      </w:r>
      <w:bookmarkEnd w:id="11"/>
      <w:bookmarkEnd w:id="12"/>
    </w:p>
    <w:bookmarkEnd w:id="13"/>
    <w:bookmarkEnd w:id="14"/>
    <w:p w14:paraId="5CCE2DB8">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宋体" w:hAnsi="宋体" w:eastAsia="宋体" w:cs="宋体"/>
          <w:color w:val="auto"/>
          <w:sz w:val="24"/>
          <w:highlight w:val="none"/>
        </w:rPr>
      </w:pPr>
      <w:bookmarkStart w:id="16" w:name="_Toc22199"/>
      <w:r>
        <w:rPr>
          <w:rFonts w:hint="eastAsia" w:ascii="宋体" w:hAnsi="宋体" w:eastAsia="宋体" w:cs="宋体"/>
          <w:snapToGrid w:val="0"/>
          <w:color w:val="auto"/>
          <w:kern w:val="0"/>
          <w:sz w:val="24"/>
          <w:szCs w:val="32"/>
          <w:highlight w:val="none"/>
          <w:u w:val="single"/>
          <w:lang w:eastAsia="zh-CN"/>
        </w:rPr>
        <w:t>武江区江湾镇应急物资仓库建设项目</w:t>
      </w:r>
      <w:r>
        <w:rPr>
          <w:rFonts w:ascii="宋体" w:hAnsi="宋体" w:eastAsia="宋体" w:cs="Times New Roman"/>
          <w:snapToGrid w:val="0"/>
          <w:color w:val="auto"/>
          <w:kern w:val="0"/>
          <w:sz w:val="24"/>
          <w:szCs w:val="24"/>
          <w:highlight w:val="none"/>
        </w:rPr>
        <w:t>经</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韶关市武江区发展和改革局以《韶关市武江区发展和改革局关于武江区江湾镇应急物资仓库建设项目初步设计概算的批复》（韶武发改投审〔2026〕14号）</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eastAsia="zh-CN"/>
        </w:rPr>
        <w:t>2501-440203-25-01-502908</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韶关市武江区应急管理局</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eastAsia="zh-CN"/>
        </w:rPr>
        <w:t>区财政统筹解决</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韶关市武江区应急管理局</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hAnsi="宋体" w:cs="宋体"/>
          <w:color w:val="auto"/>
          <w:kern w:val="0"/>
          <w:sz w:val="24"/>
          <w:szCs w:val="24"/>
          <w:highlight w:val="none"/>
          <w:u w:val="single"/>
          <w:lang w:eastAsia="zh-CN"/>
        </w:rPr>
        <w:t>韶关众信项目管理有限公司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监理</w:t>
      </w:r>
      <w:r>
        <w:rPr>
          <w:rFonts w:hint="eastAsia" w:ascii="宋体" w:hAnsi="宋体" w:eastAsia="宋体" w:cs="宋体"/>
          <w:snapToGrid w:val="0"/>
          <w:color w:val="auto"/>
          <w:kern w:val="0"/>
          <w:sz w:val="24"/>
          <w:szCs w:val="24"/>
          <w:highlight w:val="none"/>
        </w:rPr>
        <w:t>进行公开招标。</w:t>
      </w:r>
    </w:p>
    <w:p w14:paraId="6E939B6A">
      <w:pPr>
        <w:pStyle w:val="88"/>
        <w:keepNext w:val="0"/>
        <w:keepLines w:val="0"/>
        <w:pageBreakBefore w:val="0"/>
        <w:wordWrap w:val="0"/>
        <w:topLinePunct w:val="0"/>
        <w:bidi w:val="0"/>
        <w:adjustRightInd w:val="0"/>
        <w:snapToGrid w:val="0"/>
        <w:spacing w:line="500" w:lineRule="exact"/>
        <w:ind w:firstLine="480"/>
        <w:jc w:val="left"/>
        <w:textAlignment w:val="auto"/>
        <w:outlineLvl w:val="2"/>
        <w:rPr>
          <w:b/>
          <w:bCs/>
          <w:snapToGrid w:val="0"/>
          <w:color w:val="auto"/>
          <w:kern w:val="0"/>
          <w:sz w:val="24"/>
          <w:highlight w:val="none"/>
        </w:rPr>
      </w:pPr>
      <w:r>
        <w:rPr>
          <w:rFonts w:hint="eastAsia"/>
          <w:b/>
          <w:bCs/>
          <w:snapToGrid w:val="0"/>
          <w:color w:val="auto"/>
          <w:kern w:val="0"/>
          <w:sz w:val="24"/>
          <w:highlight w:val="none"/>
        </w:rPr>
        <w:t>1．项目概况、招标范围和标段划分、投标费用</w:t>
      </w:r>
      <w:bookmarkEnd w:id="16"/>
    </w:p>
    <w:p w14:paraId="5A9B532C">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w:t>
      </w:r>
      <w:r>
        <w:rPr>
          <w:rFonts w:hint="eastAsia" w:ascii="宋体" w:hAnsi="宋体" w:cs="宋体"/>
          <w:snapToGrid w:val="0"/>
          <w:color w:val="auto"/>
          <w:kern w:val="0"/>
          <w:sz w:val="24"/>
          <w:highlight w:val="none"/>
        </w:rPr>
        <w:t xml:space="preserve"> 项目概况</w:t>
      </w:r>
    </w:p>
    <w:p w14:paraId="457EF3D7">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 xml:space="preserve"> 建设地点：</w:t>
      </w:r>
      <w:r>
        <w:rPr>
          <w:rFonts w:hint="eastAsia" w:ascii="宋体" w:hAnsi="宋体" w:eastAsia="宋体" w:cs="宋体"/>
          <w:color w:val="auto"/>
          <w:sz w:val="24"/>
          <w:szCs w:val="24"/>
          <w:highlight w:val="none"/>
          <w:u w:val="single"/>
          <w:lang w:val="en-US" w:eastAsia="zh-CN"/>
        </w:rPr>
        <w:t>韶关市武江区江湾镇江湾中学地块。</w:t>
      </w:r>
    </w:p>
    <w:p w14:paraId="74BEFDF3">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cs="宋体"/>
          <w:b/>
          <w:bCs/>
          <w:snapToGrid w:val="0"/>
          <w:color w:val="auto"/>
          <w:kern w:val="0"/>
          <w:sz w:val="24"/>
          <w:highlight w:val="none"/>
          <w:lang w:val="en-US" w:eastAsia="zh-CN"/>
        </w:rPr>
        <w:t xml:space="preserve">1.1.2 </w:t>
      </w:r>
      <w:r>
        <w:rPr>
          <w:rFonts w:hint="eastAsia" w:ascii="宋体" w:hAnsi="宋体" w:cs="宋体"/>
          <w:b w:val="0"/>
          <w:bCs w:val="0"/>
          <w:snapToGrid w:val="0"/>
          <w:color w:val="auto"/>
          <w:kern w:val="0"/>
          <w:sz w:val="24"/>
          <w:highlight w:val="none"/>
          <w:lang w:val="en-US" w:eastAsia="zh-CN"/>
        </w:rPr>
        <w:t>建设内容和规模：</w:t>
      </w:r>
      <w:r>
        <w:rPr>
          <w:rFonts w:hint="eastAsia" w:ascii="宋体" w:hAnsi="宋体" w:eastAsia="宋体" w:cs="宋体"/>
          <w:color w:val="auto"/>
          <w:sz w:val="24"/>
          <w:szCs w:val="24"/>
          <w:highlight w:val="none"/>
          <w:u w:val="single"/>
          <w:lang w:val="en-US" w:eastAsia="zh-CN"/>
        </w:rPr>
        <w:t>建设应急物资仓库1栋，地上4层，地下1层。首层为柴油发电机房、丁类应急物资用房、消防控制室、配电间、停车库等；二、三层为丁类应急物资用房、警卫室及监控室;四层为丁类小仓库;地下室为消防水泵房及消防水池；建筑高度为19.20米，总建筑面积约1500平方米(其中:地上建筑面积为1358.96平方米，地下建筑面积为142.04平方米)。拟建仓库的东侧设有丁类应急物资堆场，总面积为624.58平方米。</w:t>
      </w:r>
    </w:p>
    <w:p w14:paraId="7FDC4FD4">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cs="宋体"/>
          <w:b/>
          <w:bCs/>
          <w:snapToGrid w:val="0"/>
          <w:color w:val="auto"/>
          <w:kern w:val="0"/>
          <w:sz w:val="24"/>
          <w:highlight w:val="none"/>
        </w:rPr>
        <w:t xml:space="preserve">1.1.3 </w:t>
      </w:r>
      <w:r>
        <w:rPr>
          <w:rFonts w:hint="eastAsia" w:ascii="宋体" w:hAnsi="宋体" w:eastAsia="宋体" w:cs="宋体"/>
          <w:snapToGrid w:val="0"/>
          <w:color w:val="auto"/>
          <w:kern w:val="0"/>
          <w:sz w:val="24"/>
          <w:highlight w:val="none"/>
        </w:rPr>
        <w:t>项</w:t>
      </w:r>
      <w:r>
        <w:rPr>
          <w:rFonts w:hint="eastAsia" w:ascii="宋体" w:hAnsi="宋体" w:eastAsia="宋体" w:cs="宋体"/>
          <w:snapToGrid w:val="0"/>
          <w:color w:val="auto"/>
          <w:kern w:val="0"/>
          <w:sz w:val="24"/>
          <w:highlight w:val="none"/>
          <w:u w:val="none"/>
        </w:rPr>
        <w:t>目</w:t>
      </w:r>
      <w:r>
        <w:rPr>
          <w:rFonts w:hint="eastAsia" w:ascii="宋体" w:hAnsi="宋体" w:eastAsia="宋体" w:cs="宋体"/>
          <w:snapToGrid w:val="0"/>
          <w:color w:val="auto"/>
          <w:kern w:val="0"/>
          <w:sz w:val="24"/>
          <w:highlight w:val="none"/>
          <w:u w:val="none"/>
          <w:lang w:eastAsia="zh-CN"/>
        </w:rPr>
        <w:t>概算</w:t>
      </w:r>
      <w:r>
        <w:rPr>
          <w:rFonts w:hint="eastAsia" w:ascii="宋体" w:hAnsi="宋体" w:eastAsia="宋体" w:cs="宋体"/>
          <w:snapToGrid w:val="0"/>
          <w:color w:val="auto"/>
          <w:kern w:val="0"/>
          <w:sz w:val="24"/>
          <w:highlight w:val="none"/>
        </w:rPr>
        <w:t>投资额：</w:t>
      </w:r>
      <w:r>
        <w:rPr>
          <w:rStyle w:val="156"/>
          <w:rFonts w:hint="eastAsia" w:ascii="宋体" w:hAnsi="宋体" w:eastAsia="宋体" w:cs="宋体"/>
          <w:color w:val="auto"/>
          <w:kern w:val="0"/>
          <w:sz w:val="24"/>
          <w:szCs w:val="24"/>
          <w:highlight w:val="none"/>
          <w:u w:val="single"/>
          <w:lang w:val="en-US" w:eastAsia="zh-CN"/>
        </w:rPr>
        <w:t>项目概算总投资762.98万元，其中工程费用605.04万元。</w:t>
      </w:r>
    </w:p>
    <w:p w14:paraId="737B5441">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 xml:space="preserve">1.2 </w:t>
      </w:r>
      <w:r>
        <w:rPr>
          <w:rFonts w:hint="eastAsia" w:ascii="宋体" w:hAnsi="宋体" w:cs="宋体"/>
          <w:snapToGrid w:val="0"/>
          <w:color w:val="auto"/>
          <w:kern w:val="0"/>
          <w:sz w:val="24"/>
          <w:highlight w:val="none"/>
        </w:rPr>
        <w:t>招标范围和标段划分</w:t>
      </w:r>
    </w:p>
    <w:p w14:paraId="5C8BB663">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 xml:space="preserve"> 招标范围</w:t>
      </w:r>
    </w:p>
    <w:p w14:paraId="0F812CFE">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监理：项目建设施工阶段监理（含施工准备阶段、施工阶段、工程竣工结算阶段和保修阶段监理）</w:t>
      </w:r>
    </w:p>
    <w:p w14:paraId="76AFCD12">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1.2.2</w:t>
      </w:r>
      <w:r>
        <w:rPr>
          <w:rFonts w:hint="eastAsia" w:hAnsi="宋体" w:cs="宋体"/>
          <w:snapToGrid w:val="0"/>
          <w:color w:val="auto"/>
          <w:kern w:val="0"/>
          <w:szCs w:val="24"/>
          <w:highlight w:val="none"/>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1.3</w:t>
      </w:r>
      <w:r>
        <w:rPr>
          <w:rFonts w:hint="eastAsia" w:hAnsi="宋体" w:cs="宋体"/>
          <w:snapToGrid w:val="0"/>
          <w:color w:val="auto"/>
          <w:kern w:val="0"/>
          <w:szCs w:val="24"/>
          <w:highlight w:val="none"/>
        </w:rPr>
        <w:t xml:space="preserve"> 投标费用：投标人应承担所有准备和参加投标的相关费用，不论投标结果如何，招标人均无义务和责任承担这些费用。</w:t>
      </w:r>
    </w:p>
    <w:p w14:paraId="6BE91A1C">
      <w:pPr>
        <w:pStyle w:val="88"/>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b/>
          <w:bCs/>
          <w:snapToGrid w:val="0"/>
          <w:color w:val="auto"/>
          <w:kern w:val="0"/>
          <w:sz w:val="24"/>
          <w:highlight w:val="none"/>
        </w:rPr>
      </w:pPr>
      <w:bookmarkStart w:id="17" w:name="_Toc31795"/>
      <w:bookmarkStart w:id="18" w:name="_Toc8159"/>
      <w:r>
        <w:rPr>
          <w:rFonts w:hint="eastAsia"/>
          <w:b/>
          <w:bCs/>
          <w:snapToGrid w:val="0"/>
          <w:color w:val="auto"/>
          <w:kern w:val="0"/>
          <w:sz w:val="24"/>
          <w:highlight w:val="none"/>
        </w:rPr>
        <w:t>2．投标人资格要求</w:t>
      </w:r>
      <w:bookmarkEnd w:id="17"/>
      <w:bookmarkEnd w:id="18"/>
      <w:bookmarkStart w:id="19" w:name="_Hlt74496495"/>
      <w:bookmarkEnd w:id="19"/>
    </w:p>
    <w:p w14:paraId="229AFBAA">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2.1</w:t>
      </w:r>
      <w:r>
        <w:rPr>
          <w:rFonts w:hint="eastAsia" w:ascii="宋体" w:hAnsi="宋体" w:cs="宋体"/>
          <w:snapToGrid w:val="0"/>
          <w:color w:val="auto"/>
          <w:kern w:val="0"/>
          <w:sz w:val="24"/>
          <w:highlight w:val="none"/>
        </w:rPr>
        <w:t xml:space="preserve"> 本次招标</w:t>
      </w:r>
      <w:r>
        <w:rPr>
          <w:rFonts w:hint="eastAsia" w:ascii="宋体" w:hAnsi="宋体" w:cs="宋体"/>
          <w:snapToGrid w:val="0"/>
          <w:color w:val="auto"/>
          <w:kern w:val="0"/>
          <w:sz w:val="24"/>
          <w:highlight w:val="none"/>
          <w:u w:val="single"/>
        </w:rPr>
        <w:t>不接受</w:t>
      </w:r>
      <w:r>
        <w:rPr>
          <w:rFonts w:hint="eastAsia" w:ascii="宋体" w:hAnsi="宋体" w:cs="宋体"/>
          <w:snapToGrid w:val="0"/>
          <w:color w:val="auto"/>
          <w:kern w:val="0"/>
          <w:sz w:val="24"/>
          <w:highlight w:val="none"/>
        </w:rPr>
        <w:t>联合体投标。</w:t>
      </w:r>
    </w:p>
    <w:p w14:paraId="376870ED">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w:t>
      </w:r>
      <w:r>
        <w:rPr>
          <w:rFonts w:hint="eastAsia" w:ascii="宋体" w:hAnsi="宋体" w:cs="宋体"/>
          <w:snapToGrid w:val="0"/>
          <w:color w:val="auto"/>
          <w:kern w:val="0"/>
          <w:sz w:val="24"/>
          <w:highlight w:val="none"/>
        </w:rPr>
        <w:t xml:space="preserve"> 资格资质要求</w:t>
      </w:r>
    </w:p>
    <w:p w14:paraId="296608D7">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2.2.1</w:t>
      </w:r>
      <w:r>
        <w:rPr>
          <w:rFonts w:hint="eastAsia" w:ascii="宋体" w:hAnsi="宋体" w:cs="宋体"/>
          <w:snapToGrid w:val="0"/>
          <w:color w:val="auto"/>
          <w:kern w:val="0"/>
          <w:sz w:val="24"/>
          <w:highlight w:val="none"/>
        </w:rPr>
        <w:t xml:space="preserve"> 投标人须具备独立法人资格，按国家法律经营。</w:t>
      </w:r>
    </w:p>
    <w:p w14:paraId="3918A31D">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2.2.2</w:t>
      </w:r>
      <w:r>
        <w:rPr>
          <w:rFonts w:hint="eastAsia" w:hAnsi="宋体" w:cs="宋体"/>
          <w:snapToGrid w:val="0"/>
          <w:color w:val="auto"/>
          <w:kern w:val="0"/>
          <w:szCs w:val="24"/>
          <w:highlight w:val="none"/>
        </w:rPr>
        <w:t xml:space="preserve"> </w:t>
      </w:r>
      <w:r>
        <w:rPr>
          <w:rFonts w:hint="eastAsia" w:ascii="宋体" w:hAnsi="宋体" w:cs="宋体"/>
          <w:snapToGrid w:val="0"/>
          <w:color w:val="auto"/>
          <w:kern w:val="0"/>
          <w:sz w:val="24"/>
          <w:highlight w:val="none"/>
        </w:rPr>
        <w:t>投标人须具备以下资质：</w:t>
      </w:r>
      <w:r>
        <w:rPr>
          <w:rFonts w:hint="eastAsia" w:ascii="宋体" w:hAnsi="宋体" w:eastAsia="宋体" w:cs="宋体"/>
          <w:snapToGrid w:val="0"/>
          <w:color w:val="auto"/>
          <w:kern w:val="0"/>
          <w:sz w:val="24"/>
          <w:highlight w:val="none"/>
          <w:u w:val="single"/>
          <w:lang w:eastAsia="zh-CN"/>
        </w:rPr>
        <w:t>工程监理综合资质或房屋建筑工程专业监理乙级以上（含乙级）资质。</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hAnsi="宋体" w:cs="宋体"/>
          <w:b/>
          <w:bCs/>
          <w:snapToGrid w:val="0"/>
          <w:color w:val="auto"/>
          <w:kern w:val="0"/>
          <w:szCs w:val="24"/>
          <w:highlight w:val="none"/>
        </w:rPr>
        <w:t>2.2.3</w:t>
      </w:r>
      <w:r>
        <w:rPr>
          <w:rFonts w:hint="eastAsia" w:hAnsi="宋体" w:cs="宋体"/>
          <w:snapToGrid w:val="0"/>
          <w:color w:val="auto"/>
          <w:kern w:val="0"/>
          <w:szCs w:val="24"/>
          <w:highlight w:val="none"/>
        </w:rPr>
        <w:t xml:space="preserve"> </w:t>
      </w:r>
      <w:r>
        <w:rPr>
          <w:rFonts w:hint="eastAsia" w:hAnsi="宋体" w:cs="宋体"/>
          <w:color w:val="auto"/>
          <w:szCs w:val="24"/>
          <w:highlight w:val="none"/>
        </w:rPr>
        <w:t>投标人的企业相关证书、人员资质、资格有效期到期的，均按该证书的发证机构相关行业主管部门最新文件执行（如自动顺延或推迟办理延期业务的通知），</w:t>
      </w:r>
      <w:r>
        <w:rPr>
          <w:rFonts w:hint="eastAsia" w:hAnsi="宋体" w:cs="宋体"/>
          <w:b/>
          <w:bCs/>
          <w:color w:val="auto"/>
          <w:szCs w:val="24"/>
          <w:highlight w:val="none"/>
        </w:rPr>
        <w:t>投标人必须将相关文件附在该证书后面中，证明在开标日继续有效。</w:t>
      </w:r>
    </w:p>
    <w:p w14:paraId="53EE3233">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w:t>
      </w:r>
      <w:r>
        <w:rPr>
          <w:rFonts w:hint="eastAsia" w:ascii="宋体" w:hAnsi="宋体" w:cs="宋体"/>
          <w:snapToGrid w:val="0"/>
          <w:color w:val="auto"/>
          <w:kern w:val="0"/>
          <w:sz w:val="24"/>
          <w:highlight w:val="none"/>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ascii="宋体" w:hAnsi="宋体" w:cs="宋体"/>
          <w:b/>
          <w:bCs/>
          <w:snapToGrid w:val="0"/>
          <w:color w:val="auto"/>
          <w:kern w:val="0"/>
          <w:sz w:val="24"/>
          <w:highlight w:val="none"/>
        </w:rPr>
        <w:t>2.3.1</w:t>
      </w:r>
      <w:r>
        <w:rPr>
          <w:rFonts w:hint="eastAsia" w:ascii="宋体" w:hAnsi="宋体" w:cs="宋体"/>
          <w:snapToGrid w:val="0"/>
          <w:color w:val="auto"/>
          <w:kern w:val="0"/>
          <w:sz w:val="24"/>
          <w:highlight w:val="none"/>
        </w:rPr>
        <w:t xml:space="preserve"> </w:t>
      </w:r>
      <w:r>
        <w:rPr>
          <w:rFonts w:hint="eastAsia" w:hAnsi="宋体" w:cs="宋体"/>
          <w:color w:val="auto"/>
          <w:szCs w:val="24"/>
          <w:highlight w:val="none"/>
        </w:rPr>
        <w:t>拟派总监理工程师为</w:t>
      </w:r>
      <w:r>
        <w:rPr>
          <w:rFonts w:hint="eastAsia" w:ascii="宋体" w:hAnsi="宋体" w:cs="宋体"/>
          <w:snapToGrid w:val="0"/>
          <w:color w:val="auto"/>
          <w:kern w:val="0"/>
          <w:sz w:val="24"/>
          <w:highlight w:val="none"/>
          <w:u w:val="single"/>
          <w:lang w:val="en-US" w:eastAsia="zh-CN"/>
        </w:rPr>
        <w:t>房屋建筑工程</w:t>
      </w:r>
      <w:r>
        <w:rPr>
          <w:rFonts w:hint="eastAsia" w:hAnsi="宋体" w:cs="宋体"/>
          <w:color w:val="auto"/>
          <w:szCs w:val="24"/>
          <w:highlight w:val="none"/>
        </w:rPr>
        <w:t>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highlight w:val="none"/>
          <w:u w:val="single"/>
        </w:rPr>
        <w:t xml:space="preserve"> 2 </w:t>
      </w:r>
      <w:r>
        <w:rPr>
          <w:rFonts w:hint="eastAsia" w:hAnsi="宋体" w:cs="宋体"/>
          <w:color w:val="auto"/>
          <w:szCs w:val="24"/>
          <w:highlight w:val="none"/>
        </w:rPr>
        <w:t>个。</w:t>
      </w:r>
    </w:p>
    <w:p w14:paraId="1B937DB3">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拟派总监理工程师现阶段有担任其他在施建设工程项目总监理工程师职务的，须得到任职项目建设单位书面同意后方可担任本招标项目总监理工程师。</w:t>
      </w:r>
    </w:p>
    <w:p w14:paraId="729B3FCF">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2.3.2</w:t>
      </w:r>
      <w:r>
        <w:rPr>
          <w:rFonts w:hint="eastAsia" w:ascii="宋体" w:hAnsi="宋体" w:cs="宋体"/>
          <w:snapToGrid w:val="0"/>
          <w:color w:val="auto"/>
          <w:kern w:val="0"/>
          <w:sz w:val="24"/>
          <w:highlight w:val="none"/>
        </w:rPr>
        <w:t xml:space="preserve"> 投标人与其拟派往本项目监理机构的所有人员之间必须具备合法、唯一的劳动聘用关系。拟派人员中具备注册执业资格的，其注册单位须与投标人保持一致。</w:t>
      </w:r>
    </w:p>
    <w:p w14:paraId="51D5C150">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w:t>
      </w:r>
      <w:r>
        <w:rPr>
          <w:rFonts w:hint="eastAsia" w:ascii="宋体" w:hAnsi="宋体" w:cs="宋体"/>
          <w:snapToGrid w:val="0"/>
          <w:color w:val="auto"/>
          <w:kern w:val="0"/>
          <w:sz w:val="24"/>
          <w:highlight w:val="none"/>
        </w:rPr>
        <w:t xml:space="preserve"> 禁止投标条款</w:t>
      </w:r>
    </w:p>
    <w:p w14:paraId="7D7AD0E4">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2.4.1</w:t>
      </w:r>
      <w:r>
        <w:rPr>
          <w:rFonts w:hint="eastAsia" w:ascii="宋体" w:hAnsi="宋体" w:cs="宋体"/>
          <w:snapToGrid w:val="0"/>
          <w:color w:val="auto"/>
          <w:kern w:val="0"/>
          <w:sz w:val="24"/>
          <w:highlight w:val="none"/>
        </w:rPr>
        <w:t xml:space="preserve"> 投标人不得存在下列情形之一：</w:t>
      </w:r>
    </w:p>
    <w:p w14:paraId="23B2DC3C">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（1）为招标人不具有独立法人资格的附属机构（单位）；</w:t>
      </w:r>
    </w:p>
    <w:p w14:paraId="7B77E298">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（2）与招标人存在利害关系且可能影响招标公正性；</w:t>
      </w:r>
    </w:p>
    <w:p w14:paraId="66A8637F">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（3）与本招标项目的其他投标人为同一个单位负责人；</w:t>
      </w:r>
    </w:p>
    <w:p w14:paraId="6445557B">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（4）与本招标项目的其他投标人存在控股、管理关系；</w:t>
      </w:r>
    </w:p>
    <w:p w14:paraId="66EBD7D7">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（5）为本招标项目的代建人；</w:t>
      </w:r>
    </w:p>
    <w:p w14:paraId="2102A470">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（6）为本招标项目的招标代理机构；</w:t>
      </w:r>
    </w:p>
    <w:p w14:paraId="22A7EB6B">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（7）与本招标项目的代建人或招标代理机构同为一个法定代表人；</w:t>
      </w:r>
    </w:p>
    <w:p w14:paraId="3FC11BF5">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（8）与本招标项目的代建人或招标代理机构存在控股或参股关系；</w:t>
      </w:r>
    </w:p>
    <w:p w14:paraId="12857A0D">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（9）与本招标项目的施工承包人以及建筑材料、建筑构配件和设备供应商有隶属关系或者其他利害关系；</w:t>
      </w:r>
    </w:p>
    <w:p w14:paraId="4A6FC44A">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（10）被依法暂停或者取消投标资格；</w:t>
      </w:r>
    </w:p>
    <w:p w14:paraId="68E70B2D">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（11）被责令停产停业、暂扣或者吊销许可证、暂扣或者吊销执照；</w:t>
      </w:r>
    </w:p>
    <w:p w14:paraId="75517A3D">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（12）进入清算程序，或被宣告破产，或其他丧失履约能力的情形；</w:t>
      </w:r>
    </w:p>
    <w:p w14:paraId="40C303D7">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（13）在最近三年内发生重大监理质量问题（以相关行业主管部门的行政处罚决定或司法机关出具的有关法律文书为准）；</w:t>
      </w:r>
    </w:p>
    <w:p w14:paraId="331A83DA">
      <w:pPr>
        <w:pStyle w:val="88"/>
        <w:keepNext w:val="0"/>
        <w:keepLines w:val="0"/>
        <w:pageBreakBefore w:val="0"/>
        <w:wordWrap w:val="0"/>
        <w:topLinePunct w:val="0"/>
        <w:bidi w:val="0"/>
        <w:adjustRightInd w:val="0"/>
        <w:snapToGrid w:val="0"/>
        <w:spacing w:line="500" w:lineRule="exact"/>
        <w:ind w:firstLine="240" w:firstLineChars="1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rPr>
        <w:t>（14）</w:t>
      </w:r>
      <w:r>
        <w:rPr>
          <w:rFonts w:hint="eastAsia" w:ascii="宋体" w:hAnsi="宋体" w:cs="宋体"/>
          <w:color w:val="auto"/>
          <w:kern w:val="0"/>
          <w:sz w:val="24"/>
          <w:highlight w:val="none"/>
        </w:rPr>
        <w:t>被“信用中国”网站（https://www.creditchina.gov.cn）发布的《法人和非法人组织公共信用信息报告》列为严重失信主体名单的</w:t>
      </w:r>
      <w:r>
        <w:rPr>
          <w:rFonts w:hint="eastAsia" w:ascii="宋体" w:hAnsi="宋体" w:cs="宋体"/>
          <w:snapToGrid w:val="0"/>
          <w:color w:val="auto"/>
          <w:kern w:val="0"/>
          <w:sz w:val="24"/>
          <w:highlight w:val="none"/>
        </w:rPr>
        <w:t>。</w:t>
      </w:r>
    </w:p>
    <w:p w14:paraId="6D2A9BC1">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2.4.2</w:t>
      </w:r>
      <w:r>
        <w:rPr>
          <w:rFonts w:hint="eastAsia" w:ascii="宋体" w:hAnsi="宋体" w:cs="宋体"/>
          <w:snapToGrid w:val="0"/>
          <w:color w:val="auto"/>
          <w:kern w:val="0"/>
          <w:sz w:val="24"/>
          <w:highlight w:val="none"/>
        </w:rPr>
        <w:t xml:space="preserve"> 招标人拒绝以下名单中的单位参加本次投标：</w:t>
      </w:r>
    </w:p>
    <w:tbl>
      <w:tblPr>
        <w:tblStyle w:val="31"/>
        <w:tblW w:w="8719"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3732"/>
        <w:gridCol w:w="4204"/>
      </w:tblGrid>
      <w:tr w14:paraId="0655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783" w:type="dxa"/>
            <w:noWrap w:val="0"/>
            <w:vAlign w:val="center"/>
          </w:tcPr>
          <w:p w14:paraId="1EF599D5">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732" w:type="dxa"/>
            <w:noWrap w:val="0"/>
            <w:vAlign w:val="center"/>
          </w:tcPr>
          <w:p w14:paraId="6393EFEA">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4204" w:type="dxa"/>
            <w:noWrap w:val="0"/>
            <w:vAlign w:val="center"/>
          </w:tcPr>
          <w:p w14:paraId="22BCCA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2B7C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83" w:type="dxa"/>
            <w:noWrap w:val="0"/>
            <w:vAlign w:val="center"/>
          </w:tcPr>
          <w:p w14:paraId="247CC672">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3732" w:type="dxa"/>
            <w:noWrap w:val="0"/>
            <w:vAlign w:val="center"/>
          </w:tcPr>
          <w:p w14:paraId="48F92AA4">
            <w:pPr>
              <w:pStyle w:val="88"/>
              <w:wordWrap w:val="0"/>
              <w:adjustRightInd w:val="0"/>
              <w:snapToGrid w:val="0"/>
              <w:spacing w:line="3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无</w:t>
            </w:r>
          </w:p>
        </w:tc>
        <w:tc>
          <w:tcPr>
            <w:tcW w:w="4204" w:type="dxa"/>
            <w:noWrap w:val="0"/>
            <w:vAlign w:val="center"/>
          </w:tcPr>
          <w:p w14:paraId="1CA7E40F">
            <w:pPr>
              <w:pStyle w:val="88"/>
              <w:wordWrap w:val="0"/>
              <w:adjustRightInd w:val="0"/>
              <w:snapToGrid w:val="0"/>
              <w:spacing w:line="3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为招标人不具有独立法人资格的附属机构</w:t>
            </w:r>
          </w:p>
        </w:tc>
      </w:tr>
      <w:tr w14:paraId="6474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83" w:type="dxa"/>
            <w:noWrap w:val="0"/>
            <w:vAlign w:val="center"/>
          </w:tcPr>
          <w:p w14:paraId="308BACF3">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3732" w:type="dxa"/>
            <w:noWrap w:val="0"/>
            <w:vAlign w:val="center"/>
          </w:tcPr>
          <w:p w14:paraId="2C7FB050">
            <w:pPr>
              <w:pStyle w:val="88"/>
              <w:wordWrap w:val="0"/>
              <w:adjustRightInd w:val="0"/>
              <w:snapToGrid w:val="0"/>
              <w:spacing w:line="340" w:lineRule="exact"/>
              <w:jc w:val="center"/>
              <w:rPr>
                <w:rFonts w:hint="default" w:ascii="宋体" w:hAnsi="宋体" w:eastAsia="宋体" w:cs="宋体"/>
                <w:color w:val="auto"/>
                <w:sz w:val="24"/>
                <w:szCs w:val="24"/>
                <w:highlight w:val="none"/>
                <w:lang w:val="en-US" w:eastAsia="zh-CN"/>
              </w:rPr>
            </w:pPr>
            <w:r>
              <w:rPr>
                <w:rFonts w:hint="eastAsia" w:ascii="宋体" w:hAnsi="宋体" w:cs="宋体"/>
                <w:snapToGrid w:val="0"/>
                <w:color w:val="auto"/>
                <w:kern w:val="0"/>
                <w:sz w:val="24"/>
                <w:szCs w:val="24"/>
                <w:highlight w:val="none"/>
                <w:lang w:eastAsia="zh-CN"/>
              </w:rPr>
              <w:t>韶关市武江区应急管理局</w:t>
            </w:r>
          </w:p>
        </w:tc>
        <w:tc>
          <w:tcPr>
            <w:tcW w:w="4204" w:type="dxa"/>
            <w:noWrap w:val="0"/>
            <w:vAlign w:val="center"/>
          </w:tcPr>
          <w:p w14:paraId="3659449E">
            <w:pPr>
              <w:pStyle w:val="88"/>
              <w:wordWrap w:val="0"/>
              <w:adjustRightInd w:val="0"/>
              <w:snapToGrid w:val="0"/>
              <w:spacing w:line="3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为本招标项目的招标人</w:t>
            </w:r>
          </w:p>
        </w:tc>
      </w:tr>
      <w:tr w14:paraId="2648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83" w:type="dxa"/>
            <w:noWrap w:val="0"/>
            <w:vAlign w:val="center"/>
          </w:tcPr>
          <w:p w14:paraId="00828124">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p>
        </w:tc>
        <w:tc>
          <w:tcPr>
            <w:tcW w:w="3732" w:type="dxa"/>
            <w:noWrap w:val="0"/>
            <w:vAlign w:val="center"/>
          </w:tcPr>
          <w:p w14:paraId="76EC56A5">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eastAsia="zh-CN"/>
              </w:rPr>
              <w:t>韶关众信项目管理有限公司</w:t>
            </w:r>
          </w:p>
        </w:tc>
        <w:tc>
          <w:tcPr>
            <w:tcW w:w="4204" w:type="dxa"/>
            <w:noWrap w:val="0"/>
            <w:vAlign w:val="center"/>
          </w:tcPr>
          <w:p w14:paraId="7789CE8C">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为本招标项目的招标代理机构</w:t>
            </w:r>
          </w:p>
        </w:tc>
      </w:tr>
      <w:tr w14:paraId="358E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83" w:type="dxa"/>
            <w:noWrap w:val="0"/>
            <w:vAlign w:val="center"/>
          </w:tcPr>
          <w:p w14:paraId="618896A2">
            <w:pPr>
              <w:pStyle w:val="88"/>
              <w:wordWrap w:val="0"/>
              <w:adjustRightInd w:val="0"/>
              <w:snapToGrid w:val="0"/>
              <w:spacing w:line="340" w:lineRule="exact"/>
              <w:jc w:val="center"/>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4</w:t>
            </w:r>
          </w:p>
        </w:tc>
        <w:tc>
          <w:tcPr>
            <w:tcW w:w="3732" w:type="dxa"/>
            <w:noWrap w:val="0"/>
            <w:vAlign w:val="center"/>
          </w:tcPr>
          <w:p w14:paraId="6D80ECC2">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cs="宋体"/>
                <w:color w:val="auto"/>
                <w:sz w:val="24"/>
                <w:szCs w:val="24"/>
                <w:highlight w:val="none"/>
                <w:lang w:val="en-US" w:eastAsia="zh-CN"/>
              </w:rPr>
              <w:t>中创名建工程管理集团有限公司</w:t>
            </w:r>
          </w:p>
        </w:tc>
        <w:tc>
          <w:tcPr>
            <w:tcW w:w="4204" w:type="dxa"/>
            <w:noWrap w:val="0"/>
            <w:vAlign w:val="center"/>
          </w:tcPr>
          <w:p w14:paraId="0C8722C2">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为本招标项目的</w:t>
            </w:r>
            <w:r>
              <w:rPr>
                <w:rFonts w:hint="eastAsia" w:ascii="宋体" w:hAnsi="宋体" w:cs="宋体"/>
                <w:snapToGrid w:val="0"/>
                <w:color w:val="auto"/>
                <w:kern w:val="0"/>
                <w:sz w:val="24"/>
                <w:szCs w:val="24"/>
                <w:highlight w:val="none"/>
                <w:lang w:val="en-US" w:eastAsia="zh-CN"/>
              </w:rPr>
              <w:t>全过程</w:t>
            </w:r>
            <w:r>
              <w:rPr>
                <w:rFonts w:hint="eastAsia" w:ascii="宋体" w:hAnsi="宋体" w:eastAsia="宋体" w:cs="宋体"/>
                <w:snapToGrid w:val="0"/>
                <w:color w:val="auto"/>
                <w:kern w:val="0"/>
                <w:sz w:val="24"/>
                <w:szCs w:val="24"/>
                <w:highlight w:val="none"/>
                <w:lang w:val="en-US" w:eastAsia="zh-CN"/>
              </w:rPr>
              <w:t>造价咨询</w:t>
            </w:r>
            <w:r>
              <w:rPr>
                <w:rFonts w:hint="eastAsia" w:ascii="宋体" w:hAnsi="宋体" w:eastAsia="宋体" w:cs="宋体"/>
                <w:snapToGrid w:val="0"/>
                <w:color w:val="auto"/>
                <w:kern w:val="0"/>
                <w:sz w:val="24"/>
                <w:szCs w:val="24"/>
                <w:highlight w:val="none"/>
              </w:rPr>
              <w:t>单位</w:t>
            </w:r>
          </w:p>
        </w:tc>
      </w:tr>
      <w:tr w14:paraId="0D27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83" w:type="dxa"/>
            <w:noWrap w:val="0"/>
            <w:vAlign w:val="center"/>
          </w:tcPr>
          <w:p w14:paraId="68376C47">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5</w:t>
            </w:r>
          </w:p>
        </w:tc>
        <w:tc>
          <w:tcPr>
            <w:tcW w:w="3732" w:type="dxa"/>
            <w:noWrap w:val="0"/>
            <w:vAlign w:val="center"/>
          </w:tcPr>
          <w:p w14:paraId="36D3299C">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eastAsia="zh-CN"/>
              </w:rPr>
              <w:t>中誉设计有限公司</w:t>
            </w:r>
          </w:p>
        </w:tc>
        <w:tc>
          <w:tcPr>
            <w:tcW w:w="4204" w:type="dxa"/>
            <w:noWrap w:val="0"/>
            <w:vAlign w:val="center"/>
          </w:tcPr>
          <w:p w14:paraId="6C823A43">
            <w:pPr>
              <w:pStyle w:val="88"/>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为本招标项目的设计单位</w:t>
            </w:r>
          </w:p>
        </w:tc>
      </w:tr>
    </w:tbl>
    <w:p w14:paraId="436A391F">
      <w:pPr>
        <w:pStyle w:val="88"/>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2.5</w:t>
      </w:r>
      <w:r>
        <w:rPr>
          <w:rFonts w:hint="eastAsia" w:ascii="宋体" w:hAnsi="宋体" w:cs="宋体"/>
          <w:snapToGrid w:val="0"/>
          <w:color w:val="auto"/>
          <w:kern w:val="0"/>
          <w:sz w:val="24"/>
          <w:highlight w:val="none"/>
        </w:rPr>
        <w:t xml:space="preserve"> 其他要求</w:t>
      </w:r>
    </w:p>
    <w:p w14:paraId="574A12A8">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88"/>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ascii="宋体" w:hAnsi="宋体" w:cs="宋体"/>
          <w:b/>
          <w:bCs/>
          <w:snapToGrid w:val="0"/>
          <w:color w:val="auto"/>
          <w:kern w:val="0"/>
          <w:sz w:val="24"/>
          <w:highlight w:val="none"/>
        </w:rPr>
      </w:pPr>
      <w:bookmarkStart w:id="20" w:name="_Toc23314"/>
      <w:r>
        <w:rPr>
          <w:rFonts w:hint="eastAsia" w:ascii="宋体" w:hAnsi="宋体" w:cs="宋体"/>
          <w:b/>
          <w:bCs/>
          <w:snapToGrid w:val="0"/>
          <w:color w:val="auto"/>
          <w:kern w:val="0"/>
          <w:sz w:val="24"/>
          <w:highlight w:val="none"/>
        </w:rPr>
        <w:t>3．获取招标文件</w:t>
      </w:r>
      <w:bookmarkEnd w:id="20"/>
    </w:p>
    <w:p w14:paraId="1DF04FBD">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color w:val="auto"/>
          <w:sz w:val="24"/>
          <w:highlight w:val="none"/>
          <w:shd w:val="clear" w:color="auto" w:fill="FFFFFF"/>
        </w:rPr>
      </w:pPr>
      <w:r>
        <w:rPr>
          <w:rFonts w:hint="eastAsia" w:ascii="宋体" w:hAnsi="宋体" w:cs="宋体"/>
          <w:snapToGrid w:val="0"/>
          <w:color w:val="auto"/>
          <w:kern w:val="0"/>
          <w:sz w:val="24"/>
          <w:highlight w:val="none"/>
        </w:rPr>
        <w:t xml:space="preserve">3.1 </w:t>
      </w:r>
      <w:r>
        <w:rPr>
          <w:rFonts w:hint="eastAsia" w:ascii="宋体" w:hAnsi="宋体" w:cs="宋体"/>
          <w:color w:val="auto"/>
          <w:sz w:val="24"/>
          <w:highlight w:val="none"/>
          <w:shd w:val="clear" w:color="auto" w:fill="FFFFFF"/>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color w:val="auto"/>
          <w:sz w:val="24"/>
          <w:highlight w:val="none"/>
          <w:shd w:val="clear" w:color="auto" w:fill="FFFFFF"/>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w:t>
      </w:r>
    </w:p>
    <w:p w14:paraId="72C76745">
      <w:pPr>
        <w:pStyle w:val="27"/>
        <w:keepNext w:val="0"/>
        <w:keepLines w:val="0"/>
        <w:pageBreakBefore w:val="0"/>
        <w:topLinePunct w:val="0"/>
        <w:bidi w:val="0"/>
        <w:spacing w:before="0" w:beforeAutospacing="0" w:after="0" w:afterAutospacing="0" w:line="500" w:lineRule="exact"/>
        <w:ind w:firstLine="480" w:firstLineChars="200"/>
        <w:textAlignment w:val="auto"/>
        <w:rPr>
          <w:snapToGrid w:val="0"/>
          <w:color w:val="auto"/>
          <w:highlight w:val="none"/>
        </w:rPr>
      </w:pPr>
      <w:r>
        <w:rPr>
          <w:rFonts w:hint="eastAsia"/>
          <w:snapToGrid w:val="0"/>
          <w:color w:val="auto"/>
          <w:highlight w:val="none"/>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7"/>
        <w:keepNext w:val="0"/>
        <w:keepLines w:val="0"/>
        <w:pageBreakBefore w:val="0"/>
        <w:topLinePunct w:val="0"/>
        <w:bidi w:val="0"/>
        <w:spacing w:before="0" w:beforeAutospacing="0" w:after="0" w:afterAutospacing="0" w:line="500" w:lineRule="exact"/>
        <w:ind w:firstLine="480" w:firstLineChars="200"/>
        <w:textAlignment w:val="auto"/>
        <w:rPr>
          <w:bCs/>
          <w:color w:val="auto"/>
          <w:highlight w:val="none"/>
        </w:rPr>
      </w:pPr>
      <w:r>
        <w:rPr>
          <w:rFonts w:hint="eastAsia"/>
          <w:snapToGrid w:val="0"/>
          <w:color w:val="auto"/>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auto"/>
          <w:highlight w:val="none"/>
        </w:rPr>
        <w:t xml:space="preserve"> </w:t>
      </w:r>
    </w:p>
    <w:p w14:paraId="3710C648">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kern w:val="0"/>
          <w:sz w:val="24"/>
          <w:highlight w:val="none"/>
        </w:rPr>
        <w:t>已入库企业的有关信息（如单位名称、基本账号、资质、人员等）发生变化的，应及时在建设工程交易系统进行相应变更。投标人未及时变更而造成的损失和后果，由投标人自行承担。</w:t>
      </w:r>
    </w:p>
    <w:p w14:paraId="5349E3D5">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 投标保证</w:t>
      </w:r>
    </w:p>
    <w:p w14:paraId="71FD51AC">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3.3.1 投标人须缴纳金额为人民币</w:t>
      </w:r>
      <w:r>
        <w:rPr>
          <w:rFonts w:hint="eastAsia" w:ascii="宋体" w:hAnsi="宋体" w:cs="宋体"/>
          <w:color w:val="auto"/>
          <w:sz w:val="24"/>
          <w:highlight w:val="none"/>
          <w:u w:val="single"/>
          <w:shd w:val="clear" w:color="auto" w:fill="FFFFFF"/>
          <w:lang w:val="en-US" w:eastAsia="zh-CN"/>
        </w:rPr>
        <w:t>贰仟</w:t>
      </w:r>
      <w:r>
        <w:rPr>
          <w:rFonts w:hint="eastAsia" w:ascii="宋体" w:hAnsi="宋体" w:cs="宋体"/>
          <w:color w:val="auto"/>
          <w:sz w:val="24"/>
          <w:highlight w:val="none"/>
          <w:shd w:val="clear" w:color="auto" w:fill="FFFFFF"/>
        </w:rPr>
        <w:t xml:space="preserve">元的投标保证。 </w:t>
      </w:r>
    </w:p>
    <w:p w14:paraId="081C9AA3">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3.3.2 投标保证的形式包括投标保证金、投标保证担保、投标保证保险三种，由投标人自主选择。</w:t>
      </w:r>
    </w:p>
    <w:p w14:paraId="42604924">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hAnsi="宋体" w:cs="宋体"/>
          <w:color w:val="auto"/>
          <w:highlight w:val="none"/>
          <w:lang w:val="en-US" w:eastAsia="zh-CN"/>
        </w:rPr>
        <w:t>见</w:t>
      </w:r>
      <w:r>
        <w:rPr>
          <w:rFonts w:hint="eastAsia" w:hAnsi="宋体" w:cs="宋体"/>
          <w:color w:val="auto"/>
          <w:highlight w:val="none"/>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auto"/>
          <w:sz w:val="24"/>
          <w:highlight w:val="none"/>
        </w:rPr>
        <w:t>延长</w:t>
      </w:r>
      <w:r>
        <w:rPr>
          <w:rFonts w:hint="eastAsia" w:ascii="宋体" w:hAnsi="宋体" w:cs="宋体"/>
          <w:color w:val="auto"/>
          <w:sz w:val="24"/>
          <w:highlight w:val="none"/>
        </w:rPr>
        <w:t>不少于20个日历天。</w:t>
      </w:r>
    </w:p>
    <w:p w14:paraId="62BC100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3.4</w:t>
      </w:r>
      <w:r>
        <w:rPr>
          <w:rFonts w:hint="eastAsia" w:hAnsi="宋体" w:cs="宋体"/>
          <w:snapToGrid w:val="0"/>
          <w:color w:val="auto"/>
          <w:kern w:val="0"/>
          <w:highlight w:val="none"/>
        </w:rPr>
        <w:t xml:space="preserve"> 若投标人因自身原因未能正确完成获取招标文件、电子投标、缴纳投标保证的，其投标无效。</w:t>
      </w:r>
    </w:p>
    <w:p w14:paraId="0034AD8F">
      <w:pPr>
        <w:keepNext w:val="0"/>
        <w:keepLines w:val="0"/>
        <w:pageBreakBefore w:val="0"/>
        <w:tabs>
          <w:tab w:val="left" w:pos="7020"/>
        </w:tabs>
        <w:wordWrap w:val="0"/>
        <w:topLinePunct w:val="0"/>
        <w:bidi w:val="0"/>
        <w:adjustRightInd w:val="0"/>
        <w:snapToGrid w:val="0"/>
        <w:spacing w:line="360" w:lineRule="auto"/>
        <w:ind w:firstLine="482" w:firstLineChars="200"/>
        <w:textAlignment w:val="auto"/>
        <w:outlineLvl w:val="2"/>
        <w:rPr>
          <w:rFonts w:hAnsi="宋体" w:cs="宋体"/>
          <w:snapToGrid w:val="0"/>
          <w:color w:val="auto"/>
          <w:kern w:val="0"/>
          <w:highlight w:val="none"/>
        </w:rPr>
      </w:pPr>
      <w:bookmarkStart w:id="21" w:name="_Toc28899"/>
      <w:r>
        <w:rPr>
          <w:rFonts w:hint="eastAsia" w:hAnsi="宋体" w:cs="宋体"/>
          <w:b/>
          <w:bCs/>
          <w:snapToGrid w:val="0"/>
          <w:color w:val="auto"/>
          <w:kern w:val="0"/>
          <w:highlight w:val="none"/>
        </w:rPr>
        <w:t>4．服务期限</w:t>
      </w:r>
      <w:bookmarkEnd w:id="21"/>
    </w:p>
    <w:p w14:paraId="222B7AA0">
      <w:pPr>
        <w:keepNext w:val="0"/>
        <w:keepLines w:val="0"/>
        <w:pageBreakBefore w:val="0"/>
        <w:tabs>
          <w:tab w:val="left" w:pos="7020"/>
        </w:tabs>
        <w:wordWrap w:val="0"/>
        <w:topLinePunct w:val="0"/>
        <w:bidi w:val="0"/>
        <w:adjustRightInd w:val="0"/>
        <w:snapToGrid w:val="0"/>
        <w:spacing w:line="360" w:lineRule="auto"/>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4.1</w:t>
      </w:r>
      <w:r>
        <w:rPr>
          <w:rFonts w:hint="eastAsia" w:hAnsi="宋体" w:cs="宋体"/>
          <w:snapToGrid w:val="0"/>
          <w:color w:val="auto"/>
          <w:kern w:val="0"/>
          <w:highlight w:val="none"/>
        </w:rPr>
        <w:t xml:space="preserve"> 监理：</w:t>
      </w:r>
      <w:r>
        <w:rPr>
          <w:rFonts w:hint="eastAsia" w:ascii="宋体" w:hAnsi="宋体" w:eastAsia="宋体" w:cs="宋体"/>
          <w:snapToGrid w:val="0"/>
          <w:color w:val="auto"/>
          <w:kern w:val="0"/>
          <w:sz w:val="24"/>
          <w:szCs w:val="24"/>
          <w:highlight w:val="none"/>
          <w:lang w:val="en-US" w:eastAsia="zh-CN"/>
        </w:rPr>
        <w:t>本项目施工招标工期为360个日历天</w:t>
      </w:r>
      <w:r>
        <w:rPr>
          <w:rFonts w:hint="eastAsia" w:hAnsi="宋体" w:cs="宋体"/>
          <w:snapToGrid w:val="0"/>
          <w:color w:val="auto"/>
          <w:kern w:val="0"/>
          <w:sz w:val="24"/>
          <w:szCs w:val="24"/>
          <w:highlight w:val="none"/>
          <w:lang w:val="en-US" w:eastAsia="zh-CN"/>
        </w:rPr>
        <w:t>，</w:t>
      </w:r>
      <w:r>
        <w:rPr>
          <w:rFonts w:hint="eastAsia" w:hAnsi="宋体" w:cs="宋体"/>
          <w:snapToGrid w:val="0"/>
          <w:color w:val="auto"/>
          <w:kern w:val="0"/>
          <w:highlight w:val="none"/>
        </w:rPr>
        <w:t>监理服务期从监理合同签订之日起计，至本工程缺陷责任保修期结束且本工程结算金额经政府主管部门审定且双方的责任义务履行完毕时止。</w:t>
      </w:r>
    </w:p>
    <w:p w14:paraId="1B68FEE8">
      <w:pPr>
        <w:pStyle w:val="5"/>
        <w:keepNext w:val="0"/>
        <w:keepLines w:val="0"/>
        <w:pageBreakBefore w:val="0"/>
        <w:wordWrap w:val="0"/>
        <w:topLinePunct w:val="0"/>
        <w:autoSpaceDE/>
        <w:autoSpaceDN/>
        <w:bidi w:val="0"/>
        <w:snapToGrid w:val="0"/>
        <w:spacing w:line="360" w:lineRule="auto"/>
        <w:ind w:firstLine="480"/>
        <w:jc w:val="both"/>
        <w:textAlignment w:val="auto"/>
        <w:outlineLvl w:val="2"/>
        <w:rPr>
          <w:rFonts w:hint="eastAsia" w:hAnsi="宋体" w:cs="宋体"/>
          <w:b/>
          <w:snapToGrid w:val="0"/>
          <w:color w:val="auto"/>
          <w:highlight w:val="none"/>
        </w:rPr>
      </w:pPr>
      <w:bookmarkStart w:id="22" w:name="_Toc30430"/>
      <w:bookmarkStart w:id="23" w:name="_Toc10746"/>
      <w:r>
        <w:rPr>
          <w:rFonts w:hint="eastAsia" w:hAnsi="宋体" w:cs="宋体"/>
          <w:b/>
          <w:snapToGrid w:val="0"/>
          <w:color w:val="auto"/>
          <w:highlight w:val="none"/>
        </w:rPr>
        <w:t>5．服务标准</w:t>
      </w:r>
      <w:bookmarkEnd w:id="22"/>
      <w:bookmarkEnd w:id="23"/>
    </w:p>
    <w:p w14:paraId="3DCFC342">
      <w:pPr>
        <w:pStyle w:val="5"/>
        <w:keepNext w:val="0"/>
        <w:keepLines w:val="0"/>
        <w:pageBreakBefore w:val="0"/>
        <w:wordWrap w:val="0"/>
        <w:topLinePunct w:val="0"/>
        <w:autoSpaceDE/>
        <w:autoSpaceDN/>
        <w:bidi w:val="0"/>
        <w:snapToGrid w:val="0"/>
        <w:spacing w:line="360" w:lineRule="auto"/>
        <w:ind w:firstLine="480"/>
        <w:jc w:val="both"/>
        <w:textAlignment w:val="auto"/>
        <w:outlineLvl w:val="2"/>
        <w:rPr>
          <w:rFonts w:hint="eastAsia" w:hAnsi="宋体" w:cs="宋体"/>
          <w:snapToGrid w:val="0"/>
          <w:color w:val="auto"/>
          <w:kern w:val="0"/>
          <w:highlight w:val="none"/>
        </w:rPr>
      </w:pPr>
      <w:r>
        <w:rPr>
          <w:rFonts w:hint="eastAsia" w:hAnsi="宋体" w:cs="宋体"/>
          <w:b/>
          <w:bCs/>
          <w:snapToGrid w:val="0"/>
          <w:color w:val="auto"/>
          <w:kern w:val="0"/>
          <w:highlight w:val="none"/>
        </w:rPr>
        <w:t>5.1</w:t>
      </w:r>
      <w:r>
        <w:rPr>
          <w:rFonts w:hint="eastAsia" w:hAnsi="宋体" w:cs="宋体"/>
          <w:snapToGrid w:val="0"/>
          <w:color w:val="auto"/>
          <w:kern w:val="0"/>
          <w:highlight w:val="none"/>
        </w:rPr>
        <w:t xml:space="preserve"> 监理：</w:t>
      </w:r>
      <w:r>
        <w:rPr>
          <w:rFonts w:hint="eastAsia" w:hAnsi="宋体" w:cs="宋体"/>
          <w:color w:val="auto"/>
          <w:szCs w:val="24"/>
          <w:highlight w:val="none"/>
        </w:rPr>
        <w:t>工程质量达到合格或以上标准。</w:t>
      </w:r>
      <w:r>
        <w:rPr>
          <w:rFonts w:hint="eastAsia" w:hAnsi="宋体" w:cs="宋体"/>
          <w:snapToGrid w:val="0"/>
          <w:color w:val="auto"/>
          <w:kern w:val="0"/>
          <w:highlight w:val="none"/>
        </w:rPr>
        <w:t xml:space="preserve"> </w:t>
      </w:r>
      <w:bookmarkStart w:id="24" w:name="_Toc30102"/>
      <w:bookmarkStart w:id="25" w:name="_Toc32757"/>
    </w:p>
    <w:p w14:paraId="4CCCF34C">
      <w:pPr>
        <w:keepNext w:val="0"/>
        <w:keepLines w:val="0"/>
        <w:pageBreakBefore w:val="0"/>
        <w:wordWrap w:val="0"/>
        <w:topLinePunct w:val="0"/>
        <w:bidi w:val="0"/>
        <w:adjustRightInd w:val="0"/>
        <w:snapToGrid w:val="0"/>
        <w:spacing w:line="360" w:lineRule="auto"/>
        <w:ind w:firstLine="482" w:firstLineChars="200"/>
        <w:textAlignment w:val="auto"/>
        <w:rPr>
          <w:rFonts w:hAnsi="宋体" w:cs="宋体"/>
          <w:b/>
          <w:snapToGrid w:val="0"/>
          <w:color w:val="auto"/>
          <w:highlight w:val="none"/>
        </w:rPr>
      </w:pPr>
      <w:r>
        <w:rPr>
          <w:rFonts w:hint="eastAsia" w:hAnsi="宋体" w:cs="宋体"/>
          <w:b/>
          <w:snapToGrid w:val="0"/>
          <w:color w:val="auto"/>
          <w:highlight w:val="none"/>
        </w:rPr>
        <w:t>6．现场踏勘</w:t>
      </w:r>
      <w:bookmarkEnd w:id="24"/>
      <w:bookmarkEnd w:id="25"/>
    </w:p>
    <w:p w14:paraId="1F65B6C3">
      <w:pPr>
        <w:keepNext w:val="0"/>
        <w:keepLines w:val="0"/>
        <w:pageBreakBefore w:val="0"/>
        <w:wordWrap w:val="0"/>
        <w:topLinePunct w:val="0"/>
        <w:bidi w:val="0"/>
        <w:adjustRightInd w:val="0"/>
        <w:snapToGrid w:val="0"/>
        <w:spacing w:line="360" w:lineRule="auto"/>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6.1</w:t>
      </w:r>
      <w:r>
        <w:rPr>
          <w:rFonts w:hint="eastAsia" w:hAnsi="宋体" w:cs="宋体"/>
          <w:snapToGrid w:val="0"/>
          <w:color w:val="auto"/>
          <w:kern w:val="0"/>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wordWrap w:val="0"/>
        <w:topLinePunct w:val="0"/>
        <w:bidi w:val="0"/>
        <w:adjustRightInd w:val="0"/>
        <w:snapToGrid w:val="0"/>
        <w:spacing w:line="360" w:lineRule="auto"/>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6.2</w:t>
      </w:r>
      <w:r>
        <w:rPr>
          <w:rFonts w:hint="eastAsia" w:hAnsi="宋体" w:cs="宋体"/>
          <w:snapToGrid w:val="0"/>
          <w:color w:val="auto"/>
          <w:kern w:val="0"/>
          <w:highlight w:val="none"/>
        </w:rPr>
        <w:t xml:space="preserve"> 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highlight w:val="none"/>
        </w:rPr>
      </w:pPr>
      <w:r>
        <w:rPr>
          <w:rFonts w:hint="eastAsia" w:hAnsi="宋体" w:cs="宋体"/>
          <w:b/>
          <w:bCs/>
          <w:snapToGrid w:val="0"/>
          <w:color w:val="auto"/>
          <w:kern w:val="0"/>
          <w:highlight w:val="none"/>
        </w:rPr>
        <w:t>6.3</w:t>
      </w:r>
      <w:r>
        <w:rPr>
          <w:rFonts w:hint="eastAsia" w:hAnsi="宋体" w:cs="宋体"/>
          <w:snapToGrid w:val="0"/>
          <w:color w:val="auto"/>
          <w:kern w:val="0"/>
          <w:highlight w:val="none"/>
        </w:rPr>
        <w:t xml:space="preserve"> 现场踏勘期间的交通、食宿由投标人自行安排，费用自理。</w:t>
      </w:r>
    </w:p>
    <w:p w14:paraId="7ACE9C36">
      <w:pPr>
        <w:pStyle w:val="5"/>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26" w:name="_Toc21156"/>
      <w:bookmarkStart w:id="27" w:name="_Toc8198"/>
      <w:r>
        <w:rPr>
          <w:rFonts w:hint="eastAsia" w:hAnsi="宋体" w:cs="宋体"/>
          <w:b/>
          <w:snapToGrid w:val="0"/>
          <w:color w:val="auto"/>
          <w:highlight w:val="none"/>
        </w:rPr>
        <w:t>7．招标文件的提问和答疑</w:t>
      </w:r>
      <w:bookmarkEnd w:id="26"/>
      <w:bookmarkEnd w:id="27"/>
      <w:bookmarkStart w:id="28" w:name="_Hlt74496410"/>
      <w:bookmarkEnd w:id="28"/>
    </w:p>
    <w:p w14:paraId="1498B16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lang w:bidi="ar"/>
        </w:rPr>
      </w:pPr>
      <w:r>
        <w:rPr>
          <w:rFonts w:hint="eastAsia" w:hAnsi="宋体" w:cs="宋体"/>
          <w:b/>
          <w:bCs/>
          <w:snapToGrid w:val="0"/>
          <w:color w:val="auto"/>
          <w:kern w:val="0"/>
          <w:highlight w:val="none"/>
        </w:rPr>
        <w:t>7.1</w:t>
      </w:r>
      <w:r>
        <w:rPr>
          <w:rFonts w:hint="eastAsia" w:hAnsi="宋体" w:cs="宋体"/>
          <w:snapToGrid w:val="0"/>
          <w:color w:val="auto"/>
          <w:kern w:val="0"/>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auto"/>
          <w:kern w:val="0"/>
          <w:szCs w:val="24"/>
          <w:highlight w:val="none"/>
          <w:lang w:bidi="ar"/>
        </w:rPr>
        <w:t>。</w:t>
      </w:r>
    </w:p>
    <w:p w14:paraId="45D1F83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7.2 </w:t>
      </w:r>
      <w:r>
        <w:rPr>
          <w:rFonts w:hint="eastAsia" w:hAnsi="宋体" w:cs="宋体"/>
          <w:snapToGrid w:val="0"/>
          <w:color w:val="auto"/>
          <w:kern w:val="0"/>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7.3</w:t>
      </w:r>
      <w:r>
        <w:rPr>
          <w:rFonts w:hint="eastAsia" w:hAnsi="宋体" w:cs="宋体"/>
          <w:snapToGrid w:val="0"/>
          <w:color w:val="auto"/>
          <w:kern w:val="0"/>
          <w:highlight w:val="none"/>
        </w:rPr>
        <w:t xml:space="preserve"> 招标人对招标文件所作的答疑（或修改）公告，构成招标文件的组成部分。</w:t>
      </w:r>
    </w:p>
    <w:p w14:paraId="3906303B">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highlight w:val="none"/>
        </w:rPr>
      </w:pPr>
      <w:bookmarkStart w:id="29" w:name="_Hlt92513711"/>
      <w:bookmarkEnd w:id="29"/>
      <w:bookmarkStart w:id="30" w:name="_Hlt69699188"/>
      <w:bookmarkEnd w:id="30"/>
      <w:bookmarkStart w:id="31" w:name="_Hlt92513715"/>
      <w:bookmarkEnd w:id="31"/>
      <w:bookmarkStart w:id="32" w:name="_Toc20044"/>
      <w:bookmarkStart w:id="33" w:name="_Toc23036"/>
      <w:r>
        <w:rPr>
          <w:rFonts w:hint="eastAsia" w:hAnsi="宋体" w:cs="宋体"/>
          <w:b/>
          <w:snapToGrid w:val="0"/>
          <w:color w:val="auto"/>
          <w:highlight w:val="none"/>
        </w:rPr>
        <w:t>8．最高投标限价</w:t>
      </w:r>
      <w:bookmarkEnd w:id="32"/>
      <w:bookmarkEnd w:id="33"/>
    </w:p>
    <w:p w14:paraId="64DE536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8.1</w:t>
      </w:r>
      <w:r>
        <w:rPr>
          <w:rFonts w:hint="eastAsia" w:hAnsi="宋体" w:cs="宋体"/>
          <w:snapToGrid w:val="0"/>
          <w:color w:val="auto"/>
          <w:kern w:val="0"/>
          <w:highlight w:val="none"/>
        </w:rPr>
        <w:t xml:space="preserve"> 本招标项目参考以下依据编制最高投标限价：</w:t>
      </w:r>
    </w:p>
    <w:p w14:paraId="0983EF7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（1）项目</w:t>
      </w:r>
      <w:r>
        <w:rPr>
          <w:rFonts w:hint="eastAsia" w:ascii="Times New Roman"/>
          <w:snapToGrid w:val="0"/>
          <w:color w:val="auto"/>
          <w:kern w:val="0"/>
          <w:highlight w:val="none"/>
        </w:rPr>
        <w:t>概算</w:t>
      </w:r>
      <w:r>
        <w:rPr>
          <w:rFonts w:hint="eastAsia" w:hAnsi="宋体" w:cs="宋体"/>
          <w:snapToGrid w:val="0"/>
          <w:color w:val="auto"/>
          <w:kern w:val="0"/>
          <w:highlight w:val="none"/>
        </w:rPr>
        <w:t>投资额；</w:t>
      </w:r>
    </w:p>
    <w:p w14:paraId="1A9F8FD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（2）《建设工程监理与相关服务收费标准》；</w:t>
      </w:r>
    </w:p>
    <w:p w14:paraId="32C2B58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（3）监理及相关服务内容；</w:t>
      </w:r>
    </w:p>
    <w:p w14:paraId="645C97D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（4）施工现场情况、工程特点；</w:t>
      </w:r>
    </w:p>
    <w:p w14:paraId="0439B09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（5）项目所在地市场价格。</w:t>
      </w:r>
    </w:p>
    <w:p w14:paraId="729BA8FC">
      <w:pPr>
        <w:pStyle w:val="40"/>
        <w:keepNext w:val="0"/>
        <w:keepLines w:val="0"/>
        <w:pageBreakBefore w:val="0"/>
        <w:topLinePunct w:val="0"/>
        <w:bidi w:val="0"/>
        <w:spacing w:line="500" w:lineRule="exact"/>
        <w:jc w:val="left"/>
        <w:textAlignment w:val="auto"/>
        <w:rPr>
          <w:rFonts w:hint="eastAsia" w:ascii="宋体" w:hAnsi="宋体" w:eastAsia="宋体" w:cs="宋体"/>
          <w:b w:val="0"/>
          <w:bCs/>
          <w:color w:val="auto"/>
          <w:sz w:val="24"/>
          <w:highlight w:val="none"/>
          <w:u w:val="none"/>
        </w:rPr>
      </w:pPr>
      <w:r>
        <w:rPr>
          <w:rFonts w:hint="eastAsia" w:ascii="宋体" w:hAnsi="宋体" w:cs="宋体"/>
          <w:bCs/>
          <w:snapToGrid w:val="0"/>
          <w:color w:val="auto"/>
          <w:kern w:val="0"/>
          <w:sz w:val="24"/>
          <w:highlight w:val="none"/>
        </w:rPr>
        <w:t xml:space="preserve">   8.2</w:t>
      </w:r>
      <w:r>
        <w:rPr>
          <w:rFonts w:hint="eastAsia" w:ascii="宋体" w:hAnsi="宋体" w:cs="宋体"/>
          <w:snapToGrid w:val="0"/>
          <w:color w:val="auto"/>
          <w:kern w:val="0"/>
          <w:sz w:val="24"/>
          <w:highlight w:val="none"/>
        </w:rPr>
        <w:t xml:space="preserve"> </w:t>
      </w:r>
      <w:r>
        <w:rPr>
          <w:rFonts w:hint="eastAsia" w:ascii="宋体" w:hAnsi="宋体" w:cs="宋体"/>
          <w:b w:val="0"/>
          <w:bCs/>
          <w:snapToGrid w:val="0"/>
          <w:color w:val="auto"/>
          <w:kern w:val="0"/>
          <w:sz w:val="24"/>
          <w:highlight w:val="none"/>
        </w:rPr>
        <w:t>本次招标最高投标限价为人民币（大写）：</w:t>
      </w:r>
      <w:r>
        <w:rPr>
          <w:rFonts w:hint="eastAsia" w:hAnsi="宋体" w:cs="宋体"/>
          <w:b w:val="0"/>
          <w:bCs/>
          <w:snapToGrid w:val="0"/>
          <w:color w:val="auto"/>
          <w:kern w:val="0"/>
          <w:sz w:val="24"/>
          <w:highlight w:val="none"/>
          <w:u w:val="single"/>
          <w:lang w:val="en-US" w:eastAsia="zh-CN"/>
        </w:rPr>
        <w:t>壹拾伍万肆仟捌佰捌拾元整（小写：</w:t>
      </w:r>
      <w:r>
        <w:rPr>
          <w:rFonts w:hint="eastAsia" w:ascii="宋体" w:hAnsi="宋体" w:eastAsia="宋体" w:cs="宋体"/>
          <w:b w:val="0"/>
          <w:bCs/>
          <w:snapToGrid w:val="0"/>
          <w:color w:val="auto"/>
          <w:kern w:val="0"/>
          <w:sz w:val="24"/>
          <w:highlight w:val="none"/>
          <w:u w:val="single"/>
          <w:lang w:val="en-US" w:eastAsia="zh-CN"/>
        </w:rPr>
        <w:t>￥</w:t>
      </w:r>
      <w:r>
        <w:rPr>
          <w:rFonts w:hint="eastAsia" w:ascii="宋体" w:hAnsi="宋体" w:cs="宋体"/>
          <w:b w:val="0"/>
          <w:bCs/>
          <w:snapToGrid w:val="0"/>
          <w:color w:val="auto"/>
          <w:kern w:val="0"/>
          <w:sz w:val="24"/>
          <w:highlight w:val="none"/>
          <w:u w:val="single"/>
          <w:lang w:val="en-US" w:eastAsia="zh-CN"/>
        </w:rPr>
        <w:t>154880.00</w:t>
      </w:r>
      <w:r>
        <w:rPr>
          <w:rFonts w:hint="eastAsia" w:ascii="宋体" w:hAnsi="宋体" w:eastAsia="宋体" w:cs="宋体"/>
          <w:b w:val="0"/>
          <w:bCs/>
          <w:snapToGrid w:val="0"/>
          <w:color w:val="auto"/>
          <w:kern w:val="0"/>
          <w:sz w:val="24"/>
          <w:highlight w:val="none"/>
          <w:u w:val="single"/>
          <w:lang w:val="en-US" w:eastAsia="zh-CN"/>
        </w:rPr>
        <w:t>元）</w:t>
      </w:r>
      <w:r>
        <w:rPr>
          <w:rFonts w:hint="eastAsia" w:ascii="宋体" w:hAnsi="宋体" w:eastAsia="宋体" w:cs="宋体"/>
          <w:b w:val="0"/>
          <w:bCs/>
          <w:snapToGrid w:val="0"/>
          <w:color w:val="auto"/>
          <w:kern w:val="0"/>
          <w:sz w:val="24"/>
          <w:highlight w:val="none"/>
          <w:u w:val="single"/>
          <w:lang w:eastAsia="zh-CN"/>
        </w:rPr>
        <w:t>，监理服务费投标取费费率上限为</w:t>
      </w:r>
      <w:r>
        <w:rPr>
          <w:rFonts w:hint="eastAsia" w:ascii="宋体" w:hAnsi="宋体" w:cs="宋体"/>
          <w:b w:val="0"/>
          <w:bCs/>
          <w:snapToGrid w:val="0"/>
          <w:color w:val="auto"/>
          <w:kern w:val="0"/>
          <w:sz w:val="24"/>
          <w:highlight w:val="none"/>
          <w:u w:val="single"/>
          <w:lang w:val="en-US" w:eastAsia="zh-CN"/>
        </w:rPr>
        <w:t>2.560</w:t>
      </w:r>
      <w:r>
        <w:rPr>
          <w:rFonts w:hint="eastAsia" w:ascii="宋体" w:hAnsi="宋体" w:eastAsia="宋体" w:cs="宋体"/>
          <w:b w:val="0"/>
          <w:bCs/>
          <w:snapToGrid w:val="0"/>
          <w:color w:val="auto"/>
          <w:kern w:val="0"/>
          <w:sz w:val="24"/>
          <w:highlight w:val="none"/>
          <w:u w:val="single"/>
          <w:lang w:eastAsia="zh-CN"/>
        </w:rPr>
        <w:t>%</w:t>
      </w:r>
      <w:r>
        <w:rPr>
          <w:rFonts w:hint="eastAsia" w:ascii="宋体" w:hAnsi="宋体" w:eastAsia="宋体" w:cs="宋体"/>
          <w:b w:val="0"/>
          <w:bCs/>
          <w:snapToGrid w:val="0"/>
          <w:color w:val="auto"/>
          <w:kern w:val="0"/>
          <w:sz w:val="24"/>
          <w:highlight w:val="none"/>
          <w:u w:val="single"/>
        </w:rPr>
        <w:t>。</w:t>
      </w:r>
    </w:p>
    <w:p w14:paraId="08F85732">
      <w:pPr>
        <w:pStyle w:val="5"/>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34" w:name="_Toc7437"/>
      <w:bookmarkStart w:id="35" w:name="_Toc1935"/>
      <w:r>
        <w:rPr>
          <w:rFonts w:hint="eastAsia" w:hAnsi="宋体" w:cs="宋体"/>
          <w:b/>
          <w:snapToGrid w:val="0"/>
          <w:color w:val="auto"/>
          <w:highlight w:val="none"/>
        </w:rPr>
        <w:t>9．投标报价</w:t>
      </w:r>
      <w:bookmarkEnd w:id="34"/>
      <w:bookmarkEnd w:id="35"/>
      <w:bookmarkStart w:id="36" w:name="_Hlt74498519"/>
      <w:bookmarkEnd w:id="36"/>
    </w:p>
    <w:p w14:paraId="7BFA745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9.1</w:t>
      </w:r>
      <w:r>
        <w:rPr>
          <w:rFonts w:hint="eastAsia" w:hAnsi="宋体" w:cs="宋体"/>
          <w:snapToGrid w:val="0"/>
          <w:color w:val="auto"/>
          <w:kern w:val="0"/>
          <w:highlight w:val="none"/>
        </w:rPr>
        <w:t xml:space="preserve"> 本次招标采用填报</w:t>
      </w:r>
      <w:r>
        <w:rPr>
          <w:rFonts w:hint="eastAsia" w:hAnsi="宋体" w:cs="宋体"/>
          <w:snapToGrid w:val="0"/>
          <w:color w:val="auto"/>
          <w:kern w:val="0"/>
          <w:highlight w:val="none"/>
          <w:u w:val="single"/>
        </w:rPr>
        <w:t xml:space="preserve"> 投标报价及取费费率 </w:t>
      </w:r>
      <w:r>
        <w:rPr>
          <w:rFonts w:hint="eastAsia" w:hAnsi="宋体" w:cs="宋体"/>
          <w:snapToGrid w:val="0"/>
          <w:color w:val="auto"/>
          <w:kern w:val="0"/>
          <w:highlight w:val="none"/>
        </w:rPr>
        <w:t>的方式进行报价。投标人应在《投标函》（格式二）中进行报价。</w:t>
      </w:r>
    </w:p>
    <w:p w14:paraId="21C89D7E">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9.2</w:t>
      </w:r>
      <w:r>
        <w:rPr>
          <w:rFonts w:hint="eastAsia" w:hAnsi="宋体" w:cs="宋体"/>
          <w:snapToGrid w:val="0"/>
          <w:color w:val="auto"/>
          <w:kern w:val="0"/>
          <w:highlight w:val="none"/>
        </w:rPr>
        <w:t xml:space="preserve"> 所有报价均以人民币“元”为单位，并保留两位小数。投标取费费率=投标总价÷建安工程费暂定价×100%，并保留</w:t>
      </w:r>
      <w:r>
        <w:rPr>
          <w:rFonts w:hint="eastAsia" w:hAnsi="宋体" w:cs="宋体"/>
          <w:snapToGrid w:val="0"/>
          <w:color w:val="auto"/>
          <w:kern w:val="0"/>
          <w:highlight w:val="none"/>
          <w:lang w:val="en-US" w:eastAsia="zh-CN"/>
        </w:rPr>
        <w:t>三</w:t>
      </w:r>
      <w:r>
        <w:rPr>
          <w:rFonts w:hint="eastAsia" w:hAnsi="宋体" w:cs="宋体"/>
          <w:snapToGrid w:val="0"/>
          <w:color w:val="auto"/>
          <w:kern w:val="0"/>
          <w:highlight w:val="none"/>
        </w:rPr>
        <w:t>位小数。</w:t>
      </w:r>
      <w:r>
        <w:rPr>
          <w:rFonts w:hint="eastAsia" w:hAnsi="宋体" w:cs="宋体"/>
          <w:b w:val="0"/>
          <w:bCs w:val="0"/>
          <w:snapToGrid w:val="0"/>
          <w:color w:val="auto"/>
          <w:kern w:val="0"/>
          <w:highlight w:val="none"/>
        </w:rPr>
        <w:t>本项目的建安工程费暂定价为人民币</w:t>
      </w:r>
      <w:r>
        <w:rPr>
          <w:rFonts w:hint="eastAsia" w:hAnsi="宋体" w:cs="宋体"/>
          <w:b w:val="0"/>
          <w:bCs w:val="0"/>
          <w:snapToGrid w:val="0"/>
          <w:color w:val="auto"/>
          <w:kern w:val="0"/>
          <w:highlight w:val="none"/>
          <w:lang w:val="en-US" w:eastAsia="zh-CN"/>
        </w:rPr>
        <w:t>605.04</w:t>
      </w:r>
      <w:r>
        <w:rPr>
          <w:rFonts w:hint="eastAsia" w:hAnsi="宋体" w:cs="宋体"/>
          <w:b w:val="0"/>
          <w:bCs w:val="0"/>
          <w:snapToGrid w:val="0"/>
          <w:color w:val="auto"/>
          <w:kern w:val="0"/>
          <w:highlight w:val="none"/>
        </w:rPr>
        <w:t>万元。</w:t>
      </w:r>
    </w:p>
    <w:p w14:paraId="1F6DB8B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b w:val="0"/>
          <w:bCs w:val="0"/>
          <w:snapToGrid w:val="0"/>
          <w:color w:val="auto"/>
          <w:kern w:val="0"/>
          <w:highlight w:val="none"/>
        </w:rPr>
      </w:pPr>
      <w:r>
        <w:rPr>
          <w:rFonts w:hint="eastAsia" w:hAnsi="宋体" w:cs="宋体"/>
          <w:b/>
          <w:bCs/>
          <w:snapToGrid w:val="0"/>
          <w:color w:val="auto"/>
          <w:kern w:val="0"/>
          <w:highlight w:val="none"/>
        </w:rPr>
        <w:t xml:space="preserve">9.3 </w:t>
      </w:r>
      <w:r>
        <w:rPr>
          <w:rFonts w:hint="eastAsia" w:hAnsi="宋体" w:cs="宋体"/>
          <w:b w:val="0"/>
          <w:bCs w:val="0"/>
          <w:snapToGrid w:val="0"/>
          <w:color w:val="auto"/>
          <w:kern w:val="0"/>
          <w:highlight w:val="none"/>
        </w:rPr>
        <w:t>监理服务费结算价在项目的合同价范围内按实结算，即：以施工</w:t>
      </w:r>
      <w:r>
        <w:rPr>
          <w:rFonts w:hint="eastAsia" w:hAnsi="宋体" w:cs="宋体"/>
          <w:b w:val="0"/>
          <w:bCs w:val="0"/>
          <w:snapToGrid w:val="0"/>
          <w:color w:val="auto"/>
          <w:kern w:val="0"/>
          <w:highlight w:val="none"/>
          <w:lang w:val="en-US" w:eastAsia="zh-CN"/>
        </w:rPr>
        <w:t>财审</w:t>
      </w:r>
      <w:r>
        <w:rPr>
          <w:rFonts w:hint="eastAsia" w:hAnsi="宋体" w:cs="宋体"/>
          <w:b w:val="0"/>
          <w:bCs w:val="0"/>
          <w:snapToGrid w:val="0"/>
          <w:color w:val="auto"/>
          <w:kern w:val="0"/>
          <w:highlight w:val="none"/>
        </w:rPr>
        <w:t>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w:t>
      </w:r>
    </w:p>
    <w:p w14:paraId="3F60275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ascii="宋体" w:hAnsi="宋体" w:eastAsia="宋体" w:cs="宋体"/>
          <w:b/>
          <w:bCs/>
          <w:snapToGrid w:val="0"/>
          <w:color w:val="auto"/>
          <w:kern w:val="0"/>
          <w:highlight w:val="none"/>
          <w:lang w:val="en-US" w:eastAsia="zh-CN"/>
        </w:rPr>
        <w:t>9.4</w:t>
      </w:r>
      <w:r>
        <w:rPr>
          <w:rFonts w:hint="eastAsia" w:hAnsi="宋体" w:cs="宋体"/>
          <w:snapToGrid w:val="0"/>
          <w:color w:val="auto"/>
          <w:kern w:val="0"/>
          <w:szCs w:val="24"/>
          <w:highlight w:val="none"/>
          <w:lang w:val="en-US" w:eastAsia="zh-CN"/>
        </w:rPr>
        <w:t xml:space="preserve"> </w:t>
      </w:r>
      <w:r>
        <w:rPr>
          <w:rFonts w:hint="eastAsia" w:hAnsi="宋体" w:cs="宋体"/>
          <w:snapToGrid w:val="0"/>
          <w:color w:val="auto"/>
          <w:kern w:val="0"/>
          <w:szCs w:val="24"/>
          <w:highlight w:val="none"/>
        </w:rPr>
        <w:t>投标人只允许有一个投标总价。投标总价必须同时用大、小写表示，大、小写报价应保持一致，若不一致，以大写报价为准。</w:t>
      </w:r>
    </w:p>
    <w:p w14:paraId="6368BE5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5 </w:t>
      </w:r>
      <w:r>
        <w:rPr>
          <w:rFonts w:hint="eastAsia" w:hAnsi="宋体" w:cs="宋体"/>
          <w:snapToGrid w:val="0"/>
          <w:color w:val="auto"/>
          <w:kern w:val="0"/>
          <w:szCs w:val="24"/>
          <w:highlight w:val="none"/>
        </w:rPr>
        <w:t>投标总价应包括国家规定的增值税税金。本次招标增值税税金按</w:t>
      </w:r>
      <w:r>
        <w:rPr>
          <w:rFonts w:hint="eastAsia" w:hAnsi="宋体" w:cs="宋体"/>
          <w:snapToGrid w:val="0"/>
          <w:color w:val="auto"/>
          <w:kern w:val="0"/>
          <w:szCs w:val="24"/>
          <w:highlight w:val="none"/>
          <w:u w:val="single"/>
        </w:rPr>
        <w:t xml:space="preserve"> 一般 </w:t>
      </w:r>
      <w:r>
        <w:rPr>
          <w:rFonts w:hint="eastAsia" w:hAnsi="宋体" w:cs="宋体"/>
          <w:snapToGrid w:val="0"/>
          <w:color w:val="auto"/>
          <w:kern w:val="0"/>
          <w:szCs w:val="24"/>
          <w:highlight w:val="none"/>
        </w:rPr>
        <w:t>计税方法计算。</w:t>
      </w:r>
    </w:p>
    <w:p w14:paraId="19B4E766">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6 </w:t>
      </w:r>
      <w:r>
        <w:rPr>
          <w:rFonts w:hint="eastAsia" w:ascii="Times New Roman"/>
          <w:snapToGrid w:val="0"/>
          <w:color w:val="auto"/>
          <w:kern w:val="0"/>
          <w:highlight w:val="none"/>
        </w:rPr>
        <w:t>投标总价不得高于最高投标限价，也不得低于成本。</w:t>
      </w:r>
    </w:p>
    <w:p w14:paraId="10121C5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7 </w:t>
      </w:r>
      <w:r>
        <w:rPr>
          <w:rFonts w:hint="eastAsia" w:hAnsi="宋体" w:cs="宋体"/>
          <w:snapToGrid w:val="0"/>
          <w:color w:val="auto"/>
          <w:kern w:val="0"/>
          <w:szCs w:val="24"/>
          <w:highlight w:val="none"/>
        </w:rPr>
        <w:t>投标人应充分了解招标项目的总体情况以及影响投标报价的其他要素。</w:t>
      </w:r>
      <w:bookmarkStart w:id="37" w:name="_（十）投标文件的编制、包装、密封"/>
      <w:bookmarkEnd w:id="37"/>
    </w:p>
    <w:p w14:paraId="182D9B17">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trike/>
          <w:snapToGrid w:val="0"/>
          <w:color w:val="auto"/>
          <w:szCs w:val="24"/>
          <w:highlight w:val="none"/>
        </w:rPr>
      </w:pPr>
      <w:bookmarkStart w:id="38" w:name="_Toc26881"/>
      <w:bookmarkStart w:id="39" w:name="_Toc684"/>
      <w:r>
        <w:rPr>
          <w:rFonts w:hint="eastAsia" w:hAnsi="宋体" w:cs="宋体"/>
          <w:b/>
          <w:snapToGrid w:val="0"/>
          <w:color w:val="auto"/>
          <w:szCs w:val="24"/>
          <w:highlight w:val="none"/>
        </w:rPr>
        <w:t>10．投标文件的编制</w:t>
      </w:r>
      <w:bookmarkStart w:id="40" w:name="_Hlt69332370"/>
      <w:bookmarkEnd w:id="40"/>
      <w:bookmarkStart w:id="41" w:name="_Hlt69208262"/>
      <w:bookmarkEnd w:id="41"/>
      <w:r>
        <w:rPr>
          <w:rFonts w:hint="eastAsia" w:hAnsi="宋体" w:cs="宋体"/>
          <w:b/>
          <w:snapToGrid w:val="0"/>
          <w:color w:val="auto"/>
          <w:szCs w:val="24"/>
          <w:highlight w:val="none"/>
        </w:rPr>
        <w:t>要求</w:t>
      </w:r>
      <w:bookmarkEnd w:id="38"/>
      <w:bookmarkEnd w:id="39"/>
      <w:bookmarkStart w:id="42" w:name="_Hlt78768224"/>
      <w:bookmarkEnd w:id="42"/>
      <w:bookmarkStart w:id="43" w:name="_Hlt74497202"/>
      <w:bookmarkEnd w:id="43"/>
      <w:bookmarkStart w:id="44" w:name="_Hlt74495594"/>
      <w:bookmarkEnd w:id="44"/>
    </w:p>
    <w:p w14:paraId="41A663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kern w:val="0"/>
          <w:szCs w:val="24"/>
          <w:highlight w:val="none"/>
        </w:rPr>
      </w:pPr>
      <w:r>
        <w:rPr>
          <w:rFonts w:hint="eastAsia" w:hAnsi="宋体" w:cs="宋体"/>
          <w:b/>
          <w:bCs/>
          <w:snapToGrid w:val="0"/>
          <w:color w:val="auto"/>
          <w:kern w:val="0"/>
          <w:szCs w:val="24"/>
          <w:highlight w:val="none"/>
        </w:rPr>
        <w:t>10.1</w:t>
      </w:r>
      <w:r>
        <w:rPr>
          <w:rFonts w:hint="eastAsia" w:hAnsi="宋体" w:cs="宋体"/>
          <w:bCs/>
          <w:snapToGrid w:val="0"/>
          <w:color w:val="auto"/>
          <w:kern w:val="0"/>
          <w:szCs w:val="24"/>
          <w:highlight w:val="none"/>
        </w:rPr>
        <w:t xml:space="preserve"> 一般要求</w:t>
      </w:r>
    </w:p>
    <w:p w14:paraId="35DD415F">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bookmarkStart w:id="45" w:name="_Hlt74496890"/>
      <w:bookmarkEnd w:id="45"/>
      <w:r>
        <w:rPr>
          <w:rFonts w:hint="eastAsia" w:hAnsi="宋体" w:cs="宋体"/>
          <w:snapToGrid w:val="0"/>
          <w:color w:val="auto"/>
          <w:kern w:val="0"/>
          <w:szCs w:val="24"/>
          <w:highlight w:val="none"/>
        </w:rPr>
        <w:t>投标文件应按第五章 投标文件格式规定的内容，投标人提交的投标文件应当使用招标文件所提供的投标文件全部格式。</w:t>
      </w:r>
    </w:p>
    <w:p w14:paraId="467E50B9">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10.1.1</w:t>
      </w:r>
      <w:r>
        <w:rPr>
          <w:rFonts w:hint="eastAsia" w:hAnsi="宋体" w:cs="宋体"/>
          <w:snapToGrid w:val="0"/>
          <w:color w:val="auto"/>
          <w:kern w:val="0"/>
          <w:szCs w:val="24"/>
          <w:highlight w:val="none"/>
        </w:rPr>
        <w:t>投标人必须响应招标文件，并在充分理解招标文件的基础上编制投标文件。因投标文件不符合招标文件的要求而造成的损失和后果，由投标人自行承担。</w:t>
      </w:r>
    </w:p>
    <w:p w14:paraId="59E34259">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10.1.2</w:t>
      </w:r>
      <w:r>
        <w:rPr>
          <w:rFonts w:hint="eastAsia" w:hAnsi="宋体" w:cs="宋体"/>
          <w:snapToGrid w:val="0"/>
          <w:color w:val="auto"/>
          <w:kern w:val="0"/>
          <w:szCs w:val="24"/>
          <w:highlight w:val="none"/>
        </w:rPr>
        <w:t xml:space="preserve"> 投标文件包括商务标书、监理大纲</w:t>
      </w:r>
      <w:r>
        <w:rPr>
          <w:rFonts w:hint="eastAsia" w:hAnsi="宋体" w:cs="宋体"/>
          <w:snapToGrid w:val="0"/>
          <w:color w:val="auto"/>
          <w:kern w:val="0"/>
          <w:szCs w:val="24"/>
          <w:highlight w:val="none"/>
          <w:lang w:eastAsia="zh-CN"/>
        </w:rPr>
        <w:t>、</w:t>
      </w:r>
      <w:r>
        <w:rPr>
          <w:rFonts w:hint="eastAsia" w:hAnsi="宋体" w:cs="宋体"/>
          <w:snapToGrid w:val="0"/>
          <w:color w:val="auto"/>
          <w:kern w:val="0"/>
          <w:szCs w:val="24"/>
          <w:highlight w:val="none"/>
          <w:lang w:val="en-US" w:eastAsia="zh-CN"/>
        </w:rPr>
        <w:t>定标文件三</w:t>
      </w:r>
      <w:r>
        <w:rPr>
          <w:rFonts w:hint="eastAsia" w:hAnsi="宋体" w:cs="宋体"/>
          <w:snapToGrid w:val="0"/>
          <w:color w:val="auto"/>
          <w:kern w:val="0"/>
          <w:szCs w:val="24"/>
          <w:highlight w:val="none"/>
        </w:rPr>
        <w:t>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w:t>
      </w:r>
      <w:r>
        <w:rPr>
          <w:rFonts w:hint="eastAsia" w:hAnsi="宋体" w:cs="宋体"/>
          <w:snapToGrid w:val="0"/>
          <w:color w:val="auto"/>
          <w:kern w:val="0"/>
          <w:szCs w:val="24"/>
          <w:highlight w:val="none"/>
        </w:rPr>
        <w:t xml:space="preserve"> 投标文件需按以下要求签字、盖章：</w:t>
      </w:r>
    </w:p>
    <w:p w14:paraId="756F2778">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10.1.3.1</w:t>
      </w:r>
      <w:r>
        <w:rPr>
          <w:rFonts w:hint="eastAsia" w:hAnsi="宋体" w:cs="宋体"/>
          <w:snapToGrid w:val="0"/>
          <w:color w:val="auto"/>
          <w:kern w:val="0"/>
          <w:szCs w:val="24"/>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10.1.3.2</w:t>
      </w:r>
      <w:r>
        <w:rPr>
          <w:rFonts w:hint="eastAsia" w:hAnsi="宋体" w:cs="宋体"/>
          <w:snapToGrid w:val="0"/>
          <w:color w:val="auto"/>
          <w:kern w:val="0"/>
          <w:szCs w:val="24"/>
          <w:highlight w:val="none"/>
        </w:rPr>
        <w:t xml:space="preserve"> 投标文件封套、封面、组成内容中凡要求录入投标人名称且注明“盖单位章”处盖单位法人公章（电子印章）。</w:t>
      </w:r>
    </w:p>
    <w:p w14:paraId="02444178">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10.1.3.3</w:t>
      </w:r>
      <w:r>
        <w:rPr>
          <w:rFonts w:hint="eastAsia" w:hAnsi="宋体" w:cs="宋体"/>
          <w:snapToGrid w:val="0"/>
          <w:color w:val="auto"/>
          <w:kern w:val="0"/>
          <w:szCs w:val="24"/>
          <w:highlight w:val="none"/>
        </w:rPr>
        <w:t xml:space="preserve"> 投标文件的签字均为签字人本人亲笔署名或签章（电子印章），其余部分的扫描件无须另行签字、盖章。</w:t>
      </w:r>
    </w:p>
    <w:p w14:paraId="1D2984FA">
      <w:pPr>
        <w:keepNext w:val="0"/>
        <w:keepLines w:val="0"/>
        <w:pageBreakBefore w:val="0"/>
        <w:wordWrap w:val="0"/>
        <w:topLinePunct w:val="0"/>
        <w:bidi w:val="0"/>
        <w:adjustRightInd w:val="0"/>
        <w:snapToGrid w:val="0"/>
        <w:spacing w:line="500" w:lineRule="exact"/>
        <w:ind w:firstLine="560"/>
        <w:textAlignment w:val="auto"/>
        <w:rPr>
          <w:rFonts w:hAnsi="宋体" w:cs="宋体"/>
          <w:b/>
          <w:bCs/>
          <w:snapToGrid w:val="0"/>
          <w:color w:val="auto"/>
          <w:kern w:val="0"/>
          <w:szCs w:val="24"/>
          <w:highlight w:val="none"/>
        </w:rPr>
      </w:pPr>
      <w:bookmarkStart w:id="46" w:name="_Toc274313880"/>
      <w:bookmarkStart w:id="47" w:name="_Toc257031159"/>
      <w:r>
        <w:rPr>
          <w:rFonts w:hint="eastAsia" w:hAnsi="宋体" w:cs="宋体"/>
          <w:b/>
          <w:bCs/>
          <w:snapToGrid w:val="0"/>
          <w:color w:val="auto"/>
          <w:kern w:val="0"/>
          <w:szCs w:val="24"/>
          <w:highlight w:val="none"/>
        </w:rPr>
        <w:t>10.2 商务标书的编制要求</w:t>
      </w:r>
      <w:bookmarkEnd w:id="46"/>
      <w:bookmarkEnd w:id="47"/>
    </w:p>
    <w:p w14:paraId="209EADCE">
      <w:pPr>
        <w:keepNext w:val="0"/>
        <w:keepLines w:val="0"/>
        <w:pageBreakBefore w:val="0"/>
        <w:wordWrap w:val="0"/>
        <w:topLinePunct w:val="0"/>
        <w:bidi w:val="0"/>
        <w:adjustRightInd w:val="0"/>
        <w:snapToGrid w:val="0"/>
        <w:spacing w:line="500" w:lineRule="exact"/>
        <w:ind w:firstLine="561"/>
        <w:textAlignment w:val="auto"/>
        <w:rPr>
          <w:rFonts w:hAnsi="宋体" w:cs="宋体"/>
          <w:snapToGrid w:val="0"/>
          <w:color w:val="auto"/>
          <w:kern w:val="0"/>
          <w:szCs w:val="24"/>
          <w:highlight w:val="none"/>
          <w:u w:val="single"/>
        </w:rPr>
      </w:pP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商务标书</w:t>
      </w:r>
      <w:r>
        <w:rPr>
          <w:rFonts w:hint="eastAsia" w:hAnsi="宋体" w:cs="宋体"/>
          <w:snapToGrid w:val="0"/>
          <w:color w:val="auto"/>
          <w:kern w:val="0"/>
          <w:szCs w:val="24"/>
          <w:highlight w:val="none"/>
        </w:rPr>
        <w:t>包括但不限于以下内容：</w:t>
      </w:r>
    </w:p>
    <w:p w14:paraId="48C459DB">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（1）封面（格式一）；</w:t>
      </w:r>
    </w:p>
    <w:p w14:paraId="17B55DC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194BBE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（3）《投标函》（格式二）；</w:t>
      </w:r>
    </w:p>
    <w:p w14:paraId="4D4654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（4）《各项承诺一览表》（格式三）；</w:t>
      </w:r>
    </w:p>
    <w:p w14:paraId="5F80BBD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（5）《授权委托书》（格式四）；</w:t>
      </w:r>
    </w:p>
    <w:p w14:paraId="48D780F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（6）《法定代表人身份证明》（格式五）；</w:t>
      </w:r>
    </w:p>
    <w:p w14:paraId="6AC6B6C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（8）《投标人基本情况表》（格式六）及所附资料；</w:t>
      </w:r>
    </w:p>
    <w:p w14:paraId="1B42CD2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（9）《总监理工程师任职声明》（格式七或格式八，由投标人根据拟派总监理工程师任职情况选用）；</w:t>
      </w:r>
    </w:p>
    <w:p w14:paraId="69C941F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（10）《总监理工程师任职项目情况表》（格式九）及所附资料；</w:t>
      </w:r>
    </w:p>
    <w:p w14:paraId="1BB1C9C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（11）《项目监理机构组成人员汇总表》（格式十）；</w:t>
      </w:r>
    </w:p>
    <w:p w14:paraId="44A9562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（12）《总监理工程师简历表》（格式十一）及所附资料；</w:t>
      </w:r>
    </w:p>
    <w:p w14:paraId="18EF2A8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（13）《其他拟派人员简历表》（格式十二）及所附资料；</w:t>
      </w:r>
    </w:p>
    <w:p w14:paraId="74B8BC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（14）详细评审阶段要求提供的评审资料（详见本节第</w:t>
      </w:r>
      <w:r>
        <w:rPr>
          <w:rFonts w:hint="eastAsia" w:hAnsi="宋体" w:cs="宋体"/>
          <w:b/>
          <w:bCs/>
          <w:snapToGrid w:val="0"/>
          <w:color w:val="auto"/>
          <w:kern w:val="0"/>
          <w:szCs w:val="24"/>
          <w:highlight w:val="none"/>
        </w:rPr>
        <w:t>15.5.1</w:t>
      </w:r>
      <w:r>
        <w:rPr>
          <w:rFonts w:hint="eastAsia" w:hAnsi="宋体" w:cs="宋体"/>
          <w:snapToGrid w:val="0"/>
          <w:color w:val="auto"/>
          <w:kern w:val="0"/>
          <w:szCs w:val="24"/>
          <w:highlight w:val="none"/>
        </w:rPr>
        <w:t>目）；</w:t>
      </w:r>
    </w:p>
    <w:p w14:paraId="65548FB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10.2.2</w:t>
      </w:r>
      <w:r>
        <w:rPr>
          <w:rFonts w:hint="eastAsia" w:hAnsi="宋体" w:cs="宋体"/>
          <w:snapToGrid w:val="0"/>
          <w:color w:val="auto"/>
          <w:kern w:val="0"/>
          <w:szCs w:val="24"/>
          <w:highlight w:val="none"/>
        </w:rPr>
        <w:t xml:space="preserve"> 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目中所列出的商务标书组成内容中，第（1）至第（13）项所有投标人均应提供。</w:t>
      </w:r>
      <w:r>
        <w:rPr>
          <w:rFonts w:hint="eastAsia" w:hAnsi="宋体" w:cs="宋体"/>
          <w:b/>
          <w:bCs/>
          <w:snapToGrid w:val="0"/>
          <w:color w:val="auto"/>
          <w:kern w:val="0"/>
          <w:szCs w:val="24"/>
          <w:highlight w:val="none"/>
        </w:rPr>
        <w:t>但拟派总监理工程师现阶段未担任任何在施建设工程项目总监理工程师的，无需提供第（10）项内容。</w:t>
      </w:r>
    </w:p>
    <w:p w14:paraId="4EA0BD70">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10.2.3</w:t>
      </w:r>
      <w:r>
        <w:rPr>
          <w:rFonts w:hint="eastAsia" w:hAnsi="宋体" w:cs="宋体"/>
          <w:snapToGrid w:val="0"/>
          <w:color w:val="auto"/>
          <w:kern w:val="0"/>
          <w:szCs w:val="24"/>
          <w:highlight w:val="none"/>
        </w:rPr>
        <w:t xml:space="preserve"> 商务标书的组成内容按本节第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目规定的顺序整理、编排后，逐页（页码起始从封面开始）连续标记页码。</w:t>
      </w:r>
    </w:p>
    <w:p w14:paraId="5B77C9E7">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10.3 监理大纲的编制要求</w:t>
      </w:r>
    </w:p>
    <w:p w14:paraId="5A96503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
          <w:snapToGrid w:val="0"/>
          <w:color w:val="auto"/>
          <w:kern w:val="0"/>
          <w:szCs w:val="24"/>
          <w:highlight w:val="none"/>
        </w:rPr>
        <w:t>10.3.1</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的编制依据包括且不限于</w:t>
      </w:r>
      <w:r>
        <w:rPr>
          <w:rFonts w:hint="eastAsia" w:hAnsi="宋体" w:cs="宋体"/>
          <w:bCs/>
          <w:snapToGrid w:val="0"/>
          <w:color w:val="auto"/>
          <w:kern w:val="0"/>
          <w:szCs w:val="24"/>
          <w:highlight w:val="none"/>
        </w:rPr>
        <w:t>：</w:t>
      </w:r>
    </w:p>
    <w:p w14:paraId="34E3B350">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（1）招标文件及</w:t>
      </w:r>
      <w:r>
        <w:rPr>
          <w:rFonts w:hint="eastAsia" w:hAnsi="宋体" w:cs="宋体"/>
          <w:snapToGrid w:val="0"/>
          <w:color w:val="auto"/>
          <w:kern w:val="0"/>
          <w:szCs w:val="24"/>
          <w:highlight w:val="none"/>
        </w:rPr>
        <w:t>其答疑（或修改）公告；</w:t>
      </w:r>
    </w:p>
    <w:p w14:paraId="3CC5C04E">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（2）施工现场情况、工程特点；</w:t>
      </w:r>
    </w:p>
    <w:p w14:paraId="0728D743">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（3）相关法律、法规、规定；</w:t>
      </w:r>
    </w:p>
    <w:p w14:paraId="3A40A899">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snapToGrid w:val="0"/>
          <w:color w:val="auto"/>
          <w:kern w:val="0"/>
          <w:szCs w:val="24"/>
          <w:highlight w:val="none"/>
        </w:rPr>
        <w:t>10.3.2</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包括但不限于以下内容：</w:t>
      </w:r>
    </w:p>
    <w:p w14:paraId="0EF7354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（1）封面（格式一）；</w:t>
      </w:r>
    </w:p>
    <w:p w14:paraId="5A4084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28314E1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（3）监理工程概况；</w:t>
      </w:r>
    </w:p>
    <w:p w14:paraId="34DF6C2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（4）监理及相关服务的范围、内容；</w:t>
      </w:r>
    </w:p>
    <w:p w14:paraId="669B212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（5）监理及相关服务的依据、目标；</w:t>
      </w:r>
    </w:p>
    <w:p w14:paraId="729D7A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（6）项目监理机构设置（框图）、岗位职责；</w:t>
      </w:r>
    </w:p>
    <w:p w14:paraId="7BA8674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（7）监理及相关服务的工作程序、方法和制度；</w:t>
      </w:r>
    </w:p>
    <w:p w14:paraId="0E2C6BA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（8）拟投入的监理及相关服务人员；</w:t>
      </w:r>
    </w:p>
    <w:p w14:paraId="079E62E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（9）质量、进度、造价、安全、绿色施工监理措施；</w:t>
      </w:r>
    </w:p>
    <w:p w14:paraId="16B67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（10）合同、信息管理方案；</w:t>
      </w:r>
    </w:p>
    <w:p w14:paraId="02B4437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（11）组织协调内容及措施；</w:t>
      </w:r>
    </w:p>
    <w:p w14:paraId="1E541A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（12）监理及相关服务的工作重点、难点分析；</w:t>
      </w:r>
    </w:p>
    <w:p w14:paraId="38377DE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（13）对本工程监理及相关服务的合理化建议。</w:t>
      </w:r>
    </w:p>
    <w:p w14:paraId="69D5831B">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10.3.3</w:t>
      </w:r>
      <w:r>
        <w:rPr>
          <w:rFonts w:hint="eastAsia" w:hAnsi="宋体" w:cs="宋体"/>
          <w:snapToGrid w:val="0"/>
          <w:color w:val="auto"/>
          <w:kern w:val="0"/>
          <w:szCs w:val="24"/>
          <w:highlight w:val="none"/>
        </w:rPr>
        <w:t xml:space="preserve"> 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目中所列出的</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组成内容，所有投标人均应提供。</w:t>
      </w:r>
    </w:p>
    <w:p w14:paraId="281692E9">
      <w:pPr>
        <w:keepNext w:val="0"/>
        <w:keepLines w:val="0"/>
        <w:pageBreakBefore w:val="0"/>
        <w:wordWrap w:val="0"/>
        <w:topLinePunct w:val="0"/>
        <w:bidi w:val="0"/>
        <w:adjustRightInd w:val="0"/>
        <w:snapToGrid w:val="0"/>
        <w:spacing w:line="500" w:lineRule="exact"/>
        <w:ind w:firstLine="482" w:firstLineChars="200"/>
        <w:textAlignment w:val="auto"/>
        <w:rPr>
          <w:rFonts w:hint="eastAsia" w:hAnsi="宋体" w:cs="宋体"/>
          <w:snapToGrid w:val="0"/>
          <w:color w:val="auto"/>
          <w:kern w:val="0"/>
          <w:szCs w:val="24"/>
          <w:highlight w:val="none"/>
        </w:rPr>
      </w:pPr>
      <w:r>
        <w:rPr>
          <w:rFonts w:hint="eastAsia" w:hAnsi="宋体" w:cs="宋体"/>
          <w:b/>
          <w:bCs/>
          <w:snapToGrid w:val="0"/>
          <w:color w:val="auto"/>
          <w:kern w:val="0"/>
          <w:szCs w:val="24"/>
          <w:highlight w:val="none"/>
        </w:rPr>
        <w:t>10.3.4</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的组成内容按本节第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目规定的顺序整理、编排后，逐页（页码起始从封面开始）连续标记页码。</w:t>
      </w:r>
    </w:p>
    <w:p w14:paraId="7126D010">
      <w:pPr>
        <w:keepNext w:val="0"/>
        <w:keepLines w:val="0"/>
        <w:pageBreakBefore w:val="0"/>
        <w:wordWrap w:val="0"/>
        <w:topLinePunct w:val="0"/>
        <w:bidi w:val="0"/>
        <w:adjustRightInd w:val="0"/>
        <w:snapToGrid w:val="0"/>
        <w:spacing w:line="500" w:lineRule="exact"/>
        <w:ind w:firstLine="482" w:firstLineChars="200"/>
        <w:textAlignment w:val="auto"/>
        <w:rPr>
          <w:rFonts w:hint="eastAsia" w:hAnsi="宋体" w:cs="宋体"/>
          <w:b/>
          <w:bCs/>
          <w:snapToGrid w:val="0"/>
          <w:color w:val="auto"/>
          <w:kern w:val="0"/>
          <w:szCs w:val="24"/>
          <w:highlight w:val="none"/>
          <w:lang w:val="en-US" w:eastAsia="zh-CN"/>
        </w:rPr>
      </w:pPr>
      <w:r>
        <w:rPr>
          <w:rFonts w:hint="eastAsia" w:ascii="宋体" w:hAnsi="宋体" w:eastAsia="宋体" w:cs="宋体"/>
          <w:b/>
          <w:bCs/>
          <w:snapToGrid w:val="0"/>
          <w:color w:val="auto"/>
          <w:kern w:val="0"/>
          <w:szCs w:val="24"/>
          <w:highlight w:val="none"/>
          <w:lang w:val="en-US" w:eastAsia="zh-CN"/>
        </w:rPr>
        <w:t>10.4</w:t>
      </w:r>
      <w:r>
        <w:rPr>
          <w:rFonts w:hint="eastAsia" w:hAnsi="宋体" w:cs="宋体"/>
          <w:b/>
          <w:bCs/>
          <w:snapToGrid w:val="0"/>
          <w:color w:val="auto"/>
          <w:kern w:val="0"/>
          <w:szCs w:val="24"/>
          <w:highlight w:val="none"/>
          <w:lang w:val="en-US" w:eastAsia="zh-CN"/>
        </w:rPr>
        <w:t xml:space="preserve"> 定标文件的编制要求：</w:t>
      </w:r>
    </w:p>
    <w:p w14:paraId="637B509F">
      <w:pPr>
        <w:keepNext w:val="0"/>
        <w:keepLines w:val="0"/>
        <w:pageBreakBefore w:val="0"/>
        <w:wordWrap w:val="0"/>
        <w:topLinePunct w:val="0"/>
        <w:bidi w:val="0"/>
        <w:adjustRightInd w:val="0"/>
        <w:snapToGrid w:val="0"/>
        <w:spacing w:line="500" w:lineRule="exact"/>
        <w:ind w:firstLine="482" w:firstLineChars="200"/>
        <w:textAlignment w:val="auto"/>
        <w:rPr>
          <w:rFonts w:hint="eastAsia" w:hAnsi="宋体" w:cs="宋体"/>
          <w:snapToGrid w:val="0"/>
          <w:color w:val="auto"/>
          <w:kern w:val="0"/>
          <w:szCs w:val="24"/>
          <w:highlight w:val="none"/>
          <w:lang w:val="en-US" w:eastAsia="zh-CN"/>
        </w:rPr>
      </w:pPr>
      <w:r>
        <w:rPr>
          <w:rFonts w:hint="eastAsia" w:ascii="宋体" w:hAnsi="宋体" w:eastAsia="宋体" w:cs="宋体"/>
          <w:b/>
          <w:bCs/>
          <w:snapToGrid w:val="0"/>
          <w:color w:val="auto"/>
          <w:kern w:val="0"/>
          <w:szCs w:val="24"/>
          <w:highlight w:val="none"/>
          <w:lang w:val="en-US" w:eastAsia="zh-CN"/>
        </w:rPr>
        <w:t xml:space="preserve">10.4.1 </w:t>
      </w:r>
      <w:r>
        <w:rPr>
          <w:rFonts w:hint="eastAsia" w:hAnsi="宋体" w:cs="宋体"/>
          <w:snapToGrid w:val="0"/>
          <w:color w:val="auto"/>
          <w:kern w:val="0"/>
          <w:szCs w:val="24"/>
          <w:highlight w:val="none"/>
          <w:lang w:val="en-US" w:eastAsia="zh-CN"/>
        </w:rPr>
        <w:t>定标文件包括但不限于以下内容：</w:t>
      </w:r>
    </w:p>
    <w:p w14:paraId="02C42CC8">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（1）封面（格式一）；</w:t>
      </w:r>
    </w:p>
    <w:p w14:paraId="176C9059">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（2）目录；</w:t>
      </w:r>
    </w:p>
    <w:p w14:paraId="5990ED94">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（3）定标因素评审资料（格式十四）。</w:t>
      </w:r>
    </w:p>
    <w:p w14:paraId="4195E30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ascii="宋体" w:hAnsi="宋体" w:eastAsia="宋体" w:cs="宋体"/>
          <w:b/>
          <w:bCs/>
          <w:snapToGrid w:val="0"/>
          <w:color w:val="auto"/>
          <w:kern w:val="0"/>
          <w:szCs w:val="24"/>
          <w:highlight w:val="none"/>
          <w:lang w:val="en-US" w:eastAsia="zh-CN"/>
        </w:rPr>
        <w:t>10.4.2</w:t>
      </w:r>
      <w:r>
        <w:rPr>
          <w:rFonts w:hint="eastAsia" w:hAnsi="宋体" w:cs="宋体"/>
          <w:snapToGrid w:val="0"/>
          <w:color w:val="auto"/>
          <w:kern w:val="0"/>
          <w:szCs w:val="24"/>
          <w:highlight w:val="none"/>
          <w:lang w:val="en-US" w:eastAsia="zh-CN"/>
        </w:rPr>
        <w:t xml:space="preserve"> 本节第</w:t>
      </w:r>
      <w:r>
        <w:rPr>
          <w:rFonts w:hint="eastAsia" w:ascii="宋体" w:hAnsi="宋体" w:eastAsia="宋体" w:cs="宋体"/>
          <w:b/>
          <w:bCs/>
          <w:snapToGrid w:val="0"/>
          <w:color w:val="auto"/>
          <w:kern w:val="0"/>
          <w:szCs w:val="24"/>
          <w:highlight w:val="none"/>
          <w:lang w:val="en-US" w:eastAsia="zh-CN"/>
        </w:rPr>
        <w:t>10.4.1</w:t>
      </w:r>
      <w:r>
        <w:rPr>
          <w:rFonts w:hint="eastAsia" w:hAnsi="宋体" w:cs="宋体"/>
          <w:snapToGrid w:val="0"/>
          <w:color w:val="auto"/>
          <w:kern w:val="0"/>
          <w:szCs w:val="24"/>
          <w:highlight w:val="none"/>
          <w:lang w:val="en-US" w:eastAsia="zh-CN"/>
        </w:rPr>
        <w:t>目中所列出的组成内容中，第（1）项所有投标人均应提供。</w:t>
      </w:r>
    </w:p>
    <w:p w14:paraId="79A97868">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48" w:name="_Toc2864"/>
      <w:bookmarkStart w:id="49" w:name="_Toc10022"/>
      <w:r>
        <w:rPr>
          <w:rFonts w:hint="eastAsia" w:hAnsi="宋体" w:cs="宋体"/>
          <w:b/>
          <w:snapToGrid w:val="0"/>
          <w:color w:val="auto"/>
          <w:szCs w:val="24"/>
          <w:highlight w:val="none"/>
        </w:rPr>
        <w:t>11．</w:t>
      </w:r>
      <w:bookmarkEnd w:id="48"/>
      <w:r>
        <w:rPr>
          <w:rFonts w:hint="eastAsia" w:hAnsi="宋体" w:cs="宋体"/>
          <w:b/>
          <w:snapToGrid w:val="0"/>
          <w:color w:val="auto"/>
          <w:szCs w:val="24"/>
          <w:highlight w:val="none"/>
        </w:rPr>
        <w:t>电子投标</w:t>
      </w:r>
      <w:bookmarkEnd w:id="49"/>
    </w:p>
    <w:p w14:paraId="72F1BB7A">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在建设工程交易系统上传加盖了电子印章的投标文件、录入相关信息及标书页码信息，（页码起始从封面开始）并提交投标标书，提交标书为已加密投标文件。具体操作参</w:t>
      </w:r>
      <w:r>
        <w:rPr>
          <w:rFonts w:hint="eastAsia" w:ascii="宋体" w:hAnsi="宋体" w:eastAsia="宋体" w:cs="宋体"/>
          <w:snapToGrid w:val="0"/>
          <w:color w:val="auto"/>
          <w:kern w:val="0"/>
          <w:sz w:val="24"/>
          <w:highlight w:val="none"/>
        </w:rPr>
        <w:t>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11.2</w:t>
      </w:r>
      <w:r>
        <w:rPr>
          <w:rFonts w:hint="eastAsia" w:ascii="宋体" w:hAnsi="宋体" w:cs="宋体"/>
          <w:snapToGrid w:val="0"/>
          <w:color w:val="auto"/>
          <w:kern w:val="0"/>
          <w:sz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topLinePunct w:val="0"/>
        <w:bidi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 xml:space="preserve">11.3 </w:t>
      </w:r>
      <w:r>
        <w:rPr>
          <w:rFonts w:hint="eastAsia" w:hAnsi="宋体" w:cs="宋体"/>
          <w:snapToGrid w:val="0"/>
          <w:color w:val="auto"/>
          <w:kern w:val="0"/>
          <w:szCs w:val="24"/>
          <w:highlight w:val="none"/>
        </w:rPr>
        <w:t>电子投标解密失败及突发情况的补救</w:t>
      </w:r>
    </w:p>
    <w:p w14:paraId="55067ABC">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11.3.1</w:t>
      </w:r>
      <w:r>
        <w:rPr>
          <w:rFonts w:hint="eastAsia" w:ascii="宋体" w:hAnsi="宋体" w:cs="宋体"/>
          <w:snapToGrid w:val="0"/>
          <w:color w:val="auto"/>
          <w:kern w:val="0"/>
          <w:sz w:val="24"/>
          <w:highlight w:val="none"/>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11.3.2</w:t>
      </w:r>
      <w:r>
        <w:rPr>
          <w:rFonts w:hint="eastAsia" w:ascii="宋体" w:hAnsi="宋体" w:cs="宋体"/>
          <w:snapToGrid w:val="0"/>
          <w:color w:val="auto"/>
          <w:kern w:val="0"/>
          <w:sz w:val="24"/>
          <w:highlight w:val="none"/>
        </w:rPr>
        <w:t>补救方案：</w:t>
      </w:r>
    </w:p>
    <w:p w14:paraId="0B52C661">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（3）除发生上述情况外，开标评标均以投标人通过交易平台网上提交的电子投标文件为准。</w:t>
      </w:r>
    </w:p>
    <w:p w14:paraId="07C6E646">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50" w:name="_Toc26299"/>
      <w:r>
        <w:rPr>
          <w:rFonts w:hint="eastAsia" w:hAnsi="宋体" w:cs="宋体"/>
          <w:b/>
          <w:snapToGrid w:val="0"/>
          <w:color w:val="auto"/>
          <w:szCs w:val="24"/>
          <w:highlight w:val="none"/>
        </w:rPr>
        <w:t>12. 投标文件的提交</w:t>
      </w:r>
      <w:bookmarkEnd w:id="50"/>
    </w:p>
    <w:p w14:paraId="63A37942">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在电子投标截止时间前，投标人通过全国公共资源交易平台（广东省·韶关市）提交已加密投标文件。逾期提交的电子投标文件，全国公共资源交易平台（广东省·韶关市）将予以拒收。</w:t>
      </w:r>
    </w:p>
    <w:p w14:paraId="7CF91D7D">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12.2</w:t>
      </w:r>
      <w:r>
        <w:rPr>
          <w:rFonts w:hint="eastAsia" w:ascii="宋体" w:hAnsi="宋体" w:cs="宋体"/>
          <w:snapToGrid w:val="0"/>
          <w:color w:val="auto"/>
          <w:kern w:val="0"/>
          <w:sz w:val="24"/>
          <w:highlight w:val="none"/>
        </w:rPr>
        <w:t>投标文件提交截止时间（同电子投标截止时间）：见本章第二节“重要事项时间地点一览表”。</w:t>
      </w:r>
    </w:p>
    <w:p w14:paraId="348B16E2">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12.3</w:t>
      </w:r>
      <w:r>
        <w:rPr>
          <w:rFonts w:hint="eastAsia" w:ascii="宋体" w:hAnsi="宋体" w:cs="宋体"/>
          <w:snapToGrid w:val="0"/>
          <w:color w:val="auto"/>
          <w:kern w:val="0"/>
          <w:sz w:val="24"/>
          <w:highlight w:val="none"/>
        </w:rPr>
        <w:t>代理机构对因不可抗力事件造成的投标文件的损坏、丢失的，不承担责任。</w:t>
      </w:r>
      <w:r>
        <w:rPr>
          <w:rFonts w:hint="eastAsia" w:ascii="宋体" w:hAnsi="宋体" w:cs="宋体"/>
          <w:b/>
          <w:bCs/>
          <w:snapToGrid w:val="0"/>
          <w:color w:val="auto"/>
          <w:kern w:val="0"/>
          <w:sz w:val="24"/>
          <w:highlight w:val="none"/>
        </w:rPr>
        <w:t xml:space="preserve">  </w:t>
      </w:r>
    </w:p>
    <w:p w14:paraId="16456DE3">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 xml:space="preserve">12.4 </w:t>
      </w:r>
      <w:r>
        <w:rPr>
          <w:rFonts w:hint="eastAsia" w:ascii="宋体" w:hAnsi="宋体" w:cs="宋体"/>
          <w:snapToGrid w:val="0"/>
          <w:color w:val="auto"/>
          <w:kern w:val="0"/>
          <w:sz w:val="24"/>
          <w:highlight w:val="none"/>
        </w:rPr>
        <w:t>投标人法定代表人或其委托代理人（以下简称“投标人代表”）应在指定的时间和地点递交以下的资料</w:t>
      </w:r>
      <w:r>
        <w:rPr>
          <w:rFonts w:hint="eastAsia" w:ascii="宋体" w:hAnsi="宋体" w:cs="宋体"/>
          <w:b/>
          <w:bCs/>
          <w:snapToGrid w:val="0"/>
          <w:color w:val="auto"/>
          <w:kern w:val="0"/>
          <w:sz w:val="24"/>
          <w:highlight w:val="none"/>
        </w:rPr>
        <w:t>（如有）</w:t>
      </w:r>
      <w:r>
        <w:rPr>
          <w:rFonts w:hint="eastAsia" w:ascii="宋体" w:hAnsi="宋体" w:cs="宋体"/>
          <w:snapToGrid w:val="0"/>
          <w:color w:val="auto"/>
          <w:kern w:val="0"/>
          <w:sz w:val="24"/>
          <w:highlight w:val="none"/>
        </w:rPr>
        <w:t>：招标文件要求提交的用于评审的证书、证件、证明原件（附一式</w:t>
      </w:r>
      <w:r>
        <w:rPr>
          <w:rFonts w:hint="eastAsia" w:ascii="宋体" w:hAnsi="宋体" w:cs="宋体"/>
          <w:snapToGrid w:val="0"/>
          <w:color w:val="auto"/>
          <w:kern w:val="0"/>
          <w:sz w:val="24"/>
          <w:highlight w:val="none"/>
          <w:u w:val="single"/>
        </w:rPr>
        <w:t xml:space="preserve"> 两 </w:t>
      </w:r>
      <w:r>
        <w:rPr>
          <w:rFonts w:hint="eastAsia" w:ascii="宋体" w:hAnsi="宋体" w:cs="宋体"/>
          <w:snapToGrid w:val="0"/>
          <w:color w:val="auto"/>
          <w:kern w:val="0"/>
          <w:sz w:val="24"/>
          <w:highlight w:val="none"/>
        </w:rPr>
        <w:t>份清单）。</w:t>
      </w:r>
    </w:p>
    <w:p w14:paraId="513CE89F">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12.5</w:t>
      </w:r>
      <w:r>
        <w:rPr>
          <w:rFonts w:hint="eastAsia" w:ascii="宋体" w:hAnsi="宋体" w:cs="宋体"/>
          <w:snapToGrid w:val="0"/>
          <w:color w:val="auto"/>
          <w:kern w:val="0"/>
          <w:sz w:val="24"/>
          <w:highlight w:val="none"/>
        </w:rPr>
        <w:t>出现下述情形之一，属于未成功提交投标文件，按无效投标处理：</w:t>
      </w:r>
    </w:p>
    <w:p w14:paraId="06E3DFD5">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highlight w:val="none"/>
          <w:lang w:eastAsia="zh-CN"/>
        </w:rPr>
      </w:pPr>
      <w:r>
        <w:rPr>
          <w:rFonts w:hint="eastAsia" w:ascii="宋体" w:hAnsi="宋体" w:cs="宋体"/>
          <w:snapToGrid w:val="0"/>
          <w:color w:val="auto"/>
          <w:kern w:val="0"/>
          <w:sz w:val="24"/>
          <w:highlight w:val="none"/>
        </w:rPr>
        <w:t>（1）至电子投标截止时间时，投标文件未完整上传或未提交投标</w:t>
      </w:r>
      <w:r>
        <w:rPr>
          <w:rFonts w:hint="eastAsia" w:ascii="宋体" w:hAnsi="宋体" w:cs="宋体"/>
          <w:snapToGrid w:val="0"/>
          <w:color w:val="auto"/>
          <w:kern w:val="0"/>
          <w:sz w:val="24"/>
          <w:highlight w:val="none"/>
          <w:lang w:eastAsia="zh-CN"/>
        </w:rPr>
        <w:t>；</w:t>
      </w:r>
    </w:p>
    <w:p w14:paraId="393C44A8">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（2）解密失败且在规定时间内未重新提交投标文件的；</w:t>
      </w:r>
    </w:p>
    <w:p w14:paraId="1C2ECEAF">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w:t>
      </w:r>
      <w:r>
        <w:rPr>
          <w:rFonts w:hint="eastAsia" w:ascii="宋体" w:hAnsi="宋体" w:cs="宋体"/>
          <w:snapToGrid w:val="0"/>
          <w:color w:val="auto"/>
          <w:kern w:val="0"/>
          <w:sz w:val="24"/>
          <w:highlight w:val="none"/>
          <w:lang w:val="en-US" w:eastAsia="zh-CN"/>
        </w:rPr>
        <w:t>3</w:t>
      </w:r>
      <w:r>
        <w:rPr>
          <w:rFonts w:hint="eastAsia" w:ascii="宋体" w:hAnsi="宋体" w:cs="宋体"/>
          <w:snapToGrid w:val="0"/>
          <w:color w:val="auto"/>
          <w:kern w:val="0"/>
          <w:sz w:val="24"/>
          <w:highlight w:val="none"/>
        </w:rPr>
        <w:t>）投标文件损坏或格式不正确的。</w:t>
      </w:r>
    </w:p>
    <w:p w14:paraId="3AC0F6D3">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51" w:name="_Toc5536"/>
      <w:r>
        <w:rPr>
          <w:rFonts w:hint="eastAsia" w:hAnsi="宋体" w:cs="宋体"/>
          <w:b/>
          <w:snapToGrid w:val="0"/>
          <w:color w:val="auto"/>
          <w:kern w:val="0"/>
          <w:szCs w:val="24"/>
          <w:highlight w:val="none"/>
        </w:rPr>
        <w:t>13．投标有效期</w:t>
      </w:r>
      <w:bookmarkEnd w:id="51"/>
    </w:p>
    <w:p w14:paraId="71D92EA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本次招标投标有效期为</w:t>
      </w:r>
      <w:r>
        <w:rPr>
          <w:rFonts w:hint="eastAsia" w:hAnsi="宋体" w:cs="宋体"/>
          <w:snapToGrid w:val="0"/>
          <w:color w:val="auto"/>
          <w:kern w:val="0"/>
          <w:szCs w:val="24"/>
          <w:highlight w:val="none"/>
          <w:u w:val="single"/>
        </w:rPr>
        <w:t xml:space="preserve">  90  </w:t>
      </w:r>
      <w:r>
        <w:rPr>
          <w:rFonts w:hint="eastAsia" w:hAnsi="宋体" w:cs="宋体"/>
          <w:snapToGrid w:val="0"/>
          <w:color w:val="auto"/>
          <w:kern w:val="0"/>
          <w:szCs w:val="24"/>
          <w:highlight w:val="none"/>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52" w:name="_Toc27886"/>
      <w:r>
        <w:rPr>
          <w:rFonts w:hint="eastAsia" w:hAnsi="宋体" w:cs="宋体"/>
          <w:b/>
          <w:snapToGrid w:val="0"/>
          <w:color w:val="auto"/>
          <w:kern w:val="0"/>
          <w:szCs w:val="24"/>
          <w:highlight w:val="none"/>
        </w:rPr>
        <w:t>14．开标</w:t>
      </w:r>
      <w:bookmarkEnd w:id="52"/>
    </w:p>
    <w:p w14:paraId="36A9A778">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w:t>
      </w:r>
      <w:r>
        <w:rPr>
          <w:rFonts w:hint="eastAsia" w:ascii="宋体" w:hAnsi="宋体" w:cs="宋体"/>
          <w:snapToGrid w:val="0"/>
          <w:color w:val="auto"/>
          <w:kern w:val="0"/>
          <w:sz w:val="24"/>
          <w:highlight w:val="none"/>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14.1.1</w:t>
      </w:r>
      <w:r>
        <w:rPr>
          <w:rFonts w:hint="eastAsia" w:ascii="宋体" w:hAnsi="宋体" w:cs="宋体"/>
          <w:snapToGrid w:val="0"/>
          <w:color w:val="auto"/>
          <w:kern w:val="0"/>
          <w:sz w:val="24"/>
          <w:highlight w:val="none"/>
        </w:rPr>
        <w:t xml:space="preserve"> 开标时间和地点：见本章第二节“重要事项时间地点一览表”。</w:t>
      </w:r>
    </w:p>
    <w:p w14:paraId="4500A2D1">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14.1.2</w:t>
      </w:r>
      <w:r>
        <w:rPr>
          <w:rFonts w:hint="eastAsia" w:ascii="宋体" w:hAnsi="宋体" w:cs="宋体"/>
          <w:snapToGrid w:val="0"/>
          <w:color w:val="auto"/>
          <w:kern w:val="0"/>
          <w:sz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14.2</w:t>
      </w:r>
      <w:r>
        <w:rPr>
          <w:rFonts w:hint="eastAsia" w:hAnsi="宋体" w:cs="宋体"/>
          <w:snapToGrid w:val="0"/>
          <w:color w:val="auto"/>
          <w:kern w:val="0"/>
          <w:szCs w:val="24"/>
          <w:highlight w:val="none"/>
        </w:rPr>
        <w:t xml:space="preserve"> 开标程序</w:t>
      </w:r>
    </w:p>
    <w:p w14:paraId="60A7711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（1）主持人（招标人代表或招标人授权的招标代理机构人员）宣读开标纪律。</w:t>
      </w:r>
    </w:p>
    <w:p w14:paraId="7D103B3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（2）主持人宣布唱标人、记录人、见证人、监督人等有关人员姓名。</w:t>
      </w:r>
    </w:p>
    <w:p w14:paraId="48E3927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（3）招标代理机构在交易场所工作人员见证下对投标人的电子投标信息进行解密，建设工程交易系统自动生成《投标保证缴纳情况表》和《开标一览表》。</w:t>
      </w:r>
    </w:p>
    <w:p w14:paraId="1E7E204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（4）唱标人检查《投标保证缴纳情况表》中各投标人所缴纳投标保证的金额、有效期是否符合招标文件规定。若不符合规定，该投标人的投标无效。将有关情形在《投标保证缴纳情况表》“备注”栏中注明。</w:t>
      </w:r>
    </w:p>
    <w:p w14:paraId="4DDC41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（5）唱标人检查《开标一览表》中各投标人的投标总价、质量标准、工期是否符合招标文件规定。若不符合规定，招标代理机构应将有关情形在《开标一览表》“备注”栏中注明。</w:t>
      </w:r>
    </w:p>
    <w:p w14:paraId="0B68CA2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（6）投标人代表、招标人代表、唱标人、记录人等有关人员在《投标保证缴纳情况表》以及《开标一览表》上签字确认。</w:t>
      </w:r>
    </w:p>
    <w:p w14:paraId="6B5B1C5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（7）主持人宣布有关注意事项后，宣布开标结束。</w:t>
      </w:r>
    </w:p>
    <w:p w14:paraId="7920A604">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E18E93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14.3</w:t>
      </w:r>
      <w:r>
        <w:rPr>
          <w:rFonts w:hint="eastAsia" w:hAnsi="宋体" w:cs="宋体"/>
          <w:snapToGrid w:val="0"/>
          <w:color w:val="auto"/>
          <w:kern w:val="0"/>
          <w:highlight w:val="none"/>
        </w:rPr>
        <w:t xml:space="preserve"> </w:t>
      </w:r>
      <w:r>
        <w:rPr>
          <w:rFonts w:hint="eastAsia" w:hAnsi="宋体" w:cs="宋体"/>
          <w:snapToGrid w:val="0"/>
          <w:color w:val="auto"/>
          <w:kern w:val="0"/>
          <w:szCs w:val="24"/>
          <w:highlight w:val="none"/>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14.4</w:t>
      </w:r>
      <w:r>
        <w:rPr>
          <w:rFonts w:hint="eastAsia" w:hAnsi="宋体" w:cs="宋体"/>
          <w:snapToGrid w:val="0"/>
          <w:color w:val="auto"/>
          <w:kern w:val="0"/>
          <w:highlight w:val="none"/>
        </w:rPr>
        <w:t xml:space="preserve"> 招标代理机构将资料原件（如有）、《开标一览表》以及其他有关资料移交评标委员会。</w:t>
      </w:r>
    </w:p>
    <w:p w14:paraId="084023D5">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b/>
          <w:snapToGrid w:val="0"/>
          <w:color w:val="auto"/>
          <w:kern w:val="0"/>
          <w:highlight w:val="none"/>
        </w:rPr>
      </w:pPr>
      <w:bookmarkStart w:id="53" w:name="_Hlt127093805"/>
      <w:bookmarkEnd w:id="53"/>
      <w:bookmarkStart w:id="54" w:name="_Toc29759"/>
      <w:r>
        <w:rPr>
          <w:rFonts w:hint="eastAsia" w:hAnsi="宋体" w:cs="宋体"/>
          <w:b/>
          <w:snapToGrid w:val="0"/>
          <w:color w:val="auto"/>
          <w:kern w:val="0"/>
          <w:highlight w:val="none"/>
        </w:rPr>
        <w:t>15．评标</w:t>
      </w:r>
      <w:bookmarkEnd w:id="54"/>
    </w:p>
    <w:p w14:paraId="6EA3193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auto"/>
          <w:kern w:val="0"/>
          <w:highlight w:val="none"/>
        </w:rPr>
      </w:pPr>
      <w:r>
        <w:rPr>
          <w:rFonts w:hint="eastAsia" w:hAnsi="宋体" w:cs="宋体"/>
          <w:b/>
          <w:bCs/>
          <w:snapToGrid w:val="0"/>
          <w:color w:val="auto"/>
          <w:kern w:val="0"/>
          <w:highlight w:val="none"/>
        </w:rPr>
        <w:t>15.1</w:t>
      </w:r>
      <w:r>
        <w:rPr>
          <w:rFonts w:hint="eastAsia" w:hAnsi="宋体" w:cs="宋体"/>
          <w:bCs/>
          <w:snapToGrid w:val="0"/>
          <w:color w:val="auto"/>
          <w:kern w:val="0"/>
          <w:highlight w:val="none"/>
        </w:rPr>
        <w:t xml:space="preserve"> 评标委员会</w:t>
      </w:r>
    </w:p>
    <w:p w14:paraId="5942C79C">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b/>
          <w:bCs/>
          <w:snapToGrid w:val="0"/>
          <w:color w:val="auto"/>
          <w:kern w:val="0"/>
          <w:highlight w:val="none"/>
        </w:rPr>
        <w:t>15.1.1</w:t>
      </w:r>
      <w:r>
        <w:rPr>
          <w:rFonts w:hint="eastAsia" w:hAnsi="宋体" w:cs="宋体"/>
          <w:snapToGrid w:val="0"/>
          <w:color w:val="auto"/>
          <w:kern w:val="0"/>
          <w:highlight w:val="none"/>
        </w:rPr>
        <w:t xml:space="preserve"> 评标委员会由</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人组成，其中招标人代表</w:t>
      </w:r>
      <w:r>
        <w:rPr>
          <w:rFonts w:hint="eastAsia" w:hAnsi="宋体" w:cs="宋体"/>
          <w:snapToGrid w:val="0"/>
          <w:color w:val="auto"/>
          <w:kern w:val="0"/>
          <w:highlight w:val="none"/>
          <w:u w:val="single"/>
          <w:lang w:val="en-US" w:eastAsia="zh-CN"/>
        </w:rPr>
        <w:t>0</w:t>
      </w:r>
      <w:r>
        <w:rPr>
          <w:rFonts w:hint="eastAsia" w:hAnsi="宋体" w:cs="宋体"/>
          <w:snapToGrid w:val="0"/>
          <w:color w:val="auto"/>
          <w:kern w:val="0"/>
          <w:highlight w:val="none"/>
        </w:rPr>
        <w:t>人，专家</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人。专家从广东省综合评标评审专家库</w:t>
      </w:r>
      <w:r>
        <w:rPr>
          <w:rFonts w:hint="eastAsia" w:hAnsi="宋体" w:cs="宋体"/>
          <w:snapToGrid w:val="0"/>
          <w:color w:val="auto"/>
          <w:kern w:val="0"/>
          <w:szCs w:val="24"/>
          <w:highlight w:val="none"/>
          <w:lang w:val="en-US" w:eastAsia="zh-CN"/>
        </w:rPr>
        <w:t>-韶关区域</w:t>
      </w:r>
      <w:r>
        <w:rPr>
          <w:rFonts w:hint="eastAsia" w:hAnsi="宋体" w:cs="宋体"/>
          <w:snapToGrid w:val="0"/>
          <w:color w:val="auto"/>
          <w:kern w:val="0"/>
          <w:highlight w:val="none"/>
        </w:rPr>
        <w:t>中随机抽取，其中技术类专家</w:t>
      </w:r>
      <w:r>
        <w:rPr>
          <w:rFonts w:hint="eastAsia" w:hAnsi="宋体" w:cs="宋体"/>
          <w:snapToGrid w:val="0"/>
          <w:color w:val="auto"/>
          <w:kern w:val="0"/>
          <w:highlight w:val="none"/>
          <w:u w:val="single"/>
        </w:rPr>
        <w:t xml:space="preserve">3 </w:t>
      </w:r>
      <w:r>
        <w:rPr>
          <w:rFonts w:hint="eastAsia" w:hAnsi="宋体" w:cs="宋体"/>
          <w:snapToGrid w:val="0"/>
          <w:color w:val="auto"/>
          <w:kern w:val="0"/>
          <w:highlight w:val="none"/>
        </w:rPr>
        <w:t>人，经济类专家</w:t>
      </w:r>
      <w:r>
        <w:rPr>
          <w:rFonts w:hint="eastAsia" w:hAnsi="宋体" w:cs="宋体"/>
          <w:snapToGrid w:val="0"/>
          <w:color w:val="auto"/>
          <w:kern w:val="0"/>
          <w:highlight w:val="none"/>
          <w:u w:val="single"/>
        </w:rPr>
        <w:t xml:space="preserve"> 2</w:t>
      </w:r>
      <w:r>
        <w:rPr>
          <w:rFonts w:hint="eastAsia" w:hAnsi="宋体" w:cs="宋体"/>
          <w:snapToGrid w:val="0"/>
          <w:color w:val="auto"/>
          <w:kern w:val="0"/>
          <w:highlight w:val="none"/>
        </w:rPr>
        <w:t>人。评标委员会设负责人，由评标委员会成员推举产生。评标委员会负责人与评标委员会的其他成员有同等的表决权。</w:t>
      </w:r>
    </w:p>
    <w:p w14:paraId="60C2BC9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15.1.2</w:t>
      </w:r>
      <w:r>
        <w:rPr>
          <w:rFonts w:hint="eastAsia" w:hAnsi="宋体" w:cs="宋体"/>
          <w:snapToGrid w:val="0"/>
          <w:color w:val="auto"/>
          <w:kern w:val="0"/>
          <w:highlight w:val="none"/>
        </w:rPr>
        <w:t xml:space="preserve"> 评标委员会应认真、公正、诚实、廉洁地履行职责。有下列情形之一的，不得担任评标委员会成员：</w:t>
      </w:r>
    </w:p>
    <w:p w14:paraId="3229C8B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（1）投标人或投标人主要负责人的近亲属；</w:t>
      </w:r>
    </w:p>
    <w:p w14:paraId="60059B62">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（2）项目主管部门或者行政监督部门的人员；</w:t>
      </w:r>
    </w:p>
    <w:p w14:paraId="15B3F50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（3）与投标人有经济利益关系，可能影响对投标公正评审的；</w:t>
      </w:r>
    </w:p>
    <w:p w14:paraId="48F180A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（4）曾因在招标、评标以及其他与招标投标有关活动中从事违法行为而受过行政处罚或刑事处罚的。</w:t>
      </w:r>
    </w:p>
    <w:p w14:paraId="623043D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评标委员会成员有以上情形之一的，应主动提出回避。</w:t>
      </w:r>
    </w:p>
    <w:p w14:paraId="0BBB08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15.1.3</w:t>
      </w:r>
      <w:r>
        <w:rPr>
          <w:rFonts w:hint="eastAsia" w:hAnsi="宋体" w:cs="宋体"/>
          <w:snapToGrid w:val="0"/>
          <w:color w:val="auto"/>
          <w:kern w:val="0"/>
          <w:highlight w:val="none"/>
        </w:rPr>
        <w:t xml:space="preserve"> 评标全过程实行封闭式管理，在中标结果公布前，禁止评标委员会成员以任何方式私下接触投标人。</w:t>
      </w:r>
    </w:p>
    <w:p w14:paraId="61E47F7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15.1.4</w:t>
      </w:r>
      <w:r>
        <w:rPr>
          <w:rFonts w:hint="eastAsia" w:hAnsi="宋体" w:cs="宋体"/>
          <w:snapToGrid w:val="0"/>
          <w:color w:val="auto"/>
          <w:kern w:val="0"/>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C0DD49">
      <w:pPr>
        <w:keepNext w:val="0"/>
        <w:keepLines w:val="0"/>
        <w:pageBreakBefore w:val="0"/>
        <w:wordWrap w:val="0"/>
        <w:topLinePunct w:val="0"/>
        <w:bidi w:val="0"/>
        <w:adjustRightInd w:val="0"/>
        <w:snapToGrid w:val="0"/>
        <w:spacing w:line="500" w:lineRule="exact"/>
        <w:ind w:firstLine="562"/>
        <w:textAlignment w:val="auto"/>
        <w:rPr>
          <w:rFonts w:hAnsi="宋体" w:cs="宋体"/>
          <w:b/>
          <w:snapToGrid w:val="0"/>
          <w:color w:val="auto"/>
          <w:kern w:val="0"/>
          <w:szCs w:val="22"/>
          <w:highlight w:val="none"/>
        </w:rPr>
      </w:pPr>
      <w:r>
        <w:rPr>
          <w:rFonts w:hint="eastAsia" w:hAnsi="宋体" w:cs="宋体"/>
          <w:b/>
          <w:bCs/>
          <w:snapToGrid w:val="0"/>
          <w:color w:val="auto"/>
          <w:kern w:val="0"/>
          <w:highlight w:val="none"/>
        </w:rPr>
        <w:t>15.1.5</w:t>
      </w:r>
      <w:r>
        <w:rPr>
          <w:rFonts w:hint="eastAsia" w:hAnsi="宋体" w:cs="宋体"/>
          <w:snapToGrid w:val="0"/>
          <w:color w:val="auto"/>
          <w:kern w:val="0"/>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wordWrap w:val="0"/>
        <w:topLinePunct w:val="0"/>
        <w:bidi w:val="0"/>
        <w:adjustRightInd w:val="0"/>
        <w:snapToGrid w:val="0"/>
        <w:spacing w:line="500" w:lineRule="exact"/>
        <w:ind w:firstLine="561"/>
        <w:textAlignment w:val="auto"/>
        <w:rPr>
          <w:rFonts w:hAnsi="宋体" w:cs="宋体"/>
          <w:bCs/>
          <w:snapToGrid w:val="0"/>
          <w:color w:val="auto"/>
          <w:kern w:val="0"/>
          <w:highlight w:val="none"/>
        </w:rPr>
      </w:pPr>
      <w:r>
        <w:rPr>
          <w:rFonts w:hint="eastAsia" w:hAnsi="宋体" w:cs="宋体"/>
          <w:b/>
          <w:bCs/>
          <w:snapToGrid w:val="0"/>
          <w:color w:val="auto"/>
          <w:kern w:val="0"/>
          <w:highlight w:val="none"/>
        </w:rPr>
        <w:t>15.2</w:t>
      </w:r>
      <w:r>
        <w:rPr>
          <w:rFonts w:hint="eastAsia" w:hAnsi="宋体" w:cs="宋体"/>
          <w:bCs/>
          <w:snapToGrid w:val="0"/>
          <w:color w:val="auto"/>
          <w:kern w:val="0"/>
          <w:szCs w:val="22"/>
          <w:highlight w:val="none"/>
        </w:rPr>
        <w:t xml:space="preserve"> 评标方法</w:t>
      </w:r>
    </w:p>
    <w:p w14:paraId="41C6F5C9">
      <w:pPr>
        <w:keepNext w:val="0"/>
        <w:keepLines w:val="0"/>
        <w:pageBreakBefore w:val="0"/>
        <w:wordWrap w:val="0"/>
        <w:topLinePunct w:val="0"/>
        <w:bidi w:val="0"/>
        <w:adjustRightInd w:val="0"/>
        <w:snapToGrid w:val="0"/>
        <w:spacing w:line="500" w:lineRule="exact"/>
        <w:ind w:firstLine="562"/>
        <w:textAlignment w:val="auto"/>
        <w:rPr>
          <w:rFonts w:hAnsi="宋体" w:cs="宋体"/>
          <w:i/>
          <w:iCs/>
          <w:snapToGrid w:val="0"/>
          <w:color w:val="auto"/>
          <w:kern w:val="0"/>
          <w:highlight w:val="none"/>
        </w:rPr>
      </w:pPr>
      <w:r>
        <w:rPr>
          <w:rFonts w:hint="eastAsia" w:hAnsi="宋体" w:cs="宋体"/>
          <w:snapToGrid w:val="0"/>
          <w:color w:val="auto"/>
          <w:kern w:val="0"/>
          <w:highlight w:val="none"/>
        </w:rPr>
        <w:t>根据有关法律、法规的相关规定，结合本招标项目资金来源和规模特点，本次招标采用“综合评估法”进行评标。</w:t>
      </w:r>
    </w:p>
    <w:p w14:paraId="284DAF7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15.3</w:t>
      </w:r>
      <w:r>
        <w:rPr>
          <w:rFonts w:hint="eastAsia" w:hAnsi="宋体" w:cs="宋体"/>
          <w:bCs/>
          <w:snapToGrid w:val="0"/>
          <w:color w:val="auto"/>
          <w:kern w:val="0"/>
          <w:szCs w:val="22"/>
          <w:highlight w:val="none"/>
        </w:rPr>
        <w:t xml:space="preserve"> 评审范围：</w:t>
      </w:r>
      <w:r>
        <w:rPr>
          <w:rFonts w:hint="eastAsia" w:hAnsi="宋体" w:cs="宋体"/>
          <w:snapToGrid w:val="0"/>
          <w:color w:val="auto"/>
          <w:kern w:val="0"/>
          <w:highlight w:val="none"/>
        </w:rPr>
        <w:t>评标委员会应对所有进入评标投标人的投标文件进行评审。</w:t>
      </w:r>
    </w:p>
    <w:p w14:paraId="628310C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w:t>
      </w:r>
      <w:r>
        <w:rPr>
          <w:rFonts w:hint="eastAsia" w:hAnsi="宋体" w:cs="宋体"/>
          <w:snapToGrid w:val="0"/>
          <w:color w:val="auto"/>
          <w:kern w:val="0"/>
          <w:highlight w:val="none"/>
        </w:rPr>
        <w:t xml:space="preserve"> 初步评审阶段</w:t>
      </w:r>
    </w:p>
    <w:p w14:paraId="64754F0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初步评审阶段分为资格评审、形式评审和响应性评审三个环节。</w:t>
      </w:r>
    </w:p>
    <w:p w14:paraId="2471614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15.4.1</w:t>
      </w:r>
      <w:r>
        <w:rPr>
          <w:rFonts w:hint="eastAsia" w:hAnsi="宋体" w:cs="宋体"/>
          <w:snapToGrid w:val="0"/>
          <w:color w:val="auto"/>
          <w:kern w:val="0"/>
          <w:highlight w:val="none"/>
        </w:rPr>
        <w:t xml:space="preserve"> 资格评审环节</w:t>
      </w:r>
    </w:p>
    <w:p w14:paraId="025EF3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资格评审事项包括：</w:t>
      </w:r>
    </w:p>
    <w:p w14:paraId="5001DD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w:t>
      </w:r>
      <w:r>
        <w:rPr>
          <w:rFonts w:hint="eastAsia" w:ascii="宋体" w:hAnsi="宋体" w:eastAsia="宋体" w:cs="宋体"/>
          <w:snapToGrid w:val="0"/>
          <w:color w:val="auto"/>
          <w:kern w:val="0"/>
          <w:sz w:val="24"/>
          <w:szCs w:val="24"/>
          <w:highlight w:val="none"/>
        </w:rPr>
        <w:t>投标人是否符合本章第三节第</w:t>
      </w: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.4条“禁止投标条款”规定。</w:t>
      </w:r>
    </w:p>
    <w:p w14:paraId="25C22F3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（2）投标人名称是否与营业执照、资质证书一致。</w:t>
      </w:r>
    </w:p>
    <w:p w14:paraId="1F66C27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（3）投标人的资质是否符合招标文件规定；其营业执照、资质证书是否合法、有效。</w:t>
      </w:r>
    </w:p>
    <w:p w14:paraId="259451E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 xml:space="preserve">》内盖章同意或另行出具了书面同意意见。 </w:t>
      </w:r>
    </w:p>
    <w:p w14:paraId="40D4786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）投标人为外省建筑企业的，是否按规定在“进粤企业和人员诚信信息登记平台”录入企业及其拟派往人员相关信息并通过数据规范检查。</w:t>
      </w:r>
    </w:p>
    <w:p w14:paraId="3880F61D">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15.4.2</w:t>
      </w:r>
      <w:r>
        <w:rPr>
          <w:rFonts w:hint="eastAsia" w:hAnsi="宋体" w:cs="宋体"/>
          <w:snapToGrid w:val="0"/>
          <w:color w:val="auto"/>
          <w:kern w:val="0"/>
          <w:highlight w:val="none"/>
        </w:rPr>
        <w:t xml:space="preserve"> 形式评审环节</w:t>
      </w:r>
    </w:p>
    <w:p w14:paraId="31C3FB6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形式评审事项包括：</w:t>
      </w:r>
    </w:p>
    <w:p w14:paraId="34BAB71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（1）各分册是否按招标文件规定加盖电子印章。</w:t>
      </w:r>
    </w:p>
    <w:p w14:paraId="34D063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（2）本节第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”的组成内容（包括该组成内容的所附资料）是否完整、齐全。</w:t>
      </w:r>
    </w:p>
    <w:p w14:paraId="52F49B4C">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15.4.3</w:t>
      </w:r>
      <w:r>
        <w:rPr>
          <w:rFonts w:hint="eastAsia" w:hAnsi="宋体" w:cs="宋体"/>
          <w:snapToGrid w:val="0"/>
          <w:color w:val="auto"/>
          <w:kern w:val="0"/>
          <w:highlight w:val="none"/>
        </w:rPr>
        <w:t xml:space="preserve"> 响应性评审环节</w:t>
      </w:r>
    </w:p>
    <w:p w14:paraId="6152F2A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响应性评审事项包括：</w:t>
      </w:r>
    </w:p>
    <w:p w14:paraId="3B1810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（1）投标有效期、监理及相关服务期限等是否响应招标文件实质性要求；是否擅自修改、遗漏《投标函》《各项承诺一览表》的实质性内容。</w:t>
      </w:r>
    </w:p>
    <w:p w14:paraId="20F6D749">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（2）投标总价是否唯一；投标总价是否超出最高投标限价。</w:t>
      </w:r>
    </w:p>
    <w:p w14:paraId="6D8D3B02">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（3）监理大纲中的监理及相关服务的范围、内容、目标是否符合招标文件规定。</w:t>
      </w:r>
    </w:p>
    <w:p w14:paraId="0D7CB7D7">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15.4.4</w:t>
      </w:r>
      <w:r>
        <w:rPr>
          <w:rFonts w:hint="eastAsia" w:hAnsi="宋体" w:cs="宋体"/>
          <w:snapToGrid w:val="0"/>
          <w:color w:val="auto"/>
          <w:kern w:val="0"/>
          <w:highlight w:val="none"/>
        </w:rPr>
        <w:t xml:space="preserve"> 否决投标说明</w:t>
      </w:r>
    </w:p>
    <w:p w14:paraId="717AAFB5">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初步评审阶段各个环节否决投标的全部条件，在本章第四节“否决投标条件”第</w:t>
      </w:r>
      <w:r>
        <w:rPr>
          <w:rFonts w:hint="eastAsia" w:hAnsi="宋体" w:cs="宋体"/>
          <w:b/>
          <w:bCs/>
          <w:snapToGrid w:val="0"/>
          <w:color w:val="auto"/>
          <w:kern w:val="0"/>
          <w:highlight w:val="none"/>
        </w:rPr>
        <w:t>1</w:t>
      </w:r>
      <w:r>
        <w:rPr>
          <w:rFonts w:hint="eastAsia" w:hAnsi="宋体" w:cs="宋体"/>
          <w:snapToGrid w:val="0"/>
          <w:color w:val="auto"/>
          <w:kern w:val="0"/>
          <w:highlight w:val="none"/>
        </w:rPr>
        <w:t>条至第</w:t>
      </w:r>
      <w:r>
        <w:rPr>
          <w:rFonts w:hint="eastAsia" w:hAnsi="宋体" w:cs="宋体"/>
          <w:b/>
          <w:bCs/>
          <w:snapToGrid w:val="0"/>
          <w:color w:val="auto"/>
          <w:kern w:val="0"/>
          <w:highlight w:val="none"/>
        </w:rPr>
        <w:t>4</w:t>
      </w:r>
      <w:r>
        <w:rPr>
          <w:rFonts w:hint="eastAsia" w:hAnsi="宋体" w:cs="宋体"/>
          <w:snapToGrid w:val="0"/>
          <w:color w:val="auto"/>
          <w:kern w:val="0"/>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F691C7F">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15.5</w:t>
      </w:r>
      <w:r>
        <w:rPr>
          <w:rFonts w:hint="eastAsia" w:hAnsi="宋体" w:cs="宋体"/>
          <w:snapToGrid w:val="0"/>
          <w:color w:val="auto"/>
          <w:kern w:val="0"/>
          <w:highlight w:val="none"/>
        </w:rPr>
        <w:t xml:space="preserve"> 详细评审</w:t>
      </w:r>
      <w:bookmarkStart w:id="55" w:name="_Hlt121629839"/>
      <w:r>
        <w:rPr>
          <w:rFonts w:hint="eastAsia" w:hAnsi="宋体" w:cs="宋体"/>
          <w:snapToGrid w:val="0"/>
          <w:color w:val="auto"/>
          <w:kern w:val="0"/>
          <w:highlight w:val="none"/>
        </w:rPr>
        <w:t>阶段</w:t>
      </w:r>
    </w:p>
    <w:p w14:paraId="7AA415AA">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15.5.1</w:t>
      </w:r>
      <w:r>
        <w:rPr>
          <w:rFonts w:hint="eastAsia" w:hAnsi="宋体" w:cs="宋体"/>
          <w:bCs/>
          <w:snapToGrid w:val="0"/>
          <w:color w:val="auto"/>
          <w:kern w:val="0"/>
          <w:highlight w:val="none"/>
        </w:rPr>
        <w:t xml:space="preserve"> “综合评估法”评审程序</w:t>
      </w:r>
    </w:p>
    <w:p w14:paraId="74C9E74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评审内容分为商务、技术和投标报价三大部分，综合得分满分为100分。其中，商务满分为</w:t>
      </w:r>
      <w:r>
        <w:rPr>
          <w:rFonts w:hint="eastAsia" w:hAnsi="宋体" w:cs="宋体"/>
          <w:snapToGrid w:val="0"/>
          <w:color w:val="auto"/>
          <w:kern w:val="0"/>
          <w:highlight w:val="none"/>
          <w:u w:val="single"/>
          <w:lang w:val="en-US" w:eastAsia="zh-CN"/>
        </w:rPr>
        <w:t xml:space="preserve"> 55 </w:t>
      </w:r>
      <w:r>
        <w:rPr>
          <w:rFonts w:hint="eastAsia" w:hAnsi="宋体" w:cs="宋体"/>
          <w:snapToGrid w:val="0"/>
          <w:color w:val="auto"/>
          <w:kern w:val="0"/>
          <w:highlight w:val="none"/>
        </w:rPr>
        <w:t>分，技术满分为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20</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分，投标报价部分满分为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25</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w:t>
      </w:r>
    </w:p>
    <w:p w14:paraId="49097322">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snapToGrid w:val="0"/>
          <w:color w:val="auto"/>
          <w:kern w:val="0"/>
          <w:highlight w:val="none"/>
        </w:rPr>
        <w:t>除特别注明外，综合得分以及商务、技术、投标报价得分的中间过程计算值和最终值，均按“四舍五入”原则精确到两位小数。</w:t>
      </w:r>
    </w:p>
    <w:p w14:paraId="5D5F80A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（1）商务得分M</w:t>
      </w:r>
      <w:r>
        <w:rPr>
          <w:rFonts w:hint="eastAsia" w:hAnsi="宋体" w:cs="宋体"/>
          <w:snapToGrid w:val="0"/>
          <w:color w:val="auto"/>
          <w:kern w:val="0"/>
          <w:highlight w:val="none"/>
          <w:vertAlign w:val="subscript"/>
        </w:rPr>
        <w:t>1</w:t>
      </w:r>
    </w:p>
    <w:p w14:paraId="7D7767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评标委员会按照《综合评分表》商务部分指定的评分标准对各评分因素进行打分。各评分因素得分之和即为某投标人的商务得分M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w:t>
      </w:r>
    </w:p>
    <w:p w14:paraId="23498F9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（2）技术得分M</w:t>
      </w:r>
      <w:r>
        <w:rPr>
          <w:rFonts w:hint="eastAsia" w:hAnsi="宋体" w:cs="宋体"/>
          <w:snapToGrid w:val="0"/>
          <w:color w:val="auto"/>
          <w:kern w:val="0"/>
          <w:highlight w:val="none"/>
          <w:vertAlign w:val="subscript"/>
        </w:rPr>
        <w:t>2</w:t>
      </w:r>
    </w:p>
    <w:p w14:paraId="47A402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w:t>
      </w:r>
    </w:p>
    <w:p w14:paraId="13AF220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（3）投标报价得分M</w:t>
      </w:r>
      <w:r>
        <w:rPr>
          <w:rFonts w:hint="eastAsia" w:hAnsi="宋体" w:cs="宋体"/>
          <w:snapToGrid w:val="0"/>
          <w:color w:val="auto"/>
          <w:kern w:val="0"/>
          <w:highlight w:val="none"/>
          <w:vertAlign w:val="subscript"/>
        </w:rPr>
        <w:t>3</w:t>
      </w:r>
    </w:p>
    <w:p w14:paraId="5274240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a．评标委员会按照《综合评分表》投标报价部分指定的方法计算评标基准价D。</w:t>
      </w:r>
    </w:p>
    <w:p w14:paraId="00B3E84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b．采用内插法计算某投标人的投标报价得分M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，即当投标人的投标总价等于评标基准价时得满分，每高于评标基准价一个百分点扣</w:t>
      </w:r>
      <w:r>
        <w:rPr>
          <w:rFonts w:hint="eastAsia" w:hAnsi="宋体" w:cs="宋体"/>
          <w:snapToGrid w:val="0"/>
          <w:color w:val="auto"/>
          <w:kern w:val="0"/>
          <w:highlight w:val="none"/>
          <w:lang w:val="en-US" w:eastAsia="zh-CN"/>
        </w:rPr>
        <w:t>1</w:t>
      </w:r>
      <w:r>
        <w:rPr>
          <w:rFonts w:hint="eastAsia" w:hAnsi="宋体" w:cs="宋体"/>
          <w:snapToGrid w:val="0"/>
          <w:color w:val="auto"/>
          <w:kern w:val="0"/>
          <w:highlight w:val="none"/>
        </w:rPr>
        <w:t>分, 每低于评标基准价一个百分点扣0.</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分，扣完为止。公式如下：</w:t>
      </w:r>
    </w:p>
    <w:p w14:paraId="3641A7FA">
      <w:pPr>
        <w:keepNext w:val="0"/>
        <w:keepLines w:val="0"/>
        <w:pageBreakBefore w:val="0"/>
        <w:wordWrap w:val="0"/>
        <w:topLinePunct w:val="0"/>
        <w:bidi w:val="0"/>
        <w:adjustRightInd w:val="0"/>
        <w:snapToGrid w:val="0"/>
        <w:spacing w:line="500" w:lineRule="exact"/>
        <w:ind w:firstLine="480" w:firstLineChars="200"/>
        <w:jc w:val="center"/>
        <w:textAlignment w:val="auto"/>
        <w:rPr>
          <w:rFonts w:hAnsi="宋体" w:cs="宋体"/>
          <w:snapToGrid w:val="0"/>
          <w:color w:val="auto"/>
          <w:kern w:val="0"/>
          <w:highlight w:val="none"/>
        </w:rPr>
      </w:pP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＝投标报价满分－（|Di－D|÷D）×100×E</w:t>
      </w:r>
    </w:p>
    <w:p w14:paraId="7D5BE61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式中：D为评标基准价，Di为某投标人的投标总价；</w:t>
      </w:r>
    </w:p>
    <w:p w14:paraId="4D67AE7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E为扣分因子。当Di＞D时，E＝</w:t>
      </w:r>
      <w:r>
        <w:rPr>
          <w:rFonts w:hint="eastAsia" w:hAnsi="宋体" w:cs="宋体"/>
          <w:snapToGrid w:val="0"/>
          <w:color w:val="auto"/>
          <w:kern w:val="0"/>
          <w:highlight w:val="none"/>
          <w:lang w:val="en-US" w:eastAsia="zh-CN"/>
        </w:rPr>
        <w:t>1</w:t>
      </w:r>
      <w:r>
        <w:rPr>
          <w:rFonts w:hint="eastAsia" w:hAnsi="宋体" w:cs="宋体"/>
          <w:snapToGrid w:val="0"/>
          <w:color w:val="auto"/>
          <w:kern w:val="0"/>
          <w:highlight w:val="none"/>
        </w:rPr>
        <w:t>；当Di＜D时，E＝</w:t>
      </w:r>
      <w:r>
        <w:rPr>
          <w:rFonts w:hint="eastAsia" w:hAnsi="宋体" w:cs="宋体"/>
          <w:snapToGrid w:val="0"/>
          <w:color w:val="auto"/>
          <w:kern w:val="0"/>
          <w:highlight w:val="none"/>
          <w:lang w:val="en-US" w:eastAsia="zh-CN"/>
        </w:rPr>
        <w:t>0.5</w:t>
      </w:r>
      <w:r>
        <w:rPr>
          <w:rFonts w:hint="eastAsia" w:hAnsi="宋体" w:cs="宋体"/>
          <w:snapToGrid w:val="0"/>
          <w:color w:val="auto"/>
          <w:kern w:val="0"/>
          <w:highlight w:val="none"/>
        </w:rPr>
        <w:t>。</w:t>
      </w:r>
    </w:p>
    <w:p w14:paraId="0EFE144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（4）综合得分M</w:t>
      </w:r>
    </w:p>
    <w:p w14:paraId="245E1952">
      <w:pPr>
        <w:keepNext w:val="0"/>
        <w:keepLines w:val="0"/>
        <w:pageBreakBefore w:val="0"/>
        <w:wordWrap w:val="0"/>
        <w:topLinePunct w:val="0"/>
        <w:bidi w:val="0"/>
        <w:adjustRightInd w:val="0"/>
        <w:snapToGrid w:val="0"/>
        <w:spacing w:line="500" w:lineRule="exact"/>
        <w:jc w:val="center"/>
        <w:textAlignment w:val="auto"/>
        <w:rPr>
          <w:rFonts w:hAnsi="宋体" w:cs="宋体"/>
          <w:snapToGrid w:val="0"/>
          <w:color w:val="auto"/>
          <w:kern w:val="0"/>
          <w:highlight w:val="none"/>
        </w:rPr>
      </w:pPr>
      <w:r>
        <w:rPr>
          <w:rFonts w:hint="eastAsia" w:hAnsi="宋体" w:cs="宋体"/>
          <w:snapToGrid w:val="0"/>
          <w:color w:val="auto"/>
          <w:kern w:val="0"/>
          <w:highlight w:val="none"/>
        </w:rPr>
        <w:t>M＝M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p>
    <w:p w14:paraId="015B4829">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highlight w:val="none"/>
        </w:rPr>
      </w:pPr>
      <w:r>
        <w:rPr>
          <w:rFonts w:hint="eastAsia" w:hAnsi="宋体" w:cs="宋体"/>
          <w:snapToGrid w:val="0"/>
          <w:color w:val="auto"/>
          <w:kern w:val="0"/>
          <w:highlight w:val="none"/>
        </w:rPr>
        <w:t>式中：M为综合得分，M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为商务得分，M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为技术得分，M</w:t>
      </w:r>
      <w:r>
        <w:rPr>
          <w:rFonts w:hint="eastAsia" w:hAnsi="宋体" w:cs="宋体"/>
          <w:snapToGrid w:val="0"/>
          <w:color w:val="auto"/>
          <w:kern w:val="0"/>
          <w:highlight w:val="none"/>
          <w:vertAlign w:val="subscript"/>
        </w:rPr>
        <w:t>3</w:t>
      </w:r>
      <w:r>
        <w:rPr>
          <w:rFonts w:hint="eastAsia" w:ascii="Times New Roman"/>
          <w:snapToGrid w:val="0"/>
          <w:color w:val="auto"/>
          <w:kern w:val="0"/>
          <w:highlight w:val="none"/>
        </w:rPr>
        <w:t>为投标报价得分。</w:t>
      </w:r>
    </w:p>
    <w:p w14:paraId="54DFCA09">
      <w:pPr>
        <w:bidi w:val="0"/>
        <w:rPr>
          <w:rFonts w:hint="eastAsia"/>
          <w:color w:val="auto"/>
          <w:highlight w:val="none"/>
          <w:lang w:val="en-US" w:eastAsia="zh-CN"/>
        </w:rPr>
      </w:pPr>
      <w:bookmarkStart w:id="56" w:name="_Toc31548"/>
      <w:bookmarkStart w:id="57" w:name="_Toc6276"/>
    </w:p>
    <w:p w14:paraId="566ABFDA">
      <w:pPr>
        <w:bidi w:val="0"/>
        <w:rPr>
          <w:rFonts w:hint="eastAsia"/>
          <w:color w:val="auto"/>
          <w:highlight w:val="none"/>
          <w:lang w:val="en-US" w:eastAsia="zh-CN"/>
        </w:rPr>
      </w:pPr>
    </w:p>
    <w:p w14:paraId="17C17EA4">
      <w:pPr>
        <w:bidi w:val="0"/>
        <w:rPr>
          <w:rFonts w:hint="eastAsia"/>
          <w:color w:val="auto"/>
          <w:highlight w:val="none"/>
          <w:lang w:val="en-US" w:eastAsia="zh-CN"/>
        </w:rPr>
      </w:pPr>
    </w:p>
    <w:p w14:paraId="0096D610">
      <w:pPr>
        <w:bidi w:val="0"/>
        <w:rPr>
          <w:rFonts w:hint="eastAsia"/>
          <w:color w:val="auto"/>
          <w:highlight w:val="none"/>
          <w:lang w:val="en-US" w:eastAsia="zh-CN"/>
        </w:rPr>
      </w:pPr>
    </w:p>
    <w:p w14:paraId="36C78AF5">
      <w:pPr>
        <w:bidi w:val="0"/>
        <w:rPr>
          <w:rFonts w:hint="eastAsia"/>
          <w:color w:val="auto"/>
          <w:highlight w:val="none"/>
          <w:lang w:val="en-US" w:eastAsia="zh-CN"/>
        </w:rPr>
      </w:pPr>
    </w:p>
    <w:p w14:paraId="2B846775">
      <w:pPr>
        <w:bidi w:val="0"/>
        <w:rPr>
          <w:rFonts w:hint="eastAsia"/>
          <w:color w:val="auto"/>
          <w:highlight w:val="none"/>
          <w:lang w:val="en-US" w:eastAsia="zh-CN"/>
        </w:rPr>
      </w:pPr>
    </w:p>
    <w:p w14:paraId="18BAA559">
      <w:pPr>
        <w:bidi w:val="0"/>
        <w:rPr>
          <w:rFonts w:hint="eastAsia"/>
          <w:color w:val="auto"/>
          <w:highlight w:val="none"/>
          <w:lang w:val="en-US" w:eastAsia="zh-CN"/>
        </w:rPr>
      </w:pPr>
    </w:p>
    <w:p w14:paraId="12800DA2">
      <w:pPr>
        <w:bidi w:val="0"/>
        <w:rPr>
          <w:rFonts w:hint="eastAsia"/>
          <w:color w:val="auto"/>
          <w:highlight w:val="none"/>
          <w:lang w:val="en-US" w:eastAsia="zh-CN"/>
        </w:rPr>
      </w:pPr>
    </w:p>
    <w:p w14:paraId="51940FB0">
      <w:pPr>
        <w:bidi w:val="0"/>
        <w:rPr>
          <w:rFonts w:hint="eastAsia"/>
          <w:color w:val="auto"/>
          <w:highlight w:val="none"/>
          <w:lang w:val="en-US" w:eastAsia="zh-CN"/>
        </w:rPr>
      </w:pPr>
    </w:p>
    <w:p w14:paraId="276917D2">
      <w:pPr>
        <w:bidi w:val="0"/>
        <w:rPr>
          <w:rFonts w:hint="eastAsia"/>
          <w:color w:val="auto"/>
          <w:highlight w:val="none"/>
          <w:lang w:val="en-US" w:eastAsia="zh-CN"/>
        </w:rPr>
      </w:pPr>
    </w:p>
    <w:p w14:paraId="29ADD6A5">
      <w:pPr>
        <w:bidi w:val="0"/>
        <w:rPr>
          <w:rFonts w:hint="eastAsia"/>
          <w:color w:val="auto"/>
          <w:highlight w:val="none"/>
          <w:lang w:val="en-US" w:eastAsia="zh-CN"/>
        </w:rPr>
      </w:pPr>
    </w:p>
    <w:p w14:paraId="2B3D81AC">
      <w:pPr>
        <w:bidi w:val="0"/>
        <w:rPr>
          <w:rFonts w:hint="eastAsia"/>
          <w:color w:val="auto"/>
          <w:highlight w:val="none"/>
          <w:lang w:val="en-US" w:eastAsia="zh-CN"/>
        </w:rPr>
      </w:pPr>
    </w:p>
    <w:p w14:paraId="087D1E69">
      <w:pPr>
        <w:bidi w:val="0"/>
        <w:rPr>
          <w:rFonts w:hint="eastAsia"/>
          <w:color w:val="auto"/>
          <w:highlight w:val="none"/>
          <w:lang w:val="en-US" w:eastAsia="zh-CN"/>
        </w:rPr>
      </w:pPr>
    </w:p>
    <w:p w14:paraId="7E20D73D">
      <w:pPr>
        <w:bidi w:val="0"/>
        <w:rPr>
          <w:rFonts w:hint="eastAsia"/>
          <w:color w:val="auto"/>
          <w:highlight w:val="none"/>
          <w:lang w:val="en-US" w:eastAsia="zh-CN"/>
        </w:rPr>
      </w:pPr>
    </w:p>
    <w:p w14:paraId="1E2EA585">
      <w:pPr>
        <w:bidi w:val="0"/>
        <w:rPr>
          <w:rFonts w:hint="eastAsia"/>
          <w:color w:val="auto"/>
          <w:highlight w:val="none"/>
          <w:lang w:val="en-US" w:eastAsia="zh-CN"/>
        </w:rPr>
      </w:pPr>
    </w:p>
    <w:p w14:paraId="04AF113C">
      <w:pPr>
        <w:bidi w:val="0"/>
        <w:rPr>
          <w:rFonts w:hint="eastAsia"/>
          <w:color w:val="auto"/>
          <w:highlight w:val="none"/>
          <w:lang w:val="en-US" w:eastAsia="zh-CN"/>
        </w:rPr>
      </w:pPr>
    </w:p>
    <w:p w14:paraId="70C690A2">
      <w:pPr>
        <w:bidi w:val="0"/>
        <w:rPr>
          <w:rFonts w:hint="eastAsia"/>
          <w:color w:val="auto"/>
          <w:highlight w:val="none"/>
          <w:lang w:val="en-US" w:eastAsia="zh-CN"/>
        </w:rPr>
      </w:pPr>
    </w:p>
    <w:p w14:paraId="67AE0DF9">
      <w:pPr>
        <w:bidi w:val="0"/>
        <w:rPr>
          <w:rFonts w:hint="eastAsia"/>
          <w:color w:val="auto"/>
          <w:highlight w:val="none"/>
          <w:lang w:val="en-US" w:eastAsia="zh-CN"/>
        </w:rPr>
      </w:pPr>
    </w:p>
    <w:p w14:paraId="5B940BA3">
      <w:pPr>
        <w:bidi w:val="0"/>
        <w:rPr>
          <w:rFonts w:hint="eastAsia"/>
          <w:color w:val="auto"/>
          <w:highlight w:val="none"/>
          <w:lang w:val="en-US" w:eastAsia="zh-CN"/>
        </w:rPr>
      </w:pPr>
    </w:p>
    <w:p w14:paraId="086905B1">
      <w:pPr>
        <w:pStyle w:val="5"/>
        <w:rPr>
          <w:rFonts w:ascii="宋体" w:hAnsi="宋体" w:cs="宋体"/>
          <w:color w:val="auto"/>
          <w:sz w:val="24"/>
          <w:highlight w:val="none"/>
        </w:rPr>
      </w:pPr>
      <w:bookmarkStart w:id="58" w:name="_Toc19214"/>
      <w:r>
        <w:rPr>
          <w:rFonts w:hint="eastAsia" w:ascii="宋体" w:hAnsi="宋体" w:eastAsia="宋体" w:cs="宋体"/>
          <w:b/>
          <w:bCs/>
          <w:color w:val="auto"/>
          <w:sz w:val="32"/>
          <w:szCs w:val="22"/>
          <w:highlight w:val="none"/>
        </w:rPr>
        <w:t>表1 综合评分表</w:t>
      </w:r>
      <w:bookmarkEnd w:id="56"/>
      <w:bookmarkEnd w:id="57"/>
      <w:bookmarkEnd w:id="58"/>
    </w:p>
    <w:tbl>
      <w:tblPr>
        <w:tblStyle w:val="31"/>
        <w:tblW w:w="9564" w:type="dxa"/>
        <w:jc w:val="center"/>
        <w:tblLayout w:type="fixed"/>
        <w:tblCellMar>
          <w:top w:w="0" w:type="dxa"/>
          <w:left w:w="108" w:type="dxa"/>
          <w:bottom w:w="0" w:type="dxa"/>
          <w:right w:w="108" w:type="dxa"/>
        </w:tblCellMar>
      </w:tblPr>
      <w:tblGrid>
        <w:gridCol w:w="1370"/>
        <w:gridCol w:w="4141"/>
        <w:gridCol w:w="4053"/>
      </w:tblGrid>
      <w:tr w14:paraId="2382B442">
        <w:tblPrEx>
          <w:tblCellMar>
            <w:top w:w="0" w:type="dxa"/>
            <w:left w:w="108" w:type="dxa"/>
            <w:bottom w:w="0" w:type="dxa"/>
            <w:right w:w="108" w:type="dxa"/>
          </w:tblCellMar>
        </w:tblPrEx>
        <w:trPr>
          <w:trHeight w:val="510" w:hRule="exact"/>
          <w:jc w:val="center"/>
        </w:trPr>
        <w:tc>
          <w:tcPr>
            <w:tcW w:w="9564" w:type="dxa"/>
            <w:gridSpan w:val="3"/>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D4244FA">
            <w:pPr>
              <w:pStyle w:val="15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商务部分，满分：</w:t>
            </w:r>
            <w:r>
              <w:rPr>
                <w:rFonts w:hint="eastAsia" w:hAnsi="宋体" w:cs="宋体"/>
                <w:b/>
                <w:bCs/>
                <w:color w:val="auto"/>
                <w:kern w:val="0"/>
                <w:sz w:val="24"/>
                <w:szCs w:val="24"/>
                <w:highlight w:val="none"/>
                <w:u w:val="single"/>
                <w:lang w:val="en-US" w:eastAsia="zh-CN"/>
              </w:rPr>
              <w:t>55</w:t>
            </w:r>
            <w:r>
              <w:rPr>
                <w:rFonts w:hint="eastAsia" w:ascii="宋体" w:hAnsi="宋体" w:eastAsia="宋体" w:cs="宋体"/>
                <w:b/>
                <w:bCs/>
                <w:color w:val="auto"/>
                <w:kern w:val="0"/>
                <w:sz w:val="24"/>
                <w:szCs w:val="24"/>
                <w:highlight w:val="none"/>
              </w:rPr>
              <w:t>分。</w:t>
            </w:r>
          </w:p>
        </w:tc>
      </w:tr>
      <w:tr w14:paraId="5AE4316C">
        <w:tblPrEx>
          <w:tblCellMar>
            <w:top w:w="0" w:type="dxa"/>
            <w:left w:w="108" w:type="dxa"/>
            <w:bottom w:w="0" w:type="dxa"/>
            <w:right w:w="108" w:type="dxa"/>
          </w:tblCellMar>
        </w:tblPrEx>
        <w:trPr>
          <w:trHeight w:val="510" w:hRule="exac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59CED0E8">
            <w:pPr>
              <w:pStyle w:val="15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评分因素</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4FBAF56A">
            <w:pPr>
              <w:pStyle w:val="15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评分标准</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1908CD52">
            <w:pPr>
              <w:pStyle w:val="15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备注</w:t>
            </w:r>
          </w:p>
        </w:tc>
      </w:tr>
      <w:tr w14:paraId="6FA911D2">
        <w:tblPrEx>
          <w:tblCellMar>
            <w:top w:w="0" w:type="dxa"/>
            <w:left w:w="108" w:type="dxa"/>
            <w:bottom w:w="0" w:type="dxa"/>
            <w:right w:w="108" w:type="dxa"/>
          </w:tblCellMar>
        </w:tblPrEx>
        <w:trPr>
          <w:trHeight w:val="752" w:hRule="atLeast"/>
          <w:jc w:val="center"/>
        </w:trPr>
        <w:tc>
          <w:tcPr>
            <w:tcW w:w="13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25EDC8">
            <w:pPr>
              <w:pStyle w:val="155"/>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企业业绩</w:t>
            </w:r>
          </w:p>
          <w:p w14:paraId="03C1A133">
            <w:pPr>
              <w:pStyle w:val="155"/>
              <w:keepNext w:val="0"/>
              <w:keepLines w:val="0"/>
              <w:pageBreakBefore w:val="0"/>
              <w:widowControl w:val="0"/>
              <w:kinsoku/>
              <w:wordWrap w:val="0"/>
              <w:overflowPunct/>
              <w:topLinePunct w:val="0"/>
              <w:autoSpaceDE/>
              <w:autoSpaceDN/>
              <w:bidi w:val="0"/>
              <w:adjustRightInd/>
              <w:snapToGrid w:val="0"/>
              <w:spacing w:after="0" w:line="360" w:lineRule="exact"/>
              <w:ind w:firstLine="120" w:firstLineChars="5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tc>
        <w:tc>
          <w:tcPr>
            <w:tcW w:w="414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F94FEF">
            <w:pPr>
              <w:pStyle w:val="155"/>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投标人近年来(202</w:t>
            </w:r>
            <w:r>
              <w:rPr>
                <w:rFonts w:hint="eastAsia" w:hAnsi="宋体" w:cs="宋体"/>
                <w:color w:val="auto"/>
                <w:sz w:val="24"/>
                <w:szCs w:val="24"/>
                <w:highlight w:val="none"/>
                <w:lang w:val="en-US" w:eastAsia="zh-CN"/>
              </w:rPr>
              <w:t>1</w:t>
            </w:r>
            <w:r>
              <w:rPr>
                <w:rFonts w:hint="eastAsia" w:ascii="宋体" w:hAnsi="宋体" w:eastAsia="宋体" w:cs="宋体"/>
                <w:color w:val="auto"/>
                <w:sz w:val="24"/>
                <w:szCs w:val="24"/>
                <w:highlight w:val="none"/>
              </w:rPr>
              <w:t>年1月1日至今)完成过类似工程监理项目的，每提供一个得</w:t>
            </w:r>
            <w:r>
              <w:rPr>
                <w:rFonts w:hint="eastAsia" w:hAnsi="宋体" w:cs="宋体"/>
                <w:color w:val="auto"/>
                <w:sz w:val="24"/>
                <w:szCs w:val="24"/>
                <w:highlight w:val="none"/>
                <w:lang w:val="en-US" w:eastAsia="zh-CN"/>
              </w:rPr>
              <w:t>3</w:t>
            </w:r>
            <w:r>
              <w:rPr>
                <w:rFonts w:hint="eastAsia" w:ascii="宋体" w:hAnsi="宋体" w:eastAsia="宋体" w:cs="宋体"/>
                <w:color w:val="auto"/>
                <w:sz w:val="24"/>
                <w:szCs w:val="24"/>
                <w:highlight w:val="none"/>
              </w:rPr>
              <w:t>分，本项最</w:t>
            </w:r>
            <w:r>
              <w:rPr>
                <w:rFonts w:hint="eastAsia" w:hAnsi="宋体" w:cs="宋体"/>
                <w:color w:val="auto"/>
                <w:sz w:val="24"/>
                <w:szCs w:val="24"/>
                <w:highlight w:val="none"/>
                <w:lang w:val="en-US" w:eastAsia="zh-CN"/>
              </w:rPr>
              <w:t>高</w:t>
            </w:r>
            <w:r>
              <w:rPr>
                <w:rFonts w:hint="eastAsia" w:ascii="宋体" w:hAnsi="宋体" w:eastAsia="宋体" w:cs="宋体"/>
                <w:color w:val="auto"/>
                <w:sz w:val="24"/>
                <w:szCs w:val="24"/>
                <w:highlight w:val="none"/>
              </w:rPr>
              <w:t>得1</w:t>
            </w:r>
            <w:r>
              <w:rPr>
                <w:rFonts w:hint="eastAsia" w:hAnsi="宋体" w:cs="宋体"/>
                <w:color w:val="auto"/>
                <w:sz w:val="24"/>
                <w:szCs w:val="24"/>
                <w:highlight w:val="none"/>
                <w:lang w:val="en-US" w:eastAsia="zh-CN"/>
              </w:rPr>
              <w:t>5</w:t>
            </w:r>
            <w:r>
              <w:rPr>
                <w:rFonts w:hint="eastAsia" w:ascii="宋体" w:hAnsi="宋体" w:eastAsia="宋体" w:cs="宋体"/>
                <w:color w:val="auto"/>
                <w:sz w:val="24"/>
                <w:szCs w:val="24"/>
                <w:highlight w:val="none"/>
              </w:rPr>
              <w:t>分，未提供不得分。</w:t>
            </w:r>
          </w:p>
        </w:tc>
        <w:tc>
          <w:tcPr>
            <w:tcW w:w="4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8779AE">
            <w:pPr>
              <w:pStyle w:val="155"/>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b w:val="0"/>
                <w:bCs w:val="0"/>
                <w:i w:val="0"/>
                <w:iCs w:val="0"/>
                <w:color w:val="auto"/>
                <w:kern w:val="0"/>
                <w:sz w:val="24"/>
                <w:szCs w:val="24"/>
                <w:highlight w:val="none"/>
              </w:rPr>
            </w:pPr>
            <w:r>
              <w:rPr>
                <w:rFonts w:hint="eastAsia" w:ascii="宋体" w:hAnsi="宋体" w:eastAsia="宋体" w:cs="宋体"/>
                <w:b w:val="0"/>
                <w:bCs w:val="0"/>
                <w:i w:val="0"/>
                <w:iCs w:val="0"/>
                <w:color w:val="auto"/>
                <w:kern w:val="0"/>
                <w:sz w:val="24"/>
                <w:szCs w:val="24"/>
                <w:highlight w:val="none"/>
              </w:rPr>
              <w:t>1.类似项目指：</w:t>
            </w:r>
            <w:r>
              <w:rPr>
                <w:rFonts w:hint="eastAsia" w:hAnsi="宋体" w:cs="宋体"/>
                <w:b w:val="0"/>
                <w:bCs w:val="0"/>
                <w:i w:val="0"/>
                <w:iCs w:val="0"/>
                <w:color w:val="auto"/>
                <w:kern w:val="0"/>
                <w:sz w:val="24"/>
                <w:szCs w:val="24"/>
                <w:highlight w:val="none"/>
                <w:lang w:val="en-US" w:eastAsia="zh-CN"/>
              </w:rPr>
              <w:t>房屋建筑</w:t>
            </w:r>
            <w:r>
              <w:rPr>
                <w:rFonts w:hint="eastAsia" w:ascii="宋体" w:hAnsi="宋体" w:eastAsia="宋体" w:cs="宋体"/>
                <w:b w:val="0"/>
                <w:bCs w:val="0"/>
                <w:i w:val="0"/>
                <w:iCs w:val="0"/>
                <w:color w:val="auto"/>
                <w:kern w:val="0"/>
                <w:sz w:val="24"/>
                <w:szCs w:val="24"/>
                <w:highlight w:val="none"/>
              </w:rPr>
              <w:t>工程类监理项目业绩。</w:t>
            </w:r>
          </w:p>
          <w:p w14:paraId="021F7643">
            <w:pPr>
              <w:pStyle w:val="155"/>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rPr>
              <w:t>2、须提供中标通知书或监理合同彩色扫描件（或打印件）并加盖投标人公章，业绩认定时间以合同签订时间为准。</w:t>
            </w:r>
          </w:p>
        </w:tc>
      </w:tr>
      <w:tr w14:paraId="7548075E">
        <w:tblPrEx>
          <w:tblCellMar>
            <w:top w:w="0" w:type="dxa"/>
            <w:left w:w="108" w:type="dxa"/>
            <w:bottom w:w="0" w:type="dxa"/>
            <w:right w:w="108" w:type="dxa"/>
          </w:tblCellMar>
        </w:tblPrEx>
        <w:trPr>
          <w:trHeight w:val="790" w:hRule="atLeast"/>
          <w:jc w:val="center"/>
        </w:trPr>
        <w:tc>
          <w:tcPr>
            <w:tcW w:w="1370" w:type="dxa"/>
            <w:tcBorders>
              <w:top w:val="single" w:color="000000" w:sz="4" w:space="0"/>
              <w:left w:val="single" w:color="000000" w:sz="4" w:space="0"/>
              <w:bottom w:val="single" w:color="auto" w:sz="4" w:space="0"/>
              <w:right w:val="single" w:color="000000" w:sz="4" w:space="0"/>
            </w:tcBorders>
            <w:noWrap w:val="0"/>
            <w:vAlign w:val="center"/>
          </w:tcPr>
          <w:p w14:paraId="4288E301">
            <w:pPr>
              <w:pStyle w:val="155"/>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企业获奖</w:t>
            </w:r>
          </w:p>
          <w:p w14:paraId="32CDA75C">
            <w:pPr>
              <w:pStyle w:val="155"/>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tc>
        <w:tc>
          <w:tcPr>
            <w:tcW w:w="4141" w:type="dxa"/>
            <w:tcBorders>
              <w:top w:val="single" w:color="000000" w:sz="4" w:space="0"/>
              <w:left w:val="single" w:color="000000" w:sz="4" w:space="0"/>
              <w:bottom w:val="single" w:color="auto" w:sz="4" w:space="0"/>
              <w:right w:val="single" w:color="000000" w:sz="4" w:space="0"/>
            </w:tcBorders>
            <w:noWrap w:val="0"/>
            <w:vAlign w:val="center"/>
          </w:tcPr>
          <w:p w14:paraId="46C50876">
            <w:pPr>
              <w:pStyle w:val="155"/>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投标人近年来（202</w:t>
            </w:r>
            <w:r>
              <w:rPr>
                <w:rFonts w:hint="eastAsia"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年1月1日至今）监理的</w:t>
            </w:r>
            <w:r>
              <w:rPr>
                <w:rFonts w:hint="eastAsia" w:hAnsi="宋体" w:cs="宋体"/>
                <w:color w:val="auto"/>
                <w:kern w:val="0"/>
                <w:sz w:val="24"/>
                <w:szCs w:val="24"/>
                <w:highlight w:val="none"/>
                <w:lang w:val="en-US" w:eastAsia="zh-CN"/>
              </w:rPr>
              <w:t>房屋建筑</w:t>
            </w:r>
            <w:r>
              <w:rPr>
                <w:rFonts w:hint="eastAsia" w:ascii="宋体" w:hAnsi="宋体" w:eastAsia="宋体" w:cs="宋体"/>
                <w:color w:val="auto"/>
                <w:kern w:val="0"/>
                <w:sz w:val="24"/>
                <w:szCs w:val="24"/>
                <w:highlight w:val="none"/>
              </w:rPr>
              <w:t>工程获奖情况：</w:t>
            </w:r>
          </w:p>
          <w:p w14:paraId="49CAC6E3">
            <w:pPr>
              <w:pStyle w:val="155"/>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1．获得省级或以上奖项的每项得 8分。</w:t>
            </w:r>
          </w:p>
          <w:p w14:paraId="58365405">
            <w:pPr>
              <w:pStyle w:val="155"/>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2．获得市级奖项的每项得 4分。</w:t>
            </w:r>
          </w:p>
          <w:p w14:paraId="6E60BB28">
            <w:pPr>
              <w:pStyle w:val="155"/>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3．本项最高得8分。</w:t>
            </w:r>
          </w:p>
        </w:tc>
        <w:tc>
          <w:tcPr>
            <w:tcW w:w="4053" w:type="dxa"/>
            <w:tcBorders>
              <w:top w:val="single" w:color="000000" w:sz="4" w:space="0"/>
              <w:left w:val="single" w:color="000000" w:sz="4" w:space="0"/>
              <w:bottom w:val="single" w:color="auto" w:sz="4" w:space="0"/>
              <w:right w:val="single" w:color="000000" w:sz="4" w:space="0"/>
            </w:tcBorders>
            <w:noWrap w:val="0"/>
            <w:vAlign w:val="center"/>
          </w:tcPr>
          <w:p w14:paraId="7C94F649">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1.同一项目只按最高获奖等级计分一次，同一项目不同标段可重复计分。</w:t>
            </w:r>
          </w:p>
          <w:p w14:paraId="37CD51CD">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2.须提供相关证书彩色扫描件。获奖时间以奖项证明的落款日期为准。</w:t>
            </w:r>
          </w:p>
          <w:p w14:paraId="05444D96">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3.颁发机构限定以下范围：</w:t>
            </w:r>
          </w:p>
          <w:p w14:paraId="2CA6C6D0">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①国家级奖项：国务院、住建部、国家级市政行业协会（学会）；（相关协会/学会需经民政部门备案</w:t>
            </w:r>
            <w:r>
              <w:rPr>
                <w:rFonts w:hint="eastAsia" w:hAnsi="宋体" w:cs="宋体"/>
                <w:snapToGrid w:val="0"/>
                <w:color w:val="auto"/>
                <w:kern w:val="0"/>
                <w:sz w:val="24"/>
                <w:szCs w:val="24"/>
                <w:highlight w:val="none"/>
                <w:lang w:val="en-US" w:eastAsia="zh-CN"/>
              </w:rPr>
              <w:t>，提供查询截图</w:t>
            </w:r>
            <w:r>
              <w:rPr>
                <w:rFonts w:hint="eastAsia" w:ascii="宋体" w:hAnsi="宋体" w:eastAsia="宋体" w:cs="宋体"/>
                <w:snapToGrid w:val="0"/>
                <w:color w:val="auto"/>
                <w:kern w:val="0"/>
                <w:sz w:val="24"/>
                <w:szCs w:val="24"/>
                <w:highlight w:val="none"/>
                <w:lang w:val="en-US" w:eastAsia="zh-CN"/>
              </w:rPr>
              <w:t>）</w:t>
            </w:r>
          </w:p>
          <w:p w14:paraId="3426B2C1">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②省级奖项：省级人民政府、省级住建部门、省级市政行业协会（学会）；（相关协会/学会需经民政部门备案</w:t>
            </w:r>
            <w:r>
              <w:rPr>
                <w:rFonts w:hint="eastAsia" w:hAnsi="宋体" w:cs="宋体"/>
                <w:snapToGrid w:val="0"/>
                <w:color w:val="auto"/>
                <w:kern w:val="0"/>
                <w:sz w:val="24"/>
                <w:szCs w:val="24"/>
                <w:highlight w:val="none"/>
                <w:lang w:val="en-US" w:eastAsia="zh-CN"/>
              </w:rPr>
              <w:t>，提供查询截图</w:t>
            </w:r>
            <w:r>
              <w:rPr>
                <w:rFonts w:hint="eastAsia" w:ascii="宋体" w:hAnsi="宋体" w:eastAsia="宋体" w:cs="宋体"/>
                <w:snapToGrid w:val="0"/>
                <w:color w:val="auto"/>
                <w:kern w:val="0"/>
                <w:sz w:val="24"/>
                <w:szCs w:val="24"/>
                <w:highlight w:val="none"/>
                <w:lang w:val="en-US" w:eastAsia="zh-CN"/>
              </w:rPr>
              <w:t>）</w:t>
            </w:r>
          </w:p>
          <w:p w14:paraId="02D84B9A">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③地市级奖项：地市级人民政府、地市级住建部门、地市级市政行业协会（学会）。（相关协会/学会需经民政部门备案</w:t>
            </w:r>
            <w:r>
              <w:rPr>
                <w:rFonts w:hint="eastAsia" w:hAnsi="宋体" w:cs="宋体"/>
                <w:snapToGrid w:val="0"/>
                <w:color w:val="auto"/>
                <w:kern w:val="0"/>
                <w:sz w:val="24"/>
                <w:szCs w:val="24"/>
                <w:highlight w:val="none"/>
                <w:lang w:val="en-US" w:eastAsia="zh-CN"/>
              </w:rPr>
              <w:t>，提供查询截图</w:t>
            </w:r>
            <w:r>
              <w:rPr>
                <w:rFonts w:hint="eastAsia" w:ascii="宋体" w:hAnsi="宋体" w:eastAsia="宋体" w:cs="宋体"/>
                <w:snapToGrid w:val="0"/>
                <w:color w:val="auto"/>
                <w:kern w:val="0"/>
                <w:sz w:val="24"/>
                <w:szCs w:val="24"/>
                <w:highlight w:val="none"/>
                <w:lang w:val="en-US" w:eastAsia="zh-CN"/>
              </w:rPr>
              <w:t>）</w:t>
            </w:r>
          </w:p>
          <w:p w14:paraId="4EB5BC72">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4.颁发机构、获奖时间不符合评分标准和备注规定的不予计分。</w:t>
            </w:r>
          </w:p>
        </w:tc>
      </w:tr>
      <w:tr w14:paraId="712BFDCC">
        <w:tblPrEx>
          <w:tblCellMar>
            <w:top w:w="0" w:type="dxa"/>
            <w:left w:w="108" w:type="dxa"/>
            <w:bottom w:w="0" w:type="dxa"/>
            <w:right w:w="108" w:type="dxa"/>
          </w:tblCellMar>
        </w:tblPrEx>
        <w:trPr>
          <w:trHeight w:val="790" w:hRule="atLeast"/>
          <w:jc w:val="center"/>
        </w:trPr>
        <w:tc>
          <w:tcPr>
            <w:tcW w:w="1370" w:type="dxa"/>
            <w:tcBorders>
              <w:top w:val="single" w:color="000000" w:sz="4" w:space="0"/>
              <w:left w:val="single" w:color="000000" w:sz="4" w:space="0"/>
              <w:bottom w:val="single" w:color="auto" w:sz="4" w:space="0"/>
              <w:right w:val="single" w:color="000000" w:sz="4" w:space="0"/>
            </w:tcBorders>
            <w:noWrap w:val="0"/>
            <w:vAlign w:val="center"/>
          </w:tcPr>
          <w:p w14:paraId="1CFD22E0">
            <w:pPr>
              <w:pStyle w:val="155"/>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企业管理体系认证</w:t>
            </w:r>
          </w:p>
          <w:p w14:paraId="01755F39">
            <w:pPr>
              <w:pStyle w:val="155"/>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tc>
        <w:tc>
          <w:tcPr>
            <w:tcW w:w="4141" w:type="dxa"/>
            <w:tcBorders>
              <w:top w:val="single" w:color="000000" w:sz="4" w:space="0"/>
              <w:left w:val="single" w:color="000000" w:sz="4" w:space="0"/>
              <w:bottom w:val="single" w:color="auto" w:sz="4" w:space="0"/>
              <w:right w:val="single" w:color="000000" w:sz="4" w:space="0"/>
            </w:tcBorders>
            <w:noWrap w:val="0"/>
            <w:vAlign w:val="center"/>
          </w:tcPr>
          <w:p w14:paraId="1FA79B70">
            <w:pPr>
              <w:pStyle w:val="155"/>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投标人具有有效的质量管理体系认证、环境管理体系认证</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职业健康安全管理体系认证，得</w:t>
            </w:r>
            <w:r>
              <w:rPr>
                <w:rFonts w:hint="eastAsia"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w:t>
            </w:r>
          </w:p>
          <w:p w14:paraId="71BD1D6B">
            <w:pPr>
              <w:pStyle w:val="155"/>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2．未获得以上认证的，不予计分。</w:t>
            </w:r>
          </w:p>
        </w:tc>
        <w:tc>
          <w:tcPr>
            <w:tcW w:w="4053" w:type="dxa"/>
            <w:tcBorders>
              <w:top w:val="single" w:color="000000" w:sz="4" w:space="0"/>
              <w:left w:val="single" w:color="000000" w:sz="4" w:space="0"/>
              <w:bottom w:val="single" w:color="auto" w:sz="4" w:space="0"/>
              <w:right w:val="single" w:color="000000" w:sz="4" w:space="0"/>
            </w:tcBorders>
            <w:noWrap w:val="0"/>
            <w:vAlign w:val="center"/>
          </w:tcPr>
          <w:p w14:paraId="2531C33B">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1.需附在有效期内的认证证书彩色扫描件。</w:t>
            </w:r>
          </w:p>
          <w:p w14:paraId="5F5F3564">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2.任一认证证书不在有效期内的</w:t>
            </w:r>
            <w:r>
              <w:rPr>
                <w:rFonts w:hint="eastAsia" w:hAnsi="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val="en-US" w:eastAsia="zh-CN"/>
              </w:rPr>
              <w:t>该认证证书视为无效，不予计分。</w:t>
            </w:r>
          </w:p>
        </w:tc>
      </w:tr>
      <w:tr w14:paraId="26AB2504">
        <w:tblPrEx>
          <w:tblCellMar>
            <w:top w:w="0" w:type="dxa"/>
            <w:left w:w="108" w:type="dxa"/>
            <w:bottom w:w="0" w:type="dxa"/>
            <w:right w:w="108" w:type="dxa"/>
          </w:tblCellMar>
        </w:tblPrEx>
        <w:trPr>
          <w:trHeight w:val="475" w:hRule="atLeast"/>
          <w:jc w:val="center"/>
        </w:trPr>
        <w:tc>
          <w:tcPr>
            <w:tcW w:w="1370" w:type="dxa"/>
            <w:tcBorders>
              <w:top w:val="single" w:color="000000" w:sz="4" w:space="0"/>
              <w:left w:val="single" w:color="000000" w:sz="4" w:space="0"/>
              <w:bottom w:val="single" w:color="auto" w:sz="4" w:space="0"/>
              <w:right w:val="single" w:color="000000" w:sz="4" w:space="0"/>
            </w:tcBorders>
            <w:noWrap w:val="0"/>
            <w:vAlign w:val="center"/>
          </w:tcPr>
          <w:p w14:paraId="1DE76EFF">
            <w:pPr>
              <w:pStyle w:val="155"/>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default"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企业纳税（5分）</w:t>
            </w:r>
          </w:p>
        </w:tc>
        <w:tc>
          <w:tcPr>
            <w:tcW w:w="4141" w:type="dxa"/>
            <w:tcBorders>
              <w:top w:val="single" w:color="000000" w:sz="4" w:space="0"/>
              <w:left w:val="single" w:color="000000" w:sz="4" w:space="0"/>
              <w:bottom w:val="single" w:color="auto" w:sz="4" w:space="0"/>
              <w:right w:val="single" w:color="000000" w:sz="4" w:space="0"/>
            </w:tcBorders>
            <w:noWrap w:val="0"/>
            <w:vAlign w:val="center"/>
          </w:tcPr>
          <w:p w14:paraId="612135D6">
            <w:pPr>
              <w:pStyle w:val="10"/>
              <w:wordWrap w:val="0"/>
              <w:spacing w:line="276" w:lineRule="auto"/>
              <w:rPr>
                <w:rFonts w:hint="eastAsia" w:ascii="宋体" w:hAnsi="宋体" w:eastAsia="宋体" w:cs="宋体"/>
                <w:color w:val="auto"/>
                <w:kern w:val="0"/>
                <w:sz w:val="24"/>
                <w:szCs w:val="24"/>
                <w:highlight w:val="none"/>
                <w:lang w:eastAsia="zh-CN"/>
              </w:rPr>
            </w:pPr>
            <w:r>
              <w:rPr>
                <w:rFonts w:hAnsi="宋体"/>
                <w:snapToGrid w:val="0"/>
                <w:color w:val="auto"/>
                <w:kern w:val="0"/>
                <w:sz w:val="24"/>
                <w:szCs w:val="24"/>
                <w:highlight w:val="none"/>
              </w:rPr>
              <w:t>企业</w:t>
            </w:r>
            <w:r>
              <w:rPr>
                <w:rFonts w:hAnsi="宋体" w:cs="宋体"/>
                <w:snapToGrid w:val="0"/>
                <w:color w:val="auto"/>
                <w:kern w:val="0"/>
                <w:sz w:val="24"/>
                <w:szCs w:val="24"/>
                <w:highlight w:val="none"/>
              </w:rPr>
              <w:t>近</w:t>
            </w:r>
            <w:r>
              <w:rPr>
                <w:rFonts w:hAnsi="宋体" w:cs="宋体"/>
                <w:snapToGrid w:val="0"/>
                <w:color w:val="auto"/>
                <w:kern w:val="0"/>
                <w:sz w:val="24"/>
                <w:szCs w:val="24"/>
                <w:highlight w:val="none"/>
                <w:u w:val="single"/>
              </w:rPr>
              <w:t xml:space="preserve"> </w:t>
            </w:r>
            <w:r>
              <w:rPr>
                <w:rFonts w:hint="eastAsia" w:hAnsi="宋体" w:cs="宋体"/>
                <w:snapToGrid w:val="0"/>
                <w:color w:val="auto"/>
                <w:kern w:val="0"/>
                <w:sz w:val="24"/>
                <w:szCs w:val="24"/>
                <w:highlight w:val="none"/>
                <w:u w:val="single"/>
                <w:lang w:val="en-US" w:eastAsia="zh-CN"/>
              </w:rPr>
              <w:t>5</w:t>
            </w:r>
            <w:r>
              <w:rPr>
                <w:rFonts w:hAnsi="宋体" w:cs="宋体"/>
                <w:snapToGrid w:val="0"/>
                <w:color w:val="auto"/>
                <w:kern w:val="0"/>
                <w:sz w:val="24"/>
                <w:szCs w:val="24"/>
                <w:highlight w:val="none"/>
              </w:rPr>
              <w:t>年来</w:t>
            </w:r>
            <w:r>
              <w:rPr>
                <w:rFonts w:hint="eastAsia" w:hAnsi="宋体" w:cs="宋体"/>
                <w:snapToGrid w:val="0"/>
                <w:color w:val="auto"/>
                <w:kern w:val="0"/>
                <w:sz w:val="24"/>
                <w:szCs w:val="24"/>
                <w:highlight w:val="none"/>
                <w:lang w:eastAsia="zh-CN"/>
              </w:rPr>
              <w:t>（</w:t>
            </w:r>
            <w:r>
              <w:rPr>
                <w:rFonts w:hint="eastAsia" w:hAnsi="宋体"/>
                <w:snapToGrid w:val="0"/>
                <w:color w:val="auto"/>
                <w:kern w:val="0"/>
                <w:sz w:val="24"/>
                <w:szCs w:val="24"/>
                <w:highlight w:val="none"/>
                <w:lang w:val="en-US" w:eastAsia="zh-CN"/>
              </w:rPr>
              <w:t>2021</w:t>
            </w:r>
            <w:r>
              <w:rPr>
                <w:rFonts w:hAnsi="宋体"/>
                <w:snapToGrid w:val="0"/>
                <w:color w:val="auto"/>
                <w:kern w:val="0"/>
                <w:sz w:val="24"/>
                <w:szCs w:val="24"/>
                <w:highlight w:val="none"/>
              </w:rPr>
              <w:t>年度至</w:t>
            </w:r>
            <w:r>
              <w:rPr>
                <w:rFonts w:hint="eastAsia" w:hAnsi="宋体"/>
                <w:snapToGrid w:val="0"/>
                <w:color w:val="auto"/>
                <w:kern w:val="0"/>
                <w:sz w:val="24"/>
                <w:szCs w:val="24"/>
                <w:highlight w:val="none"/>
                <w:lang w:val="en-US" w:eastAsia="zh-CN"/>
              </w:rPr>
              <w:t>2025</w:t>
            </w:r>
            <w:r>
              <w:rPr>
                <w:rFonts w:hAnsi="宋体"/>
                <w:snapToGrid w:val="0"/>
                <w:color w:val="auto"/>
                <w:kern w:val="0"/>
                <w:sz w:val="24"/>
                <w:szCs w:val="24"/>
                <w:highlight w:val="none"/>
              </w:rPr>
              <w:t>年度</w:t>
            </w:r>
            <w:r>
              <w:rPr>
                <w:rFonts w:hint="eastAsia" w:hAnsi="宋体" w:cs="宋体"/>
                <w:snapToGrid w:val="0"/>
                <w:color w:val="auto"/>
                <w:kern w:val="0"/>
                <w:sz w:val="24"/>
                <w:szCs w:val="24"/>
                <w:highlight w:val="none"/>
                <w:lang w:eastAsia="zh-CN"/>
              </w:rPr>
              <w:t>）</w:t>
            </w:r>
            <w:r>
              <w:rPr>
                <w:rFonts w:hAnsi="宋体"/>
                <w:snapToGrid w:val="0"/>
                <w:color w:val="auto"/>
                <w:kern w:val="0"/>
                <w:sz w:val="24"/>
                <w:szCs w:val="24"/>
                <w:highlight w:val="none"/>
              </w:rPr>
              <w:t>获得</w:t>
            </w:r>
            <w:r>
              <w:rPr>
                <w:rFonts w:hint="eastAsia" w:hAnsi="宋体"/>
                <w:snapToGrid w:val="0"/>
                <w:color w:val="auto"/>
                <w:kern w:val="0"/>
                <w:sz w:val="24"/>
                <w:szCs w:val="24"/>
                <w:highlight w:val="none"/>
                <w:lang w:val="en-US" w:eastAsia="zh-CN"/>
              </w:rPr>
              <w:t>过</w:t>
            </w:r>
            <w:r>
              <w:rPr>
                <w:rFonts w:hAnsi="宋体"/>
                <w:snapToGrid w:val="0"/>
                <w:color w:val="auto"/>
                <w:kern w:val="0"/>
                <w:sz w:val="24"/>
                <w:szCs w:val="24"/>
                <w:highlight w:val="none"/>
              </w:rPr>
              <w:t>纳税信用A级纳税人的，得</w:t>
            </w:r>
            <w:r>
              <w:rPr>
                <w:rFonts w:hint="eastAsia" w:hAnsi="宋体"/>
                <w:snapToGrid w:val="0"/>
                <w:color w:val="auto"/>
                <w:kern w:val="0"/>
                <w:sz w:val="24"/>
                <w:szCs w:val="24"/>
                <w:highlight w:val="none"/>
                <w:lang w:val="en-US" w:eastAsia="zh-CN"/>
              </w:rPr>
              <w:t>2</w:t>
            </w:r>
            <w:r>
              <w:rPr>
                <w:rFonts w:hAnsi="宋体"/>
                <w:snapToGrid w:val="0"/>
                <w:color w:val="auto"/>
                <w:kern w:val="0"/>
                <w:sz w:val="24"/>
                <w:szCs w:val="24"/>
                <w:highlight w:val="none"/>
              </w:rPr>
              <w:t>分</w:t>
            </w:r>
            <w:r>
              <w:rPr>
                <w:rFonts w:hint="eastAsia" w:hAnsi="宋体"/>
                <w:snapToGrid w:val="0"/>
                <w:color w:val="auto"/>
                <w:kern w:val="0"/>
                <w:sz w:val="24"/>
                <w:szCs w:val="24"/>
                <w:highlight w:val="none"/>
                <w:lang w:eastAsia="zh-CN"/>
              </w:rPr>
              <w:t>，</w:t>
            </w:r>
            <w:r>
              <w:rPr>
                <w:rFonts w:hint="eastAsia" w:hAnsi="宋体"/>
                <w:snapToGrid w:val="0"/>
                <w:color w:val="auto"/>
                <w:kern w:val="0"/>
                <w:sz w:val="24"/>
                <w:szCs w:val="24"/>
                <w:highlight w:val="none"/>
                <w:lang w:val="en-US" w:eastAsia="zh-CN"/>
              </w:rPr>
              <w:t>每增加1年加1分，满分5分</w:t>
            </w:r>
            <w:r>
              <w:rPr>
                <w:rFonts w:hint="eastAsia" w:hAnsi="宋体"/>
                <w:snapToGrid w:val="0"/>
                <w:color w:val="auto"/>
                <w:kern w:val="0"/>
                <w:sz w:val="24"/>
                <w:szCs w:val="24"/>
                <w:highlight w:val="none"/>
                <w:lang w:eastAsia="zh-CN"/>
              </w:rPr>
              <w:t>。</w:t>
            </w:r>
          </w:p>
        </w:tc>
        <w:tc>
          <w:tcPr>
            <w:tcW w:w="4053" w:type="dxa"/>
            <w:tcBorders>
              <w:top w:val="single" w:color="000000" w:sz="4" w:space="0"/>
              <w:left w:val="single" w:color="000000" w:sz="4" w:space="0"/>
              <w:bottom w:val="single" w:color="auto" w:sz="4" w:space="0"/>
              <w:right w:val="single" w:color="000000" w:sz="4" w:space="0"/>
            </w:tcBorders>
            <w:noWrap w:val="0"/>
            <w:vAlign w:val="center"/>
          </w:tcPr>
          <w:p w14:paraId="70C08E83">
            <w:pPr>
              <w:pStyle w:val="10"/>
              <w:wordWrap w:val="0"/>
              <w:spacing w:after="0" w:line="240" w:lineRule="auto"/>
              <w:ind w:firstLine="273" w:firstLineChars="114"/>
              <w:rPr>
                <w:rFonts w:hint="default" w:hAnsi="宋体" w:cs="宋体"/>
                <w:color w:val="auto"/>
                <w:kern w:val="0"/>
                <w:sz w:val="24"/>
                <w:szCs w:val="24"/>
                <w:highlight w:val="none"/>
              </w:rPr>
            </w:pPr>
            <w:r>
              <w:rPr>
                <w:rFonts w:hAnsi="宋体" w:cs="宋体"/>
                <w:color w:val="auto"/>
                <w:kern w:val="0"/>
                <w:sz w:val="24"/>
                <w:szCs w:val="24"/>
                <w:highlight w:val="none"/>
              </w:rPr>
              <w:t>1.必须提供企业纳税信用A级纳税人证明材料（或证书）彩色扫描件及国家税务总局（或省级电子税务局）网上查询截图打印件，否则不得分。</w:t>
            </w:r>
          </w:p>
          <w:p w14:paraId="74E84E97">
            <w:pPr>
              <w:pStyle w:val="10"/>
              <w:wordWrap w:val="0"/>
              <w:spacing w:after="0" w:line="240" w:lineRule="auto"/>
              <w:ind w:firstLine="273" w:firstLineChars="114"/>
              <w:rPr>
                <w:rFonts w:hint="eastAsia" w:ascii="宋体" w:hAnsi="宋体" w:eastAsia="宋体" w:cs="宋体"/>
                <w:snapToGrid w:val="0"/>
                <w:color w:val="auto"/>
                <w:kern w:val="0"/>
                <w:sz w:val="24"/>
                <w:szCs w:val="24"/>
                <w:highlight w:val="none"/>
                <w:lang w:val="en-US" w:eastAsia="zh-CN"/>
              </w:rPr>
            </w:pPr>
            <w:r>
              <w:rPr>
                <w:rFonts w:hAnsi="宋体" w:cs="宋体"/>
                <w:color w:val="auto"/>
                <w:kern w:val="0"/>
                <w:sz w:val="24"/>
                <w:szCs w:val="24"/>
                <w:highlight w:val="none"/>
              </w:rPr>
              <w:t>2.只计算投标人自身（不计算投标人的分公司、子公司及分支机构）</w:t>
            </w:r>
          </w:p>
        </w:tc>
      </w:tr>
      <w:tr w14:paraId="4BB6D51F">
        <w:tblPrEx>
          <w:tblCellMar>
            <w:top w:w="0" w:type="dxa"/>
            <w:left w:w="108" w:type="dxa"/>
            <w:bottom w:w="0" w:type="dxa"/>
            <w:right w:w="108" w:type="dxa"/>
          </w:tblCellMar>
        </w:tblPrEx>
        <w:trPr>
          <w:trHeight w:val="475" w:hRule="atLeast"/>
          <w:jc w:val="center"/>
        </w:trPr>
        <w:tc>
          <w:tcPr>
            <w:tcW w:w="1370" w:type="dxa"/>
            <w:tcBorders>
              <w:top w:val="single" w:color="000000" w:sz="4" w:space="0"/>
              <w:left w:val="single" w:color="000000" w:sz="4" w:space="0"/>
              <w:bottom w:val="single" w:color="auto" w:sz="4" w:space="0"/>
              <w:right w:val="single" w:color="000000" w:sz="4" w:space="0"/>
            </w:tcBorders>
            <w:noWrap w:val="0"/>
            <w:vAlign w:val="center"/>
          </w:tcPr>
          <w:p w14:paraId="699A3F80">
            <w:pPr>
              <w:widowControl/>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企业技术能力</w:t>
            </w:r>
          </w:p>
          <w:p w14:paraId="0E0ABB54">
            <w:pPr>
              <w:widowControl/>
              <w:jc w:val="center"/>
              <w:rPr>
                <w:rFonts w:hint="default" w:hAnsi="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w:t>
            </w:r>
            <w:r>
              <w:rPr>
                <w:rFonts w:hint="eastAsia" w:hAnsi="宋体" w:cs="宋体"/>
                <w:color w:val="auto"/>
                <w:kern w:val="2"/>
                <w:sz w:val="24"/>
                <w:szCs w:val="24"/>
                <w:highlight w:val="none"/>
                <w:lang w:val="en-US" w:eastAsia="zh-CN" w:bidi="ar-SA"/>
              </w:rPr>
              <w:t>9</w:t>
            </w:r>
            <w:r>
              <w:rPr>
                <w:rFonts w:hint="eastAsia" w:ascii="宋体" w:hAnsi="宋体" w:eastAsia="宋体" w:cs="宋体"/>
                <w:color w:val="auto"/>
                <w:kern w:val="2"/>
                <w:sz w:val="24"/>
                <w:szCs w:val="24"/>
                <w:highlight w:val="none"/>
                <w:lang w:val="en-US" w:eastAsia="zh-CN" w:bidi="ar-SA"/>
              </w:rPr>
              <w:t>分）</w:t>
            </w:r>
          </w:p>
        </w:tc>
        <w:tc>
          <w:tcPr>
            <w:tcW w:w="4141" w:type="dxa"/>
            <w:tcBorders>
              <w:top w:val="single" w:color="000000" w:sz="4" w:space="0"/>
              <w:left w:val="single" w:color="000000" w:sz="4" w:space="0"/>
              <w:bottom w:val="single" w:color="auto" w:sz="4" w:space="0"/>
              <w:right w:val="single" w:color="000000" w:sz="4" w:space="0"/>
            </w:tcBorders>
            <w:noWrap w:val="0"/>
            <w:vAlign w:val="center"/>
          </w:tcPr>
          <w:p w14:paraId="1198C673">
            <w:pPr>
              <w:ind w:right="120" w:rightChars="5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1、投标人自2021年1月1日至今，曾获得省级或以上科学技术奖项的，每项得</w:t>
            </w:r>
            <w:r>
              <w:rPr>
                <w:rFonts w:hint="eastAsia" w:hAnsi="宋体" w:cs="宋体"/>
                <w:color w:val="auto"/>
                <w:kern w:val="2"/>
                <w:sz w:val="24"/>
                <w:szCs w:val="24"/>
                <w:highlight w:val="none"/>
                <w:lang w:val="en-US" w:eastAsia="zh-CN" w:bidi="ar-SA"/>
              </w:rPr>
              <w:t>0.5</w:t>
            </w:r>
            <w:r>
              <w:rPr>
                <w:rFonts w:hint="eastAsia" w:ascii="宋体" w:hAnsi="宋体" w:eastAsia="宋体" w:cs="宋体"/>
                <w:color w:val="auto"/>
                <w:kern w:val="2"/>
                <w:sz w:val="24"/>
                <w:szCs w:val="24"/>
                <w:highlight w:val="none"/>
                <w:lang w:val="en-US" w:eastAsia="zh-CN" w:bidi="ar-SA"/>
              </w:rPr>
              <w:t>分，最高得</w:t>
            </w:r>
            <w:r>
              <w:rPr>
                <w:rFonts w:hint="eastAsia" w:hAnsi="宋体"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eastAsia="zh-CN" w:bidi="ar-SA"/>
              </w:rPr>
              <w:t>分。</w:t>
            </w:r>
          </w:p>
          <w:p w14:paraId="505379CD">
            <w:pPr>
              <w:ind w:right="120" w:rightChars="5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2、投标人自2021年1月1日至今，曾获得省级或以上科技创新先进企业的，每项得</w:t>
            </w:r>
            <w:r>
              <w:rPr>
                <w:rFonts w:hint="eastAsia"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分，本小项最高的</w:t>
            </w:r>
            <w:r>
              <w:rPr>
                <w:rFonts w:hint="eastAsia"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分。</w:t>
            </w:r>
          </w:p>
          <w:p w14:paraId="5A72FBF8">
            <w:pPr>
              <w:ind w:right="120" w:rightChars="50"/>
              <w:rPr>
                <w:rFonts w:hint="eastAsia" w:hAnsi="宋体" w:eastAsia="宋体"/>
                <w:snapToGrid w:val="0"/>
                <w:color w:val="auto"/>
                <w:kern w:val="0"/>
                <w:sz w:val="24"/>
                <w:szCs w:val="24"/>
                <w:highlight w:val="none"/>
                <w:lang w:eastAsia="zh-CN"/>
              </w:rPr>
            </w:pPr>
            <w:r>
              <w:rPr>
                <w:rFonts w:hint="eastAsia" w:ascii="宋体" w:hAnsi="宋体" w:eastAsia="宋体" w:cs="宋体"/>
                <w:color w:val="auto"/>
                <w:kern w:val="2"/>
                <w:sz w:val="24"/>
                <w:szCs w:val="24"/>
                <w:highlight w:val="none"/>
                <w:lang w:val="en-US" w:eastAsia="zh-CN" w:bidi="ar-SA"/>
              </w:rPr>
              <w:t>本项最高得</w:t>
            </w:r>
            <w:r>
              <w:rPr>
                <w:rFonts w:hint="eastAsia" w:hAnsi="宋体" w:cs="宋体"/>
                <w:color w:val="auto"/>
                <w:kern w:val="2"/>
                <w:sz w:val="24"/>
                <w:szCs w:val="24"/>
                <w:highlight w:val="none"/>
                <w:lang w:val="en-US" w:eastAsia="zh-CN" w:bidi="ar-SA"/>
              </w:rPr>
              <w:t>9</w:t>
            </w:r>
            <w:r>
              <w:rPr>
                <w:rFonts w:hint="eastAsia" w:ascii="宋体" w:hAnsi="宋体" w:eastAsia="宋体" w:cs="宋体"/>
                <w:color w:val="auto"/>
                <w:kern w:val="2"/>
                <w:sz w:val="24"/>
                <w:szCs w:val="24"/>
                <w:highlight w:val="none"/>
                <w:lang w:val="en-US" w:eastAsia="zh-CN" w:bidi="ar-SA"/>
              </w:rPr>
              <w:t>分。</w:t>
            </w:r>
          </w:p>
        </w:tc>
        <w:tc>
          <w:tcPr>
            <w:tcW w:w="4053" w:type="dxa"/>
            <w:tcBorders>
              <w:top w:val="single" w:color="000000" w:sz="4" w:space="0"/>
              <w:left w:val="single" w:color="000000" w:sz="4" w:space="0"/>
              <w:bottom w:val="single" w:color="auto" w:sz="4" w:space="0"/>
              <w:right w:val="single" w:color="000000" w:sz="4" w:space="0"/>
            </w:tcBorders>
            <w:noWrap w:val="0"/>
            <w:vAlign w:val="center"/>
          </w:tcPr>
          <w:p w14:paraId="6FEFEF35">
            <w:pPr>
              <w:pStyle w:val="10"/>
              <w:wordWrap w:val="0"/>
              <w:spacing w:line="400" w:lineRule="exact"/>
              <w:rPr>
                <w:rFonts w:hAnsi="宋体" w:cs="宋体"/>
                <w:color w:val="auto"/>
                <w:kern w:val="0"/>
                <w:sz w:val="24"/>
                <w:szCs w:val="24"/>
                <w:highlight w:val="none"/>
              </w:rPr>
            </w:pPr>
            <w:r>
              <w:rPr>
                <w:rFonts w:hint="eastAsia" w:hAnsi="宋体" w:cs="宋体"/>
                <w:snapToGrid w:val="0"/>
                <w:color w:val="auto"/>
                <w:kern w:val="0"/>
                <w:sz w:val="24"/>
                <w:szCs w:val="24"/>
                <w:highlight w:val="none"/>
              </w:rPr>
              <w:t>以省级或以上人民政府或行政部门或行业协会（学会）（须在民政部门备案）颁发的获奖证书为准。须提供获奖证书清晰扫描件，时间以获奖证书颁发日期为准。若颁发单位是行业协会或学会，须同时提供该颁发单位在“中国社会组织政务服务平台”网站登记的查询结果截图，否则该荣誉证书不予认定。不满足上述要求的或未提供相关证明材料的不予计分。</w:t>
            </w:r>
          </w:p>
        </w:tc>
      </w:tr>
      <w:tr w14:paraId="07F34999">
        <w:tblPrEx>
          <w:tblCellMar>
            <w:top w:w="0" w:type="dxa"/>
            <w:left w:w="108" w:type="dxa"/>
            <w:bottom w:w="0" w:type="dxa"/>
            <w:right w:w="108" w:type="dxa"/>
          </w:tblCellMar>
        </w:tblPrEx>
        <w:trPr>
          <w:trHeight w:val="790" w:hRule="atLeast"/>
          <w:jc w:val="center"/>
        </w:trPr>
        <w:tc>
          <w:tcPr>
            <w:tcW w:w="1370" w:type="dxa"/>
            <w:tcBorders>
              <w:top w:val="single" w:color="000000" w:sz="4" w:space="0"/>
              <w:left w:val="single" w:color="000000" w:sz="4" w:space="0"/>
              <w:bottom w:val="single" w:color="auto" w:sz="4" w:space="0"/>
              <w:right w:val="single" w:color="000000" w:sz="4" w:space="0"/>
            </w:tcBorders>
            <w:noWrap w:val="0"/>
            <w:vAlign w:val="center"/>
          </w:tcPr>
          <w:p w14:paraId="5BA6B0F3">
            <w:pPr>
              <w:pStyle w:val="155"/>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项目总监综合素质</w:t>
            </w:r>
          </w:p>
          <w:p w14:paraId="21B032D4">
            <w:pPr>
              <w:pStyle w:val="155"/>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tc>
        <w:tc>
          <w:tcPr>
            <w:tcW w:w="4141" w:type="dxa"/>
            <w:tcBorders>
              <w:top w:val="single" w:color="000000" w:sz="4" w:space="0"/>
              <w:left w:val="single" w:color="000000" w:sz="4" w:space="0"/>
              <w:bottom w:val="single" w:color="auto" w:sz="4" w:space="0"/>
              <w:right w:val="single" w:color="000000" w:sz="4" w:space="0"/>
            </w:tcBorders>
            <w:noWrap w:val="0"/>
            <w:vAlign w:val="center"/>
          </w:tcPr>
          <w:p w14:paraId="3DF5E979">
            <w:pPr>
              <w:pStyle w:val="155"/>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拟委派的总监理工程师具有工程师</w:t>
            </w:r>
            <w:r>
              <w:rPr>
                <w:rFonts w:hint="eastAsia" w:hAnsi="宋体" w:cs="宋体"/>
                <w:color w:val="auto"/>
                <w:kern w:val="0"/>
                <w:sz w:val="24"/>
                <w:szCs w:val="24"/>
                <w:highlight w:val="none"/>
                <w:lang w:val="en-US" w:eastAsia="zh-CN" w:bidi="ar-SA"/>
              </w:rPr>
              <w:t>或以上</w:t>
            </w:r>
            <w:r>
              <w:rPr>
                <w:rFonts w:hint="eastAsia" w:ascii="宋体" w:hAnsi="宋体" w:eastAsia="宋体" w:cs="宋体"/>
                <w:color w:val="auto"/>
                <w:kern w:val="0"/>
                <w:sz w:val="24"/>
                <w:szCs w:val="24"/>
                <w:highlight w:val="none"/>
                <w:lang w:val="en-US" w:eastAsia="zh-CN" w:bidi="ar-SA"/>
              </w:rPr>
              <w:t>职称的，得</w:t>
            </w:r>
            <w:r>
              <w:rPr>
                <w:rFonts w:hint="eastAsia" w:hAnsi="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en-US" w:eastAsia="zh-CN" w:bidi="ar-SA"/>
              </w:rPr>
              <w:t>分</w:t>
            </w:r>
            <w:r>
              <w:rPr>
                <w:rFonts w:hint="eastAsia" w:hAnsi="宋体" w:cs="宋体"/>
                <w:color w:val="auto"/>
                <w:kern w:val="0"/>
                <w:sz w:val="24"/>
                <w:szCs w:val="24"/>
                <w:highlight w:val="none"/>
                <w:lang w:val="en-US" w:eastAsia="zh-CN"/>
              </w:rPr>
              <w:t>。</w:t>
            </w:r>
          </w:p>
        </w:tc>
        <w:tc>
          <w:tcPr>
            <w:tcW w:w="4053" w:type="dxa"/>
            <w:tcBorders>
              <w:top w:val="single" w:color="000000" w:sz="4" w:space="0"/>
              <w:left w:val="single" w:color="000000" w:sz="4" w:space="0"/>
              <w:bottom w:val="single" w:color="auto" w:sz="4" w:space="0"/>
              <w:right w:val="single" w:color="000000" w:sz="4" w:space="0"/>
            </w:tcBorders>
            <w:noWrap w:val="0"/>
            <w:vAlign w:val="center"/>
          </w:tcPr>
          <w:p w14:paraId="227E9E81">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需提供相关证书彩色扫描件及</w:t>
            </w:r>
            <w:r>
              <w:rPr>
                <w:rFonts w:hint="eastAsia" w:hAnsi="宋体" w:cs="宋体"/>
                <w:color w:val="auto"/>
                <w:sz w:val="24"/>
                <w:szCs w:val="24"/>
                <w:highlight w:val="none"/>
                <w:lang w:val="en-US" w:eastAsia="zh-CN"/>
              </w:rPr>
              <w:t>人员</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rPr>
              <w:t>本单位</w:t>
            </w:r>
            <w:r>
              <w:rPr>
                <w:rFonts w:hint="eastAsia" w:ascii="宋体" w:hAnsi="宋体" w:eastAsia="宋体" w:cs="宋体"/>
                <w:color w:val="auto"/>
                <w:sz w:val="24"/>
                <w:szCs w:val="24"/>
                <w:highlight w:val="none"/>
                <w:lang w:val="en-US" w:eastAsia="zh-CN"/>
              </w:rPr>
              <w:t>缴纳社保的证明（至少一个</w:t>
            </w:r>
          </w:p>
          <w:p w14:paraId="218702CA">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color w:val="auto"/>
                <w:sz w:val="24"/>
                <w:szCs w:val="24"/>
                <w:highlight w:val="none"/>
                <w:lang w:val="en-US" w:eastAsia="zh-CN"/>
              </w:rPr>
              <w:t>月，其中必须有202</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年</w:t>
            </w:r>
            <w:r>
              <w:rPr>
                <w:rFonts w:hint="eastAsia"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月）</w:t>
            </w:r>
            <w:r>
              <w:rPr>
                <w:rFonts w:hint="eastAsia" w:hAnsi="宋体" w:eastAsia="宋体" w:cs="宋体"/>
                <w:color w:val="auto"/>
                <w:kern w:val="0"/>
                <w:sz w:val="24"/>
                <w:szCs w:val="24"/>
                <w:highlight w:val="none"/>
                <w:lang w:val="en-US" w:eastAsia="zh-CN"/>
              </w:rPr>
              <w:t>彩色扫描件</w:t>
            </w:r>
            <w:r>
              <w:rPr>
                <w:rFonts w:hint="eastAsia"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退休返聘人员无法提供社保证明的，提供退休证和劳动合同扫描件</w:t>
            </w:r>
            <w:r>
              <w:rPr>
                <w:rFonts w:hint="eastAsia" w:hAnsi="宋体" w:cs="宋体"/>
                <w:color w:val="auto"/>
                <w:kern w:val="0"/>
                <w:sz w:val="24"/>
                <w:szCs w:val="24"/>
                <w:highlight w:val="none"/>
                <w:lang w:eastAsia="zh-CN"/>
              </w:rPr>
              <w:t>；</w:t>
            </w:r>
            <w:r>
              <w:rPr>
                <w:rFonts w:hint="eastAsia" w:hAnsi="宋体" w:cs="宋体"/>
                <w:snapToGrid w:val="0"/>
                <w:color w:val="auto"/>
                <w:sz w:val="24"/>
                <w:szCs w:val="24"/>
                <w:highlight w:val="none"/>
                <w:lang w:val="en-US" w:eastAsia="zh-CN"/>
              </w:rPr>
              <w:t>未按要求提供不得分。</w:t>
            </w:r>
          </w:p>
        </w:tc>
      </w:tr>
      <w:tr w14:paraId="775D8F59">
        <w:tblPrEx>
          <w:tblCellMar>
            <w:top w:w="0" w:type="dxa"/>
            <w:left w:w="108" w:type="dxa"/>
            <w:bottom w:w="0" w:type="dxa"/>
            <w:right w:w="108" w:type="dxa"/>
          </w:tblCellMar>
        </w:tblPrEx>
        <w:trPr>
          <w:trHeight w:val="1509" w:hRule="atLeast"/>
          <w:jc w:val="center"/>
        </w:trPr>
        <w:tc>
          <w:tcPr>
            <w:tcW w:w="1370" w:type="dxa"/>
            <w:vMerge w:val="restart"/>
            <w:tcBorders>
              <w:top w:val="single" w:color="auto" w:sz="4" w:space="0"/>
              <w:left w:val="single" w:color="auto" w:sz="4" w:space="0"/>
              <w:right w:val="single" w:color="auto" w:sz="4" w:space="0"/>
            </w:tcBorders>
            <w:noWrap w:val="0"/>
            <w:vAlign w:val="center"/>
          </w:tcPr>
          <w:p w14:paraId="6B68BA87">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center"/>
              <w:textAlignment w:val="auto"/>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rPr>
              <w:t>其他监理人员配备</w:t>
            </w:r>
          </w:p>
          <w:p w14:paraId="7379769E">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rPr>
              <w:t>（</w:t>
            </w:r>
            <w:r>
              <w:rPr>
                <w:rFonts w:hint="eastAsia"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zh-TW"/>
              </w:rPr>
              <w:t>分）</w:t>
            </w:r>
          </w:p>
        </w:tc>
        <w:tc>
          <w:tcPr>
            <w:tcW w:w="4141" w:type="dxa"/>
            <w:tcBorders>
              <w:top w:val="single" w:color="auto" w:sz="4" w:space="0"/>
              <w:left w:val="single" w:color="auto" w:sz="4" w:space="0"/>
              <w:bottom w:val="single" w:color="auto" w:sz="4" w:space="0"/>
              <w:right w:val="single" w:color="auto" w:sz="4" w:space="0"/>
            </w:tcBorders>
            <w:noWrap w:val="0"/>
            <w:vAlign w:val="center"/>
          </w:tcPr>
          <w:p w14:paraId="4927476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拟派人员的数量和专业完全满足表2 《项目监理机构其他人员需求表》要求的（以下简称《需求表》）要求的，得4分；否则不得分。</w:t>
            </w:r>
          </w:p>
        </w:tc>
        <w:tc>
          <w:tcPr>
            <w:tcW w:w="4053" w:type="dxa"/>
            <w:vMerge w:val="restart"/>
            <w:tcBorders>
              <w:top w:val="single" w:color="auto" w:sz="4" w:space="0"/>
              <w:left w:val="single" w:color="auto" w:sz="4" w:space="0"/>
              <w:right w:val="single" w:color="auto" w:sz="4" w:space="0"/>
            </w:tcBorders>
            <w:noWrap w:val="0"/>
            <w:vAlign w:val="center"/>
          </w:tcPr>
          <w:p w14:paraId="235EC520">
            <w:pPr>
              <w:pStyle w:val="155"/>
              <w:keepNext w:val="0"/>
              <w:keepLines w:val="0"/>
              <w:pageBreakBefore w:val="0"/>
              <w:widowControl w:val="0"/>
              <w:numPr>
                <w:ilvl w:val="0"/>
                <w:numId w:val="0"/>
              </w:numPr>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hAnsi="宋体" w:cs="宋体"/>
                <w:color w:val="auto"/>
                <w:sz w:val="24"/>
                <w:szCs w:val="24"/>
                <w:highlight w:val="none"/>
                <w:lang w:val="en-US" w:eastAsia="zh-CN"/>
              </w:rPr>
              <w:t>1.各岗位人员</w:t>
            </w:r>
            <w:r>
              <w:rPr>
                <w:rFonts w:hint="eastAsia" w:ascii="宋体" w:hAnsi="宋体" w:eastAsia="宋体" w:cs="宋体"/>
                <w:color w:val="auto"/>
                <w:sz w:val="24"/>
                <w:szCs w:val="24"/>
                <w:highlight w:val="none"/>
              </w:rPr>
              <w:t>不得兼任，一人一岗。</w:t>
            </w:r>
          </w:p>
          <w:p w14:paraId="1CC27CF5">
            <w:pPr>
              <w:pStyle w:val="155"/>
              <w:keepNext w:val="0"/>
              <w:keepLines w:val="0"/>
              <w:pageBreakBefore w:val="0"/>
              <w:widowControl w:val="0"/>
              <w:numPr>
                <w:ilvl w:val="0"/>
                <w:numId w:val="0"/>
              </w:numPr>
              <w:kinsoku/>
              <w:wordWrap w:val="0"/>
              <w:overflowPunct/>
              <w:topLinePunct w:val="0"/>
              <w:autoSpaceDE/>
              <w:autoSpaceDN/>
              <w:bidi w:val="0"/>
              <w:adjustRightInd/>
              <w:snapToGrid w:val="0"/>
              <w:spacing w:after="0" w:line="360" w:lineRule="exact"/>
              <w:ind w:left="0" w:leftChars="0" w:firstLine="0" w:firstLineChars="0"/>
              <w:textAlignment w:val="auto"/>
              <w:rPr>
                <w:rFonts w:hint="eastAsia" w:hAnsi="宋体" w:cs="宋体"/>
                <w:color w:val="auto"/>
                <w:kern w:val="0"/>
                <w:sz w:val="24"/>
                <w:szCs w:val="24"/>
                <w:highlight w:val="none"/>
                <w:lang w:eastAsia="zh-CN"/>
              </w:rPr>
            </w:pPr>
            <w:r>
              <w:rPr>
                <w:rFonts w:hint="eastAsia" w:hAnsi="宋体" w:cs="宋体"/>
                <w:color w:val="auto"/>
                <w:sz w:val="24"/>
                <w:szCs w:val="24"/>
                <w:highlight w:val="none"/>
                <w:lang w:val="en-US" w:eastAsia="zh-CN"/>
              </w:rPr>
              <w:t>2.须提供相关人员的</w:t>
            </w:r>
            <w:r>
              <w:rPr>
                <w:rFonts w:hint="eastAsia" w:ascii="宋体" w:hAnsi="宋体" w:eastAsia="宋体" w:cs="宋体"/>
                <w:color w:val="auto"/>
                <w:sz w:val="24"/>
                <w:szCs w:val="24"/>
                <w:highlight w:val="none"/>
              </w:rPr>
              <w:t>职称证、注册证</w:t>
            </w:r>
            <w:r>
              <w:rPr>
                <w:rFonts w:hint="eastAsia" w:hAnsi="宋体" w:cs="宋体"/>
                <w:color w:val="auto"/>
                <w:sz w:val="24"/>
                <w:szCs w:val="24"/>
                <w:highlight w:val="none"/>
                <w:lang w:eastAsia="zh-CN"/>
              </w:rPr>
              <w:t>、</w:t>
            </w:r>
            <w:r>
              <w:rPr>
                <w:rFonts w:hint="eastAsia" w:ascii="宋体" w:hAnsi="宋体" w:eastAsia="宋体" w:cs="宋体"/>
                <w:color w:val="auto"/>
                <w:sz w:val="24"/>
                <w:szCs w:val="24"/>
                <w:highlight w:val="none"/>
              </w:rPr>
              <w:t>资格证</w:t>
            </w:r>
            <w:r>
              <w:rPr>
                <w:rFonts w:hint="eastAsia" w:hAnsi="宋体" w:cs="宋体"/>
                <w:color w:val="auto"/>
                <w:sz w:val="24"/>
                <w:szCs w:val="24"/>
                <w:highlight w:val="none"/>
                <w:lang w:val="en-US" w:eastAsia="zh-CN"/>
              </w:rPr>
              <w:t>等相关证书</w:t>
            </w:r>
            <w:r>
              <w:rPr>
                <w:rFonts w:hint="eastAsia" w:ascii="宋体" w:hAnsi="宋体" w:eastAsia="宋体" w:cs="宋体"/>
                <w:color w:val="auto"/>
                <w:kern w:val="0"/>
                <w:sz w:val="24"/>
                <w:szCs w:val="24"/>
                <w:highlight w:val="none"/>
              </w:rPr>
              <w:t>彩色扫描件</w:t>
            </w:r>
            <w:r>
              <w:rPr>
                <w:rFonts w:hint="eastAsia" w:hAnsi="宋体" w:cs="宋体"/>
                <w:color w:val="auto"/>
                <w:kern w:val="0"/>
                <w:sz w:val="24"/>
                <w:szCs w:val="24"/>
                <w:highlight w:val="none"/>
                <w:lang w:eastAsia="zh-CN"/>
              </w:rPr>
              <w:t>，</w:t>
            </w:r>
            <w:r>
              <w:rPr>
                <w:rFonts w:hint="eastAsia" w:hAnsi="宋体" w:cs="宋体"/>
                <w:snapToGrid w:val="0"/>
                <w:color w:val="auto"/>
                <w:sz w:val="24"/>
                <w:szCs w:val="24"/>
                <w:highlight w:val="none"/>
                <w:lang w:val="en-US" w:eastAsia="zh-CN"/>
              </w:rPr>
              <w:t>未按要求提供不得分。</w:t>
            </w:r>
          </w:p>
          <w:p w14:paraId="28C15AFB">
            <w:pPr>
              <w:pStyle w:val="155"/>
              <w:keepNext w:val="0"/>
              <w:keepLines w:val="0"/>
              <w:pageBreakBefore w:val="0"/>
              <w:widowControl w:val="0"/>
              <w:numPr>
                <w:ilvl w:val="0"/>
                <w:numId w:val="0"/>
              </w:numPr>
              <w:kinsoku/>
              <w:wordWrap w:val="0"/>
              <w:overflowPunct/>
              <w:topLinePunct w:val="0"/>
              <w:autoSpaceDE/>
              <w:autoSpaceDN/>
              <w:bidi w:val="0"/>
              <w:adjustRightInd/>
              <w:snapToGrid w:val="0"/>
              <w:spacing w:after="0" w:line="360" w:lineRule="exact"/>
              <w:ind w:left="0" w:leftChars="0" w:firstLine="0" w:firstLineChars="0"/>
              <w:textAlignment w:val="auto"/>
              <w:rPr>
                <w:rFonts w:hint="eastAsia" w:ascii="宋体" w:hAnsi="宋体" w:eastAsia="宋体" w:cs="宋体"/>
                <w:color w:val="auto"/>
                <w:kern w:val="0"/>
                <w:sz w:val="24"/>
                <w:szCs w:val="24"/>
                <w:highlight w:val="none"/>
              </w:rPr>
            </w:pPr>
            <w:r>
              <w:rPr>
                <w:rFonts w:hint="eastAsia" w:hAnsi="宋体" w:cs="宋体"/>
                <w:color w:val="auto"/>
                <w:sz w:val="24"/>
                <w:szCs w:val="24"/>
                <w:highlight w:val="none"/>
                <w:lang w:val="en-US" w:eastAsia="zh-CN"/>
              </w:rPr>
              <w:t>3.须提供相关人员</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rPr>
              <w:t>本单位</w:t>
            </w:r>
            <w:r>
              <w:rPr>
                <w:rFonts w:hint="eastAsia" w:ascii="宋体" w:hAnsi="宋体" w:eastAsia="宋体" w:cs="宋体"/>
                <w:color w:val="auto"/>
                <w:sz w:val="24"/>
                <w:szCs w:val="24"/>
                <w:highlight w:val="none"/>
                <w:lang w:val="en-US" w:eastAsia="zh-CN"/>
              </w:rPr>
              <w:t>缴纳社保的证明（至少一个月，其中必须有202</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年</w:t>
            </w:r>
            <w:r>
              <w:rPr>
                <w:rFonts w:hint="eastAsia"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月）</w:t>
            </w:r>
            <w:r>
              <w:rPr>
                <w:rFonts w:hint="eastAsia" w:hAnsi="宋体" w:eastAsia="宋体" w:cs="宋体"/>
                <w:color w:val="auto"/>
                <w:kern w:val="0"/>
                <w:sz w:val="24"/>
                <w:szCs w:val="24"/>
                <w:highlight w:val="none"/>
                <w:lang w:val="en-US" w:eastAsia="zh-CN"/>
              </w:rPr>
              <w:t>彩色扫描件</w:t>
            </w:r>
            <w:r>
              <w:rPr>
                <w:rFonts w:hint="eastAsia"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退休返聘人员无法提供社保证明的，提供退休证和劳动合同扫描件</w:t>
            </w:r>
            <w:r>
              <w:rPr>
                <w:rFonts w:hint="eastAsia" w:hAnsi="宋体" w:cs="宋体"/>
                <w:color w:val="auto"/>
                <w:kern w:val="0"/>
                <w:sz w:val="24"/>
                <w:szCs w:val="24"/>
                <w:highlight w:val="none"/>
                <w:lang w:eastAsia="zh-CN"/>
              </w:rPr>
              <w:t>；</w:t>
            </w:r>
            <w:r>
              <w:rPr>
                <w:rFonts w:hint="eastAsia" w:hAnsi="宋体" w:cs="宋体"/>
                <w:snapToGrid w:val="0"/>
                <w:color w:val="auto"/>
                <w:sz w:val="24"/>
                <w:szCs w:val="24"/>
                <w:highlight w:val="none"/>
                <w:lang w:val="en-US" w:eastAsia="zh-CN"/>
              </w:rPr>
              <w:t>未按要求提供不得分。</w:t>
            </w:r>
          </w:p>
        </w:tc>
      </w:tr>
      <w:tr w14:paraId="40F7EBAA">
        <w:tblPrEx>
          <w:tblCellMar>
            <w:top w:w="0" w:type="dxa"/>
            <w:left w:w="108" w:type="dxa"/>
            <w:bottom w:w="0" w:type="dxa"/>
            <w:right w:w="108" w:type="dxa"/>
          </w:tblCellMar>
        </w:tblPrEx>
        <w:trPr>
          <w:trHeight w:val="1144" w:hRule="atLeast"/>
          <w:jc w:val="center"/>
        </w:trPr>
        <w:tc>
          <w:tcPr>
            <w:tcW w:w="1370" w:type="dxa"/>
            <w:vMerge w:val="continue"/>
            <w:tcBorders>
              <w:left w:val="single" w:color="auto" w:sz="4" w:space="0"/>
              <w:right w:val="single" w:color="auto" w:sz="4" w:space="0"/>
            </w:tcBorders>
            <w:noWrap w:val="0"/>
            <w:vAlign w:val="center"/>
          </w:tcPr>
          <w:p w14:paraId="5BB36E24">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center"/>
              <w:textAlignment w:val="auto"/>
              <w:rPr>
                <w:rFonts w:hint="eastAsia" w:ascii="宋体" w:hAnsi="宋体" w:eastAsia="宋体" w:cs="宋体"/>
                <w:color w:val="auto"/>
                <w:sz w:val="24"/>
                <w:szCs w:val="24"/>
                <w:highlight w:val="none"/>
                <w:lang w:val="zh-TW"/>
              </w:rPr>
            </w:pPr>
          </w:p>
        </w:tc>
        <w:tc>
          <w:tcPr>
            <w:tcW w:w="4141" w:type="dxa"/>
            <w:tcBorders>
              <w:top w:val="single" w:color="auto" w:sz="4" w:space="0"/>
              <w:left w:val="single" w:color="auto" w:sz="4" w:space="0"/>
              <w:bottom w:val="single" w:color="auto" w:sz="4" w:space="0"/>
              <w:right w:val="single" w:color="auto" w:sz="4" w:space="0"/>
            </w:tcBorders>
            <w:noWrap w:val="0"/>
            <w:vAlign w:val="center"/>
          </w:tcPr>
          <w:p w14:paraId="54F8783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配备的本项目总监代表：</w:t>
            </w:r>
            <w:r>
              <w:rPr>
                <w:rFonts w:hint="eastAsia" w:ascii="宋体" w:hAnsi="宋体" w:eastAsia="宋体" w:cs="宋体"/>
                <w:color w:val="auto"/>
                <w:kern w:val="0"/>
                <w:sz w:val="24"/>
                <w:szCs w:val="24"/>
                <w:highlight w:val="none"/>
                <w:lang w:val="en-US" w:eastAsia="zh-CN" w:bidi="ar-SA"/>
              </w:rPr>
              <w:t>具有工程师</w:t>
            </w:r>
            <w:r>
              <w:rPr>
                <w:rFonts w:hint="eastAsia" w:hAnsi="宋体" w:cs="宋体"/>
                <w:color w:val="auto"/>
                <w:kern w:val="0"/>
                <w:sz w:val="24"/>
                <w:szCs w:val="24"/>
                <w:highlight w:val="none"/>
                <w:lang w:val="en-US" w:eastAsia="zh-CN" w:bidi="ar-SA"/>
              </w:rPr>
              <w:t>或以上</w:t>
            </w:r>
            <w:r>
              <w:rPr>
                <w:rFonts w:hint="eastAsia" w:ascii="宋体" w:hAnsi="宋体" w:eastAsia="宋体" w:cs="宋体"/>
                <w:color w:val="auto"/>
                <w:kern w:val="0"/>
                <w:sz w:val="24"/>
                <w:szCs w:val="24"/>
                <w:highlight w:val="none"/>
                <w:lang w:val="en-US" w:eastAsia="zh-CN" w:bidi="ar-SA"/>
              </w:rPr>
              <w:t>职称的</w:t>
            </w:r>
            <w:r>
              <w:rPr>
                <w:rFonts w:hint="eastAsia" w:hAnsi="宋体" w:cs="宋体"/>
                <w:color w:val="auto"/>
                <w:kern w:val="0"/>
                <w:sz w:val="24"/>
                <w:szCs w:val="24"/>
                <w:highlight w:val="none"/>
                <w:lang w:val="en-US" w:eastAsia="zh-CN" w:bidi="ar-SA"/>
              </w:rPr>
              <w:t>，得2分</w:t>
            </w:r>
            <w:r>
              <w:rPr>
                <w:rFonts w:hint="eastAsia" w:ascii="宋体" w:hAnsi="宋体" w:eastAsia="宋体" w:cs="宋体"/>
                <w:color w:val="auto"/>
                <w:sz w:val="24"/>
                <w:szCs w:val="24"/>
                <w:highlight w:val="none"/>
                <w:lang w:val="en-US" w:eastAsia="zh-CN"/>
              </w:rPr>
              <w:t>。</w:t>
            </w:r>
          </w:p>
        </w:tc>
        <w:tc>
          <w:tcPr>
            <w:tcW w:w="4053" w:type="dxa"/>
            <w:vMerge w:val="continue"/>
            <w:tcBorders>
              <w:left w:val="single" w:color="auto" w:sz="4" w:space="0"/>
              <w:right w:val="single" w:color="auto" w:sz="4" w:space="0"/>
            </w:tcBorders>
            <w:noWrap w:val="0"/>
            <w:vAlign w:val="center"/>
          </w:tcPr>
          <w:p w14:paraId="71A8F82A">
            <w:pPr>
              <w:pStyle w:val="155"/>
              <w:keepNext w:val="0"/>
              <w:keepLines w:val="0"/>
              <w:pageBreakBefore w:val="0"/>
              <w:widowControl w:val="0"/>
              <w:numPr>
                <w:ilvl w:val="0"/>
                <w:numId w:val="0"/>
              </w:numPr>
              <w:kinsoku/>
              <w:wordWrap w:val="0"/>
              <w:overflowPunct/>
              <w:topLinePunct w:val="0"/>
              <w:autoSpaceDE/>
              <w:autoSpaceDN/>
              <w:bidi w:val="0"/>
              <w:snapToGrid w:val="0"/>
              <w:spacing w:after="0" w:line="500" w:lineRule="exact"/>
              <w:ind w:left="0" w:leftChars="0" w:firstLine="0" w:firstLineChars="0"/>
              <w:textAlignment w:val="auto"/>
              <w:rPr>
                <w:rFonts w:hint="eastAsia" w:hAnsi="宋体" w:cs="宋体"/>
                <w:color w:val="auto"/>
                <w:sz w:val="24"/>
                <w:szCs w:val="24"/>
                <w:highlight w:val="none"/>
                <w:lang w:val="en-US" w:eastAsia="zh-CN"/>
              </w:rPr>
            </w:pPr>
          </w:p>
        </w:tc>
      </w:tr>
      <w:tr w14:paraId="6D1089A8">
        <w:tblPrEx>
          <w:tblCellMar>
            <w:top w:w="0" w:type="dxa"/>
            <w:left w:w="108" w:type="dxa"/>
            <w:bottom w:w="0" w:type="dxa"/>
            <w:right w:w="108" w:type="dxa"/>
          </w:tblCellMar>
        </w:tblPrEx>
        <w:trPr>
          <w:trHeight w:val="1179" w:hRule="atLeast"/>
          <w:jc w:val="center"/>
        </w:trPr>
        <w:tc>
          <w:tcPr>
            <w:tcW w:w="1370" w:type="dxa"/>
            <w:vMerge w:val="continue"/>
            <w:tcBorders>
              <w:left w:val="single" w:color="auto" w:sz="4" w:space="0"/>
              <w:right w:val="single" w:color="auto" w:sz="4" w:space="0"/>
            </w:tcBorders>
            <w:noWrap w:val="0"/>
            <w:vAlign w:val="center"/>
          </w:tcPr>
          <w:p w14:paraId="74B98725">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center"/>
              <w:textAlignment w:val="auto"/>
              <w:rPr>
                <w:rFonts w:hint="eastAsia" w:ascii="宋体" w:hAnsi="宋体" w:eastAsia="宋体" w:cs="宋体"/>
                <w:color w:val="auto"/>
                <w:sz w:val="24"/>
                <w:szCs w:val="24"/>
                <w:highlight w:val="none"/>
                <w:lang w:val="zh-TW"/>
              </w:rPr>
            </w:pPr>
          </w:p>
        </w:tc>
        <w:tc>
          <w:tcPr>
            <w:tcW w:w="4141" w:type="dxa"/>
            <w:tcBorders>
              <w:top w:val="single" w:color="auto" w:sz="4" w:space="0"/>
              <w:left w:val="single" w:color="auto" w:sz="4" w:space="0"/>
              <w:bottom w:val="single" w:color="auto" w:sz="4" w:space="0"/>
              <w:right w:val="single" w:color="auto" w:sz="4" w:space="0"/>
            </w:tcBorders>
            <w:noWrap w:val="0"/>
            <w:vAlign w:val="center"/>
          </w:tcPr>
          <w:p w14:paraId="3FD01B3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配备的本项目专业监理工程师</w:t>
            </w:r>
            <w:r>
              <w:rPr>
                <w:rFonts w:hint="eastAsia" w:hAnsi="宋体" w:cs="宋体"/>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SA"/>
              </w:rPr>
              <w:t>具有工程师</w:t>
            </w:r>
            <w:r>
              <w:rPr>
                <w:rFonts w:hint="eastAsia" w:hAnsi="宋体" w:cs="宋体"/>
                <w:color w:val="auto"/>
                <w:kern w:val="0"/>
                <w:sz w:val="24"/>
                <w:szCs w:val="24"/>
                <w:highlight w:val="none"/>
                <w:lang w:val="en-US" w:eastAsia="zh-CN" w:bidi="ar-SA"/>
              </w:rPr>
              <w:t>或以上</w:t>
            </w:r>
            <w:r>
              <w:rPr>
                <w:rFonts w:hint="eastAsia" w:ascii="宋体" w:hAnsi="宋体" w:eastAsia="宋体" w:cs="宋体"/>
                <w:color w:val="auto"/>
                <w:kern w:val="0"/>
                <w:sz w:val="24"/>
                <w:szCs w:val="24"/>
                <w:highlight w:val="none"/>
                <w:lang w:val="en-US" w:eastAsia="zh-CN" w:bidi="ar-SA"/>
              </w:rPr>
              <w:t>职称的</w:t>
            </w:r>
            <w:r>
              <w:rPr>
                <w:rFonts w:hint="eastAsia" w:hAnsi="宋体" w:cs="宋体"/>
                <w:color w:val="auto"/>
                <w:kern w:val="0"/>
                <w:sz w:val="24"/>
                <w:szCs w:val="24"/>
                <w:highlight w:val="none"/>
                <w:lang w:val="en-US" w:eastAsia="zh-CN" w:bidi="ar-SA"/>
              </w:rPr>
              <w:t>，得2分</w:t>
            </w:r>
            <w:r>
              <w:rPr>
                <w:rFonts w:hint="eastAsia" w:ascii="宋体" w:hAnsi="宋体" w:eastAsia="宋体" w:cs="宋体"/>
                <w:color w:val="auto"/>
                <w:sz w:val="24"/>
                <w:szCs w:val="24"/>
                <w:highlight w:val="none"/>
                <w:lang w:val="en-US" w:eastAsia="zh-CN"/>
              </w:rPr>
              <w:t>。</w:t>
            </w:r>
          </w:p>
        </w:tc>
        <w:tc>
          <w:tcPr>
            <w:tcW w:w="4053" w:type="dxa"/>
            <w:vMerge w:val="continue"/>
            <w:tcBorders>
              <w:left w:val="single" w:color="auto" w:sz="4" w:space="0"/>
              <w:right w:val="single" w:color="auto" w:sz="4" w:space="0"/>
            </w:tcBorders>
            <w:noWrap w:val="0"/>
            <w:vAlign w:val="center"/>
          </w:tcPr>
          <w:p w14:paraId="7F09EE66">
            <w:pPr>
              <w:pStyle w:val="155"/>
              <w:keepNext w:val="0"/>
              <w:keepLines w:val="0"/>
              <w:pageBreakBefore w:val="0"/>
              <w:widowControl w:val="0"/>
              <w:numPr>
                <w:ilvl w:val="0"/>
                <w:numId w:val="0"/>
              </w:numPr>
              <w:kinsoku/>
              <w:wordWrap w:val="0"/>
              <w:overflowPunct/>
              <w:topLinePunct w:val="0"/>
              <w:autoSpaceDE/>
              <w:autoSpaceDN/>
              <w:bidi w:val="0"/>
              <w:snapToGrid w:val="0"/>
              <w:spacing w:after="0" w:line="500" w:lineRule="exact"/>
              <w:ind w:left="0" w:leftChars="0" w:firstLine="0" w:firstLineChars="0"/>
              <w:textAlignment w:val="auto"/>
              <w:rPr>
                <w:rFonts w:hint="eastAsia" w:hAnsi="宋体" w:cs="宋体"/>
                <w:color w:val="auto"/>
                <w:sz w:val="24"/>
                <w:szCs w:val="24"/>
                <w:highlight w:val="none"/>
                <w:lang w:val="en-US" w:eastAsia="zh-CN"/>
              </w:rPr>
            </w:pPr>
          </w:p>
        </w:tc>
      </w:tr>
      <w:tr w14:paraId="7315D3ED">
        <w:tblPrEx>
          <w:tblCellMar>
            <w:top w:w="0" w:type="dxa"/>
            <w:left w:w="108" w:type="dxa"/>
            <w:bottom w:w="0" w:type="dxa"/>
            <w:right w:w="108" w:type="dxa"/>
          </w:tblCellMar>
        </w:tblPrEx>
        <w:trPr>
          <w:trHeight w:val="1219" w:hRule="atLeast"/>
          <w:jc w:val="center"/>
        </w:trPr>
        <w:tc>
          <w:tcPr>
            <w:tcW w:w="1370" w:type="dxa"/>
            <w:vMerge w:val="continue"/>
            <w:tcBorders>
              <w:left w:val="single" w:color="auto" w:sz="4" w:space="0"/>
              <w:bottom w:val="single" w:color="auto" w:sz="4" w:space="0"/>
              <w:right w:val="single" w:color="auto" w:sz="4" w:space="0"/>
            </w:tcBorders>
            <w:noWrap w:val="0"/>
            <w:vAlign w:val="center"/>
          </w:tcPr>
          <w:p w14:paraId="3FB4202A">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center"/>
              <w:textAlignment w:val="auto"/>
              <w:rPr>
                <w:rFonts w:hint="eastAsia" w:ascii="宋体" w:hAnsi="宋体" w:eastAsia="宋体" w:cs="宋体"/>
                <w:color w:val="auto"/>
                <w:sz w:val="24"/>
                <w:szCs w:val="24"/>
                <w:highlight w:val="none"/>
                <w:lang w:val="zh-TW"/>
              </w:rPr>
            </w:pPr>
          </w:p>
        </w:tc>
        <w:tc>
          <w:tcPr>
            <w:tcW w:w="4141" w:type="dxa"/>
            <w:tcBorders>
              <w:top w:val="single" w:color="auto" w:sz="4" w:space="0"/>
              <w:left w:val="single" w:color="auto" w:sz="4" w:space="0"/>
              <w:bottom w:val="single" w:color="auto" w:sz="4" w:space="0"/>
              <w:right w:val="single" w:color="auto" w:sz="4" w:space="0"/>
            </w:tcBorders>
            <w:noWrap w:val="0"/>
            <w:vAlign w:val="center"/>
          </w:tcPr>
          <w:p w14:paraId="657B391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配备的本项目造价工程师</w:t>
            </w:r>
            <w:r>
              <w:rPr>
                <w:rFonts w:hint="eastAsia"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具有专业监理工程师证书的，得</w:t>
            </w:r>
            <w:r>
              <w:rPr>
                <w:rFonts w:hint="eastAsia"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w:t>
            </w:r>
            <w:r>
              <w:rPr>
                <w:rFonts w:hint="eastAsia"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具有</w:t>
            </w:r>
            <w:r>
              <w:rPr>
                <w:rFonts w:hint="eastAsia" w:hAnsi="宋体" w:cs="宋体"/>
                <w:color w:val="auto"/>
                <w:sz w:val="24"/>
                <w:szCs w:val="24"/>
                <w:highlight w:val="none"/>
                <w:lang w:val="en-US" w:eastAsia="zh-CN"/>
              </w:rPr>
              <w:t>注册</w:t>
            </w:r>
            <w:r>
              <w:rPr>
                <w:rFonts w:hint="eastAsia" w:ascii="宋体" w:hAnsi="宋体" w:eastAsia="宋体" w:cs="宋体"/>
                <w:color w:val="auto"/>
                <w:sz w:val="24"/>
                <w:szCs w:val="24"/>
                <w:highlight w:val="none"/>
                <w:lang w:val="en-US" w:eastAsia="zh-CN"/>
              </w:rPr>
              <w:t>监理工程师注册证书的，得</w:t>
            </w:r>
            <w:r>
              <w:rPr>
                <w:rFonts w:hint="eastAsia"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分。</w:t>
            </w:r>
          </w:p>
          <w:p w14:paraId="2EF958EC">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本小项最高得</w:t>
            </w:r>
            <w:r>
              <w:rPr>
                <w:rFonts w:hint="eastAsia"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分。</w:t>
            </w:r>
          </w:p>
        </w:tc>
        <w:tc>
          <w:tcPr>
            <w:tcW w:w="4053" w:type="dxa"/>
            <w:vMerge w:val="continue"/>
            <w:tcBorders>
              <w:left w:val="single" w:color="auto" w:sz="4" w:space="0"/>
              <w:bottom w:val="single" w:color="auto" w:sz="4" w:space="0"/>
              <w:right w:val="single" w:color="auto" w:sz="4" w:space="0"/>
            </w:tcBorders>
            <w:noWrap w:val="0"/>
            <w:vAlign w:val="center"/>
          </w:tcPr>
          <w:p w14:paraId="344506AC">
            <w:pPr>
              <w:pStyle w:val="155"/>
              <w:keepNext w:val="0"/>
              <w:keepLines w:val="0"/>
              <w:pageBreakBefore w:val="0"/>
              <w:widowControl w:val="0"/>
              <w:numPr>
                <w:ilvl w:val="0"/>
                <w:numId w:val="0"/>
              </w:numPr>
              <w:kinsoku/>
              <w:wordWrap w:val="0"/>
              <w:overflowPunct/>
              <w:topLinePunct w:val="0"/>
              <w:autoSpaceDE/>
              <w:autoSpaceDN/>
              <w:bidi w:val="0"/>
              <w:snapToGrid w:val="0"/>
              <w:spacing w:after="0" w:line="500" w:lineRule="exact"/>
              <w:ind w:left="0" w:leftChars="0" w:firstLine="0" w:firstLineChars="0"/>
              <w:textAlignment w:val="auto"/>
              <w:rPr>
                <w:rFonts w:hint="eastAsia" w:hAnsi="宋体" w:cs="宋体"/>
                <w:color w:val="auto"/>
                <w:sz w:val="24"/>
                <w:szCs w:val="24"/>
                <w:highlight w:val="none"/>
                <w:lang w:val="en-US" w:eastAsia="zh-CN"/>
              </w:rPr>
            </w:pPr>
          </w:p>
        </w:tc>
      </w:tr>
      <w:tr w14:paraId="2B5155DC">
        <w:tblPrEx>
          <w:tblCellMar>
            <w:top w:w="0" w:type="dxa"/>
            <w:left w:w="108" w:type="dxa"/>
            <w:bottom w:w="0" w:type="dxa"/>
            <w:right w:w="108" w:type="dxa"/>
          </w:tblCellMar>
        </w:tblPrEx>
        <w:trPr>
          <w:trHeight w:val="510" w:hRule="exact"/>
          <w:jc w:val="center"/>
        </w:trPr>
        <w:tc>
          <w:tcPr>
            <w:tcW w:w="9564"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0C2E6A1E">
            <w:pPr>
              <w:pStyle w:val="155"/>
              <w:keepNext w:val="0"/>
              <w:keepLines w:val="0"/>
              <w:pageBreakBefore w:val="0"/>
              <w:widowControl w:val="0"/>
              <w:kinsoku/>
              <w:wordWrap w:val="0"/>
              <w:overflowPunct/>
              <w:topLinePunct w:val="0"/>
              <w:autoSpaceDE/>
              <w:autoSpaceDN/>
              <w:bidi w:val="0"/>
              <w:snapToGrid w:val="0"/>
              <w:spacing w:after="0" w:line="5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技术部分（监理大纲），满分：</w:t>
            </w:r>
            <w:r>
              <w:rPr>
                <w:rFonts w:hint="eastAsia" w:hAnsi="宋体" w:cs="宋体"/>
                <w:b/>
                <w:bCs/>
                <w:color w:val="auto"/>
                <w:kern w:val="0"/>
                <w:sz w:val="24"/>
                <w:szCs w:val="24"/>
                <w:highlight w:val="none"/>
                <w:u w:val="single"/>
                <w:lang w:val="en-US" w:eastAsia="zh-CN"/>
              </w:rPr>
              <w:t>20</w:t>
            </w:r>
            <w:r>
              <w:rPr>
                <w:rFonts w:hint="eastAsia" w:ascii="宋体" w:hAnsi="宋体" w:eastAsia="宋体" w:cs="宋体"/>
                <w:b/>
                <w:bCs/>
                <w:color w:val="auto"/>
                <w:kern w:val="0"/>
                <w:sz w:val="24"/>
                <w:szCs w:val="24"/>
                <w:highlight w:val="none"/>
              </w:rPr>
              <w:t>分。</w:t>
            </w:r>
          </w:p>
        </w:tc>
      </w:tr>
      <w:tr w14:paraId="0AB7433C">
        <w:tblPrEx>
          <w:tblCellMar>
            <w:top w:w="0" w:type="dxa"/>
            <w:left w:w="108" w:type="dxa"/>
            <w:bottom w:w="0" w:type="dxa"/>
            <w:right w:w="108" w:type="dxa"/>
          </w:tblCellMar>
        </w:tblPrEx>
        <w:trPr>
          <w:trHeight w:val="510" w:hRule="exact"/>
          <w:jc w:val="center"/>
        </w:trPr>
        <w:tc>
          <w:tcPr>
            <w:tcW w:w="1370" w:type="dxa"/>
            <w:tcBorders>
              <w:top w:val="single" w:color="000000" w:sz="4" w:space="0"/>
              <w:left w:val="single" w:color="000000" w:sz="4" w:space="0"/>
              <w:bottom w:val="single" w:color="auto" w:sz="4" w:space="0"/>
              <w:right w:val="single" w:color="000000" w:sz="4" w:space="0"/>
            </w:tcBorders>
            <w:noWrap w:val="0"/>
            <w:vAlign w:val="center"/>
          </w:tcPr>
          <w:p w14:paraId="761521A8">
            <w:pPr>
              <w:pStyle w:val="155"/>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评分因素</w:t>
            </w:r>
          </w:p>
        </w:tc>
        <w:tc>
          <w:tcPr>
            <w:tcW w:w="4141" w:type="dxa"/>
            <w:tcBorders>
              <w:top w:val="single" w:color="000000" w:sz="4" w:space="0"/>
              <w:left w:val="single" w:color="000000" w:sz="4" w:space="0"/>
              <w:bottom w:val="single" w:color="auto" w:sz="4" w:space="0"/>
              <w:right w:val="single" w:color="000000" w:sz="4" w:space="0"/>
            </w:tcBorders>
            <w:noWrap w:val="0"/>
            <w:vAlign w:val="center"/>
          </w:tcPr>
          <w:p w14:paraId="73D8067F">
            <w:pPr>
              <w:pStyle w:val="155"/>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评分标准</w:t>
            </w:r>
          </w:p>
        </w:tc>
        <w:tc>
          <w:tcPr>
            <w:tcW w:w="4053" w:type="dxa"/>
            <w:tcBorders>
              <w:top w:val="single" w:color="000000" w:sz="4" w:space="0"/>
              <w:left w:val="single" w:color="000000" w:sz="4" w:space="0"/>
              <w:bottom w:val="single" w:color="auto" w:sz="4" w:space="0"/>
              <w:right w:val="single" w:color="000000" w:sz="4" w:space="0"/>
            </w:tcBorders>
            <w:noWrap w:val="0"/>
            <w:vAlign w:val="center"/>
          </w:tcPr>
          <w:p w14:paraId="1A357280">
            <w:pPr>
              <w:pStyle w:val="155"/>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备注</w:t>
            </w:r>
          </w:p>
        </w:tc>
      </w:tr>
      <w:tr w14:paraId="5BACB44E">
        <w:tblPrEx>
          <w:tblCellMar>
            <w:top w:w="0" w:type="dxa"/>
            <w:left w:w="108" w:type="dxa"/>
            <w:bottom w:w="0" w:type="dxa"/>
            <w:right w:w="108" w:type="dxa"/>
          </w:tblCellMar>
        </w:tblPrEx>
        <w:trPr>
          <w:trHeight w:val="1845" w:hRule="atLeast"/>
          <w:jc w:val="center"/>
        </w:trPr>
        <w:tc>
          <w:tcPr>
            <w:tcW w:w="1370" w:type="dxa"/>
            <w:tcBorders>
              <w:top w:val="single" w:color="auto" w:sz="4" w:space="0"/>
              <w:left w:val="single" w:color="auto" w:sz="4" w:space="0"/>
              <w:bottom w:val="single" w:color="auto" w:sz="4" w:space="0"/>
              <w:right w:val="single" w:color="auto" w:sz="4" w:space="0"/>
            </w:tcBorders>
            <w:noWrap w:val="0"/>
            <w:vAlign w:val="center"/>
          </w:tcPr>
          <w:p w14:paraId="1D6E9740">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监理依据</w:t>
            </w:r>
          </w:p>
          <w:p w14:paraId="022F846E">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及工作目标（</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41" w:type="dxa"/>
            <w:tcBorders>
              <w:top w:val="single" w:color="auto" w:sz="4" w:space="0"/>
              <w:left w:val="single" w:color="auto" w:sz="4" w:space="0"/>
              <w:bottom w:val="single" w:color="auto" w:sz="4" w:space="0"/>
              <w:right w:val="single" w:color="auto" w:sz="4" w:space="0"/>
            </w:tcBorders>
            <w:noWrap w:val="0"/>
            <w:vAlign w:val="center"/>
          </w:tcPr>
          <w:p w14:paraId="72ECF61A">
            <w:pPr>
              <w:pStyle w:val="110"/>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0EF329D9">
            <w:pPr>
              <w:pStyle w:val="110"/>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467A12E4">
            <w:pPr>
              <w:pStyle w:val="110"/>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30532908">
            <w:pPr>
              <w:pStyle w:val="155"/>
              <w:keepNext w:val="0"/>
              <w:keepLines w:val="0"/>
              <w:pageBreakBefore w:val="0"/>
              <w:widowControl w:val="0"/>
              <w:kinsoku/>
              <w:wordWrap w:val="0"/>
              <w:overflowPunct/>
              <w:topLinePunct w:val="0"/>
              <w:autoSpaceDE/>
              <w:autoSpaceDN/>
              <w:bidi w:val="0"/>
              <w:adjustRightInd/>
              <w:snapToGrid w:val="0"/>
              <w:spacing w:after="0"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tcBorders>
              <w:top w:val="single" w:color="auto" w:sz="4" w:space="0"/>
              <w:left w:val="single" w:color="auto" w:sz="4" w:space="0"/>
              <w:bottom w:val="single" w:color="auto" w:sz="4" w:space="0"/>
              <w:right w:val="single" w:color="auto" w:sz="4" w:space="0"/>
            </w:tcBorders>
            <w:noWrap w:val="0"/>
            <w:vAlign w:val="center"/>
          </w:tcPr>
          <w:p w14:paraId="49595D11">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要求依据全面、适用；目标清晰、正确；针对性强。</w:t>
            </w:r>
          </w:p>
        </w:tc>
      </w:tr>
      <w:tr w14:paraId="34CCC798">
        <w:tblPrEx>
          <w:tblCellMar>
            <w:top w:w="0" w:type="dxa"/>
            <w:left w:w="108" w:type="dxa"/>
            <w:bottom w:w="0" w:type="dxa"/>
            <w:right w:w="108" w:type="dxa"/>
          </w:tblCellMar>
        </w:tblPrEx>
        <w:trPr>
          <w:trHeight w:val="350" w:hRule="atLeast"/>
          <w:jc w:val="center"/>
        </w:trPr>
        <w:tc>
          <w:tcPr>
            <w:tcW w:w="1370" w:type="dxa"/>
            <w:tcBorders>
              <w:top w:val="single" w:color="auto" w:sz="4" w:space="0"/>
              <w:left w:val="single" w:color="auto" w:sz="4" w:space="0"/>
              <w:bottom w:val="single" w:color="auto" w:sz="4" w:space="0"/>
              <w:right w:val="single" w:color="auto" w:sz="4" w:space="0"/>
            </w:tcBorders>
            <w:noWrap w:val="0"/>
            <w:vAlign w:val="center"/>
          </w:tcPr>
          <w:p w14:paraId="4C8594AF">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工程质量</w:t>
            </w:r>
          </w:p>
          <w:p w14:paraId="524453CC">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监理措施</w:t>
            </w:r>
          </w:p>
          <w:p w14:paraId="71AFBC8B">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41" w:type="dxa"/>
            <w:tcBorders>
              <w:top w:val="single" w:color="auto" w:sz="4" w:space="0"/>
              <w:left w:val="single" w:color="auto" w:sz="4" w:space="0"/>
              <w:bottom w:val="single" w:color="auto" w:sz="4" w:space="0"/>
              <w:right w:val="single" w:color="auto" w:sz="4" w:space="0"/>
            </w:tcBorders>
            <w:noWrap w:val="0"/>
            <w:vAlign w:val="center"/>
          </w:tcPr>
          <w:p w14:paraId="64255FCE">
            <w:pPr>
              <w:pStyle w:val="110"/>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4753AC67">
            <w:pPr>
              <w:pStyle w:val="110"/>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4CAFD2EF">
            <w:pPr>
              <w:pStyle w:val="110"/>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5C7958C2">
            <w:pPr>
              <w:pStyle w:val="110"/>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vMerge w:val="restart"/>
            <w:tcBorders>
              <w:top w:val="single" w:color="auto" w:sz="4" w:space="0"/>
              <w:left w:val="single" w:color="auto" w:sz="4" w:space="0"/>
              <w:bottom w:val="single" w:color="auto" w:sz="4" w:space="0"/>
              <w:right w:val="single" w:color="auto" w:sz="4" w:space="0"/>
            </w:tcBorders>
            <w:noWrap w:val="0"/>
            <w:vAlign w:val="center"/>
          </w:tcPr>
          <w:p w14:paraId="5EDFDFBE">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要求目标正确、方法可行、预控和动态管理措施具体、针对性强。脱离本工程实际、机械照搬照抄规范和技术标准的，不能得满分。</w:t>
            </w:r>
          </w:p>
        </w:tc>
      </w:tr>
      <w:tr w14:paraId="657674A1">
        <w:tblPrEx>
          <w:tblCellMar>
            <w:top w:w="0" w:type="dxa"/>
            <w:left w:w="108" w:type="dxa"/>
            <w:bottom w:w="0" w:type="dxa"/>
            <w:right w:w="108" w:type="dxa"/>
          </w:tblCellMar>
        </w:tblPrEx>
        <w:trPr>
          <w:trHeight w:val="1830" w:hRule="atLeast"/>
          <w:jc w:val="center"/>
        </w:trPr>
        <w:tc>
          <w:tcPr>
            <w:tcW w:w="1370" w:type="dxa"/>
            <w:tcBorders>
              <w:top w:val="single" w:color="auto" w:sz="4" w:space="0"/>
              <w:left w:val="single" w:color="000000" w:sz="4" w:space="0"/>
              <w:bottom w:val="single" w:color="000000" w:sz="4" w:space="0"/>
              <w:right w:val="single" w:color="auto" w:sz="4" w:space="0"/>
            </w:tcBorders>
            <w:noWrap w:val="0"/>
            <w:vAlign w:val="center"/>
          </w:tcPr>
          <w:p w14:paraId="55D56246">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工程进度</w:t>
            </w:r>
          </w:p>
          <w:p w14:paraId="6613DE54">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监理措施</w:t>
            </w:r>
          </w:p>
          <w:p w14:paraId="1C364B3A">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41" w:type="dxa"/>
            <w:tcBorders>
              <w:top w:val="single" w:color="auto" w:sz="4" w:space="0"/>
              <w:left w:val="single" w:color="auto" w:sz="4" w:space="0"/>
              <w:bottom w:val="single" w:color="auto" w:sz="4" w:space="0"/>
              <w:right w:val="single" w:color="auto" w:sz="4" w:space="0"/>
            </w:tcBorders>
            <w:noWrap w:val="0"/>
            <w:vAlign w:val="center"/>
          </w:tcPr>
          <w:p w14:paraId="1C9301B8">
            <w:pPr>
              <w:pStyle w:val="110"/>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3E012986">
            <w:pPr>
              <w:pStyle w:val="110"/>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5166F0B0">
            <w:pPr>
              <w:pStyle w:val="110"/>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685CE569">
            <w:pPr>
              <w:pStyle w:val="110"/>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vMerge w:val="continue"/>
            <w:tcBorders>
              <w:top w:val="single" w:color="auto" w:sz="4" w:space="0"/>
              <w:left w:val="single" w:color="auto" w:sz="4" w:space="0"/>
              <w:bottom w:val="single" w:color="auto" w:sz="4" w:space="0"/>
              <w:right w:val="single" w:color="auto" w:sz="4" w:space="0"/>
            </w:tcBorders>
            <w:noWrap w:val="0"/>
            <w:vAlign w:val="center"/>
          </w:tcPr>
          <w:p w14:paraId="33D6114C">
            <w:pPr>
              <w:pStyle w:val="110"/>
              <w:keepNext w:val="0"/>
              <w:keepLines w:val="0"/>
              <w:pageBreakBefore w:val="0"/>
              <w:widowControl w:val="0"/>
              <w:kinsoku/>
              <w:wordWrap w:val="0"/>
              <w:overflowPunct/>
              <w:topLinePunct w:val="0"/>
              <w:autoSpaceDE/>
              <w:autoSpaceDN/>
              <w:bidi w:val="0"/>
              <w:adjustRightInd/>
              <w:snapToGrid w:val="0"/>
              <w:spacing w:line="400" w:lineRule="exact"/>
              <w:textAlignment w:val="auto"/>
              <w:rPr>
                <w:rFonts w:hint="eastAsia" w:ascii="宋体" w:hAnsi="宋体" w:eastAsia="宋体" w:cs="宋体"/>
                <w:color w:val="auto"/>
                <w:kern w:val="0"/>
                <w:sz w:val="24"/>
                <w:szCs w:val="24"/>
                <w:highlight w:val="none"/>
              </w:rPr>
            </w:pPr>
          </w:p>
        </w:tc>
      </w:tr>
      <w:tr w14:paraId="0AC42CCD">
        <w:tblPrEx>
          <w:tblCellMar>
            <w:top w:w="0" w:type="dxa"/>
            <w:left w:w="108" w:type="dxa"/>
            <w:bottom w:w="0" w:type="dxa"/>
            <w:right w:w="108" w:type="dxa"/>
          </w:tblCellMar>
        </w:tblPrEx>
        <w:trPr>
          <w:trHeight w:val="1970" w:hRule="atLeast"/>
          <w:jc w:val="center"/>
        </w:trPr>
        <w:tc>
          <w:tcPr>
            <w:tcW w:w="1370" w:type="dxa"/>
            <w:tcBorders>
              <w:top w:val="single" w:color="000000" w:sz="4" w:space="0"/>
              <w:left w:val="single" w:color="000000" w:sz="4" w:space="0"/>
              <w:bottom w:val="single" w:color="000000" w:sz="4" w:space="0"/>
              <w:right w:val="single" w:color="auto" w:sz="4" w:space="0"/>
            </w:tcBorders>
            <w:noWrap w:val="0"/>
            <w:vAlign w:val="center"/>
          </w:tcPr>
          <w:p w14:paraId="38C200EE">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工程造价</w:t>
            </w:r>
          </w:p>
          <w:p w14:paraId="21FFBFF7">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监理措施</w:t>
            </w:r>
          </w:p>
          <w:p w14:paraId="45E15623">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41" w:type="dxa"/>
            <w:tcBorders>
              <w:top w:val="single" w:color="auto" w:sz="4" w:space="0"/>
              <w:left w:val="single" w:color="auto" w:sz="4" w:space="0"/>
              <w:bottom w:val="single" w:color="auto" w:sz="4" w:space="0"/>
              <w:right w:val="single" w:color="auto" w:sz="4" w:space="0"/>
            </w:tcBorders>
            <w:noWrap w:val="0"/>
            <w:vAlign w:val="center"/>
          </w:tcPr>
          <w:p w14:paraId="7894184C">
            <w:pPr>
              <w:pStyle w:val="110"/>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31B475E3">
            <w:pPr>
              <w:pStyle w:val="110"/>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06E7F1F6">
            <w:pPr>
              <w:pStyle w:val="110"/>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30CF66B8">
            <w:pPr>
              <w:pStyle w:val="110"/>
              <w:keepNext w:val="0"/>
              <w:keepLines w:val="0"/>
              <w:pageBreakBefore w:val="0"/>
              <w:widowControl w:val="0"/>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vMerge w:val="continue"/>
            <w:tcBorders>
              <w:top w:val="single" w:color="auto" w:sz="4" w:space="0"/>
              <w:left w:val="single" w:color="auto" w:sz="4" w:space="0"/>
              <w:bottom w:val="single" w:color="auto" w:sz="4" w:space="0"/>
              <w:right w:val="single" w:color="auto" w:sz="4" w:space="0"/>
            </w:tcBorders>
            <w:noWrap w:val="0"/>
            <w:vAlign w:val="center"/>
          </w:tcPr>
          <w:p w14:paraId="541C6262">
            <w:pPr>
              <w:pStyle w:val="110"/>
              <w:keepNext w:val="0"/>
              <w:keepLines w:val="0"/>
              <w:pageBreakBefore w:val="0"/>
              <w:widowControl w:val="0"/>
              <w:kinsoku/>
              <w:wordWrap w:val="0"/>
              <w:overflowPunct/>
              <w:topLinePunct w:val="0"/>
              <w:autoSpaceDE/>
              <w:autoSpaceDN/>
              <w:bidi w:val="0"/>
              <w:adjustRightInd/>
              <w:snapToGrid w:val="0"/>
              <w:spacing w:line="400" w:lineRule="exact"/>
              <w:textAlignment w:val="auto"/>
              <w:rPr>
                <w:rFonts w:hint="eastAsia" w:ascii="宋体" w:hAnsi="宋体" w:eastAsia="宋体" w:cs="宋体"/>
                <w:color w:val="auto"/>
                <w:kern w:val="0"/>
                <w:sz w:val="24"/>
                <w:szCs w:val="24"/>
                <w:highlight w:val="none"/>
              </w:rPr>
            </w:pPr>
          </w:p>
        </w:tc>
      </w:tr>
      <w:tr w14:paraId="37884F6A">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3087CDFF">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安全防护</w:t>
            </w:r>
          </w:p>
          <w:p w14:paraId="29B76934">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监理措施</w:t>
            </w:r>
          </w:p>
          <w:p w14:paraId="6690FA94">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41" w:type="dxa"/>
            <w:tcBorders>
              <w:top w:val="single" w:color="auto" w:sz="4" w:space="0"/>
              <w:left w:val="single" w:color="000000" w:sz="4" w:space="0"/>
              <w:bottom w:val="single" w:color="000000" w:sz="4" w:space="0"/>
              <w:right w:val="single" w:color="000000" w:sz="4" w:space="0"/>
            </w:tcBorders>
            <w:noWrap w:val="0"/>
            <w:vAlign w:val="center"/>
          </w:tcPr>
          <w:p w14:paraId="7D132941">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7A526C2D">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199A40D3">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4DF518F1">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vMerge w:val="continue"/>
            <w:tcBorders>
              <w:top w:val="single" w:color="auto" w:sz="4" w:space="0"/>
              <w:left w:val="single" w:color="000000" w:sz="4" w:space="0"/>
              <w:right w:val="single" w:color="auto" w:sz="4" w:space="0"/>
            </w:tcBorders>
            <w:noWrap w:val="0"/>
            <w:vAlign w:val="center"/>
          </w:tcPr>
          <w:p w14:paraId="03260D4F">
            <w:pPr>
              <w:pStyle w:val="110"/>
              <w:keepNext w:val="0"/>
              <w:keepLines w:val="0"/>
              <w:pageBreakBefore w:val="0"/>
              <w:widowControl w:val="0"/>
              <w:kinsoku/>
              <w:wordWrap w:val="0"/>
              <w:overflowPunct/>
              <w:topLinePunct w:val="0"/>
              <w:autoSpaceDE/>
              <w:autoSpaceDN/>
              <w:bidi w:val="0"/>
              <w:adjustRightInd/>
              <w:snapToGrid w:val="0"/>
              <w:spacing w:line="400" w:lineRule="exact"/>
              <w:textAlignment w:val="auto"/>
              <w:rPr>
                <w:rFonts w:hint="eastAsia" w:ascii="宋体" w:hAnsi="宋体" w:eastAsia="宋体" w:cs="宋体"/>
                <w:color w:val="auto"/>
                <w:kern w:val="0"/>
                <w:sz w:val="24"/>
                <w:szCs w:val="24"/>
                <w:highlight w:val="none"/>
              </w:rPr>
            </w:pPr>
          </w:p>
        </w:tc>
      </w:tr>
      <w:tr w14:paraId="51495A64">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1172BCEC">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绿色施工</w:t>
            </w:r>
          </w:p>
          <w:p w14:paraId="0C221BFB">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、文明施工</w:t>
            </w:r>
          </w:p>
          <w:p w14:paraId="31E21054">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监理措施</w:t>
            </w:r>
          </w:p>
          <w:p w14:paraId="2129A149">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09F02ABD">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005BEF12">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713BA410">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3B9E4652">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vMerge w:val="continue"/>
            <w:tcBorders>
              <w:left w:val="single" w:color="000000" w:sz="4" w:space="0"/>
              <w:bottom w:val="single" w:color="000000" w:sz="4" w:space="0"/>
              <w:right w:val="single" w:color="auto" w:sz="4" w:space="0"/>
            </w:tcBorders>
            <w:noWrap w:val="0"/>
            <w:vAlign w:val="center"/>
          </w:tcPr>
          <w:p w14:paraId="5D6CC703">
            <w:pPr>
              <w:pStyle w:val="110"/>
              <w:keepNext w:val="0"/>
              <w:keepLines w:val="0"/>
              <w:pageBreakBefore w:val="0"/>
              <w:widowControl w:val="0"/>
              <w:kinsoku/>
              <w:wordWrap w:val="0"/>
              <w:overflowPunct/>
              <w:topLinePunct w:val="0"/>
              <w:autoSpaceDE/>
              <w:autoSpaceDN/>
              <w:bidi w:val="0"/>
              <w:adjustRightInd/>
              <w:snapToGrid w:val="0"/>
              <w:spacing w:line="400" w:lineRule="exact"/>
              <w:textAlignment w:val="auto"/>
              <w:rPr>
                <w:rFonts w:hint="eastAsia" w:ascii="宋体" w:hAnsi="宋体" w:eastAsia="宋体" w:cs="宋体"/>
                <w:color w:val="auto"/>
                <w:kern w:val="0"/>
                <w:sz w:val="24"/>
                <w:szCs w:val="24"/>
                <w:highlight w:val="none"/>
              </w:rPr>
            </w:pPr>
          </w:p>
        </w:tc>
      </w:tr>
      <w:tr w14:paraId="362CDE2F">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0E467A7C">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合同、信息</w:t>
            </w:r>
          </w:p>
          <w:p w14:paraId="31FCD10E">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管理方案</w:t>
            </w:r>
          </w:p>
          <w:p w14:paraId="42F50B67">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2785D636">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172C9E0C">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2FB241DA">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658683FF">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15BE8CDA">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要求各项制度规范清晰，方法科学合理，措施及时有效，针对性强。能够切实防范和处理合同纠纷，提升监理工作效能。</w:t>
            </w:r>
          </w:p>
        </w:tc>
      </w:tr>
      <w:tr w14:paraId="2172DEEB">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40F62563">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组织协调</w:t>
            </w:r>
          </w:p>
          <w:p w14:paraId="5C2DD6FE">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内容及措施</w:t>
            </w:r>
          </w:p>
          <w:p w14:paraId="2522124E">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5D7FDC50">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4D5BF1AE">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6865E762">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33D41A28">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13F64F0E">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要求各项制度规范清晰，方法科学合理，措施及时有效，针对性强。能够高效收集、协调、处理、反馈各方各类问题。</w:t>
            </w:r>
          </w:p>
        </w:tc>
      </w:tr>
      <w:tr w14:paraId="288BA03D">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087613F4">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监理工作重点、难点分析</w:t>
            </w:r>
          </w:p>
          <w:p w14:paraId="38D0E3C3">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65D969D3">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7618814F">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6E022843">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07DEE290">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6497F5BF">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要求方法可行、措施具体、针对性强。</w:t>
            </w:r>
          </w:p>
        </w:tc>
      </w:tr>
      <w:tr w14:paraId="2B2ACF7B">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0E528CA0">
            <w:pPr>
              <w:pStyle w:val="98"/>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合理化建议</w:t>
            </w:r>
          </w:p>
          <w:p w14:paraId="6CEE714D">
            <w:pPr>
              <w:pStyle w:val="126"/>
              <w:keepNext w:val="0"/>
              <w:keepLines w:val="0"/>
              <w:pageBreakBefore w:val="0"/>
              <w:widowControl w:val="0"/>
              <w:kinsoku/>
              <w:wordWrap w:val="0"/>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41" w:type="dxa"/>
            <w:tcBorders>
              <w:top w:val="single" w:color="000000" w:sz="4" w:space="0"/>
              <w:left w:val="single" w:color="000000" w:sz="4" w:space="0"/>
              <w:bottom w:val="single" w:color="000000" w:sz="4" w:space="0"/>
              <w:right w:val="single" w:color="000000" w:sz="4" w:space="0"/>
            </w:tcBorders>
            <w:noWrap w:val="0"/>
            <w:vAlign w:val="center"/>
          </w:tcPr>
          <w:p w14:paraId="4BD6133C">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2BDFDE4E">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213E26B1">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4CAF5DA9">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【差】得该项因素分的60%～70%（含60%）。</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43EB7A57">
            <w:pPr>
              <w:pStyle w:val="110"/>
              <w:keepNext w:val="0"/>
              <w:keepLines w:val="0"/>
              <w:pageBreakBefore w:val="0"/>
              <w:widowControl w:val="0"/>
              <w:kinsoku/>
              <w:wordWrap w:val="0"/>
              <w:overflowPunct/>
              <w:topLinePunct w:val="0"/>
              <w:autoSpaceDE/>
              <w:autoSpaceDN/>
              <w:bidi w:val="0"/>
              <w:adjustRightInd/>
              <w:snapToGrid w:val="0"/>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要求方法可行、措施具体、针对性强。</w:t>
            </w:r>
          </w:p>
        </w:tc>
      </w:tr>
      <w:tr w14:paraId="3172C220">
        <w:tblPrEx>
          <w:tblCellMar>
            <w:top w:w="0" w:type="dxa"/>
            <w:left w:w="108" w:type="dxa"/>
            <w:bottom w:w="0" w:type="dxa"/>
            <w:right w:w="108" w:type="dxa"/>
          </w:tblCellMar>
        </w:tblPrEx>
        <w:trPr>
          <w:trHeight w:val="510" w:hRule="exact"/>
          <w:jc w:val="center"/>
        </w:trPr>
        <w:tc>
          <w:tcPr>
            <w:tcW w:w="9564"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265D30DF">
            <w:pPr>
              <w:pStyle w:val="110"/>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投标报价部分，满分：</w:t>
            </w:r>
            <w:r>
              <w:rPr>
                <w:rFonts w:hint="eastAsia" w:ascii="宋体" w:hAnsi="宋体" w:eastAsia="宋体" w:cs="宋体"/>
                <w:b/>
                <w:bCs/>
                <w:color w:val="auto"/>
                <w:kern w:val="0"/>
                <w:sz w:val="24"/>
                <w:szCs w:val="24"/>
                <w:highlight w:val="none"/>
                <w:u w:val="single"/>
                <w:lang w:val="en-US" w:eastAsia="zh-CN"/>
              </w:rPr>
              <w:t>25</w:t>
            </w:r>
            <w:r>
              <w:rPr>
                <w:rFonts w:hint="eastAsia" w:ascii="宋体" w:hAnsi="宋体" w:eastAsia="宋体" w:cs="宋体"/>
                <w:b/>
                <w:bCs/>
                <w:color w:val="auto"/>
                <w:kern w:val="0"/>
                <w:sz w:val="24"/>
                <w:szCs w:val="24"/>
                <w:highlight w:val="none"/>
              </w:rPr>
              <w:t>分。</w:t>
            </w:r>
          </w:p>
        </w:tc>
      </w:tr>
      <w:tr w14:paraId="6CEA7160">
        <w:tblPrEx>
          <w:tblCellMar>
            <w:top w:w="0" w:type="dxa"/>
            <w:left w:w="108" w:type="dxa"/>
            <w:bottom w:w="0" w:type="dxa"/>
            <w:right w:w="108" w:type="dxa"/>
          </w:tblCellMar>
        </w:tblPrEx>
        <w:trPr>
          <w:trHeight w:val="510" w:hRule="exac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3816EF2B">
            <w:pPr>
              <w:pStyle w:val="155"/>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评分事项</w:t>
            </w:r>
          </w:p>
        </w:tc>
        <w:tc>
          <w:tcPr>
            <w:tcW w:w="8194" w:type="dxa"/>
            <w:gridSpan w:val="2"/>
            <w:tcBorders>
              <w:top w:val="single" w:color="000000" w:sz="4" w:space="0"/>
              <w:left w:val="single" w:color="000000" w:sz="4" w:space="0"/>
              <w:bottom w:val="single" w:color="000000" w:sz="4" w:space="0"/>
              <w:right w:val="single" w:color="000000" w:sz="4" w:space="0"/>
            </w:tcBorders>
            <w:noWrap w:val="0"/>
            <w:vAlign w:val="center"/>
          </w:tcPr>
          <w:p w14:paraId="0E376BA1">
            <w:pPr>
              <w:pStyle w:val="155"/>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评分方法</w:t>
            </w:r>
          </w:p>
        </w:tc>
      </w:tr>
      <w:tr w14:paraId="192C693E">
        <w:tblPrEx>
          <w:tblCellMar>
            <w:top w:w="0" w:type="dxa"/>
            <w:left w:w="108" w:type="dxa"/>
            <w:bottom w:w="0" w:type="dxa"/>
            <w:right w:w="108" w:type="dxa"/>
          </w:tblCellMar>
        </w:tblPrEx>
        <w:trPr>
          <w:trHeight w:val="574"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5CE3B71C">
            <w:pPr>
              <w:pStyle w:val="126"/>
              <w:keepNext w:val="0"/>
              <w:keepLines w:val="0"/>
              <w:pageBreakBefore w:val="0"/>
              <w:widowControl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投标报价</w:t>
            </w:r>
          </w:p>
          <w:p w14:paraId="4E6D0910">
            <w:pPr>
              <w:pStyle w:val="126"/>
              <w:keepNext w:val="0"/>
              <w:keepLines w:val="0"/>
              <w:pageBreakBefore w:val="0"/>
              <w:widowControl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0"/>
                <w:sz w:val="24"/>
                <w:szCs w:val="24"/>
                <w:highlight w:val="none"/>
              </w:rPr>
            </w:pPr>
          </w:p>
        </w:tc>
        <w:tc>
          <w:tcPr>
            <w:tcW w:w="8194" w:type="dxa"/>
            <w:gridSpan w:val="2"/>
            <w:tcBorders>
              <w:top w:val="single" w:color="000000" w:sz="4" w:space="0"/>
              <w:left w:val="single" w:color="000000" w:sz="4" w:space="0"/>
              <w:bottom w:val="single" w:color="000000" w:sz="4" w:space="0"/>
              <w:right w:val="single" w:color="000000" w:sz="4" w:space="0"/>
            </w:tcBorders>
            <w:noWrap w:val="0"/>
            <w:vAlign w:val="center"/>
          </w:tcPr>
          <w:p w14:paraId="72E9D522">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（1）确定最高投标限价下浮系数n：用1～21号球分别代表一个下浮系数，由评委代表从这21个号码中随机抽取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次，每次抽取1个号码，抽出的号球不参与下次抽取。所抽取的3个号码对应下浮系数的算术平均值作为最高投标限价下浮系数n。具体号码对应的下浮系数可参考下表。</w:t>
            </w:r>
          </w:p>
          <w:tbl>
            <w:tblPr>
              <w:tblStyle w:val="31"/>
              <w:tblW w:w="7753" w:type="dxa"/>
              <w:tblInd w:w="113" w:type="dxa"/>
              <w:tblLayout w:type="fixed"/>
              <w:tblCellMar>
                <w:top w:w="0" w:type="dxa"/>
                <w:left w:w="108" w:type="dxa"/>
                <w:bottom w:w="0" w:type="dxa"/>
                <w:right w:w="108" w:type="dxa"/>
              </w:tblCellMar>
            </w:tblPr>
            <w:tblGrid>
              <w:gridCol w:w="1719"/>
              <w:gridCol w:w="862"/>
              <w:gridCol w:w="862"/>
              <w:gridCol w:w="862"/>
              <w:gridCol w:w="862"/>
              <w:gridCol w:w="862"/>
              <w:gridCol w:w="862"/>
              <w:gridCol w:w="862"/>
            </w:tblGrid>
            <w:tr w14:paraId="0D789BB8">
              <w:tblPrEx>
                <w:tblCellMar>
                  <w:top w:w="0" w:type="dxa"/>
                  <w:left w:w="108" w:type="dxa"/>
                  <w:bottom w:w="0" w:type="dxa"/>
                  <w:right w:w="108" w:type="dxa"/>
                </w:tblCellMar>
              </w:tblPrEx>
              <w:trPr>
                <w:trHeight w:val="454"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0E233F94">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号球</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BFDBED0">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F19ED50">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01442E1">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3</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3F57EB0">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7C0451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684A0F7">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6</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0D1C897">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7</w:t>
                  </w:r>
                </w:p>
              </w:tc>
            </w:tr>
            <w:tr w14:paraId="1F4102CB">
              <w:tblPrEx>
                <w:tblCellMar>
                  <w:top w:w="0" w:type="dxa"/>
                  <w:left w:w="108" w:type="dxa"/>
                  <w:bottom w:w="0" w:type="dxa"/>
                  <w:right w:w="108" w:type="dxa"/>
                </w:tblCellMar>
              </w:tblPrEx>
              <w:trPr>
                <w:trHeight w:val="454"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7E0BC0C5">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3311D74">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4F3C10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B123503">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1751171">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C82A9CA">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8FC42A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EF20129">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r>
            <w:tr w14:paraId="0B5E4B3F">
              <w:tblPrEx>
                <w:tblCellMar>
                  <w:top w:w="0" w:type="dxa"/>
                  <w:left w:w="108" w:type="dxa"/>
                  <w:bottom w:w="0" w:type="dxa"/>
                  <w:right w:w="108" w:type="dxa"/>
                </w:tblCellMar>
              </w:tblPrEx>
              <w:trPr>
                <w:trHeight w:val="454"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4DBFE8E2">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号球</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50958E9E">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C57D59C">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791273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DF4BE20">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E2ADE2F">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174127D">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13</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B4EF1FE">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14</w:t>
                  </w:r>
                </w:p>
              </w:tc>
            </w:tr>
            <w:tr w14:paraId="7A7A6347">
              <w:tblPrEx>
                <w:tblCellMar>
                  <w:top w:w="0" w:type="dxa"/>
                  <w:left w:w="108" w:type="dxa"/>
                  <w:bottom w:w="0" w:type="dxa"/>
                  <w:right w:w="108" w:type="dxa"/>
                </w:tblCellMar>
              </w:tblPrEx>
              <w:trPr>
                <w:trHeight w:val="454"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660795C1">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904C8E6">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2387598">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20570C8">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77223B6">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A586EA2">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474C4E3">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52312999">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r>
            <w:tr w14:paraId="0F1F446D">
              <w:tblPrEx>
                <w:tblCellMar>
                  <w:top w:w="0" w:type="dxa"/>
                  <w:left w:w="108" w:type="dxa"/>
                  <w:bottom w:w="0" w:type="dxa"/>
                  <w:right w:w="108" w:type="dxa"/>
                </w:tblCellMar>
              </w:tblPrEx>
              <w:trPr>
                <w:trHeight w:val="454"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022FB4E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号球</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181CA35">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B763312">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16</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0357F1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17</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4AAE184">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1AA304F">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D3297A3">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20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4C35A491">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21</w:t>
                  </w:r>
                </w:p>
              </w:tc>
            </w:tr>
            <w:tr w14:paraId="4C4A0516">
              <w:tblPrEx>
                <w:tblCellMar>
                  <w:top w:w="0" w:type="dxa"/>
                  <w:left w:w="108" w:type="dxa"/>
                  <w:bottom w:w="0" w:type="dxa"/>
                  <w:right w:w="108" w:type="dxa"/>
                </w:tblCellMar>
              </w:tblPrEx>
              <w:trPr>
                <w:trHeight w:val="454"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57F52C4E">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2D181FA">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AA24CD8">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70A7D00">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4E1EB0F">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04A733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1176805">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3969A3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3.0</w:t>
                  </w:r>
                </w:p>
              </w:tc>
            </w:tr>
          </w:tbl>
          <w:p w14:paraId="522898BA">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（2）评标基准价D＝最高投标限价×（1－n）</w:t>
            </w:r>
          </w:p>
          <w:p w14:paraId="419FA6DB">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snapToGrid w:val="0"/>
                <w:color w:val="auto"/>
                <w:kern w:val="0"/>
                <w:sz w:val="24"/>
                <w:szCs w:val="24"/>
                <w:highlight w:val="none"/>
              </w:rPr>
              <w:t>，即当投标人的投标总价等于评标基准价时得</w:t>
            </w:r>
            <w:r>
              <w:rPr>
                <w:rFonts w:hint="eastAsia" w:hAnsi="宋体" w:cs="宋体"/>
                <w:snapToGrid w:val="0"/>
                <w:color w:val="auto"/>
                <w:kern w:val="0"/>
                <w:sz w:val="24"/>
                <w:szCs w:val="24"/>
                <w:highlight w:val="none"/>
                <w:lang w:val="en-US" w:eastAsia="zh-CN"/>
              </w:rPr>
              <w:t>25</w:t>
            </w:r>
            <w:r>
              <w:rPr>
                <w:rFonts w:hint="eastAsia" w:ascii="宋体" w:hAnsi="宋体" w:eastAsia="宋体" w:cs="宋体"/>
                <w:snapToGrid w:val="0"/>
                <w:color w:val="auto"/>
                <w:kern w:val="0"/>
                <w:sz w:val="24"/>
                <w:szCs w:val="24"/>
                <w:highlight w:val="none"/>
              </w:rPr>
              <w:t>分，每高于评标基准价一个百分点扣</w:t>
            </w:r>
            <w:r>
              <w:rPr>
                <w:rFonts w:hint="eastAsia"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分, 每低于评标基准价一个百分点扣</w:t>
            </w:r>
            <w:r>
              <w:rPr>
                <w:rFonts w:hint="eastAsia" w:hAnsi="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分，扣完为止。公式如下：</w:t>
            </w:r>
          </w:p>
          <w:p w14:paraId="71925D7D">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25</w:t>
            </w:r>
            <w:r>
              <w:rPr>
                <w:rFonts w:hint="eastAsia" w:ascii="宋体" w:hAnsi="宋体" w:eastAsia="宋体" w:cs="宋体"/>
                <w:snapToGrid w:val="0"/>
                <w:color w:val="auto"/>
                <w:kern w:val="0"/>
                <w:sz w:val="24"/>
                <w:szCs w:val="24"/>
                <w:highlight w:val="none"/>
              </w:rPr>
              <w:t>－（| Di－D | ÷D）×100×E</w:t>
            </w:r>
          </w:p>
          <w:p w14:paraId="36487F77">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w:t>
            </w:r>
            <w:r>
              <w:rPr>
                <w:rFonts w:hint="eastAsia"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；当Di＜D时，E＝</w:t>
            </w:r>
            <w:r>
              <w:rPr>
                <w:rFonts w:hint="eastAsia" w:hAnsi="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p>
          <w:p w14:paraId="7CB978CB">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式中：</w:t>
            </w: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color w:val="auto"/>
                <w:sz w:val="24"/>
                <w:szCs w:val="24"/>
                <w:highlight w:val="none"/>
              </w:rPr>
              <w:t xml:space="preserve">=经济部分得分，保留小数点后两位。 </w:t>
            </w:r>
          </w:p>
        </w:tc>
      </w:tr>
    </w:tbl>
    <w:p w14:paraId="5A884232">
      <w:pPr>
        <w:wordWrap w:val="0"/>
        <w:adjustRightInd w:val="0"/>
        <w:snapToGrid w:val="0"/>
        <w:spacing w:line="440" w:lineRule="exact"/>
        <w:ind w:firstLine="480" w:firstLineChars="20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注：评分如出现小数点，则保留小数点后两位，第三位四舍五入。</w:t>
      </w:r>
    </w:p>
    <w:p w14:paraId="14FA8372">
      <w:pPr>
        <w:wordWrap w:val="0"/>
        <w:adjustRightInd w:val="0"/>
        <w:snapToGrid w:val="0"/>
        <w:spacing w:line="440" w:lineRule="exact"/>
        <w:ind w:firstLine="480" w:firstLineChars="200"/>
        <w:rPr>
          <w:rFonts w:hint="eastAsia" w:ascii="宋体" w:hAnsi="宋体" w:eastAsia="宋体" w:cs="宋体"/>
          <w:color w:val="auto"/>
          <w:kern w:val="0"/>
          <w:szCs w:val="24"/>
          <w:highlight w:val="none"/>
        </w:rPr>
      </w:pPr>
    </w:p>
    <w:p w14:paraId="284073A0">
      <w:pPr>
        <w:bidi w:val="0"/>
        <w:rPr>
          <w:color w:val="auto"/>
          <w:highlight w:val="none"/>
        </w:rPr>
      </w:pPr>
    </w:p>
    <w:p w14:paraId="547374B9">
      <w:pPr>
        <w:bidi w:val="0"/>
        <w:rPr>
          <w:color w:val="auto"/>
          <w:highlight w:val="none"/>
        </w:rPr>
      </w:pPr>
    </w:p>
    <w:p w14:paraId="3801798D">
      <w:pPr>
        <w:bidi w:val="0"/>
        <w:rPr>
          <w:color w:val="auto"/>
          <w:highlight w:val="none"/>
        </w:rPr>
      </w:pPr>
    </w:p>
    <w:p w14:paraId="0DE656D7">
      <w:pPr>
        <w:bidi w:val="0"/>
        <w:rPr>
          <w:color w:val="auto"/>
          <w:highlight w:val="none"/>
        </w:rPr>
      </w:pPr>
    </w:p>
    <w:p w14:paraId="11A71956">
      <w:pPr>
        <w:bidi w:val="0"/>
        <w:rPr>
          <w:color w:val="auto"/>
          <w:highlight w:val="none"/>
        </w:rPr>
      </w:pPr>
    </w:p>
    <w:p w14:paraId="3D919765">
      <w:pPr>
        <w:bidi w:val="0"/>
        <w:rPr>
          <w:color w:val="auto"/>
          <w:highlight w:val="none"/>
        </w:rPr>
      </w:pPr>
    </w:p>
    <w:p w14:paraId="17362E59">
      <w:pPr>
        <w:bidi w:val="0"/>
        <w:rPr>
          <w:color w:val="auto"/>
          <w:highlight w:val="none"/>
        </w:rPr>
      </w:pPr>
    </w:p>
    <w:p w14:paraId="42B2D1BE">
      <w:pPr>
        <w:wordWrap w:val="0"/>
        <w:adjustRightInd w:val="0"/>
        <w:snapToGrid w:val="0"/>
        <w:spacing w:after="240" w:afterLines="100" w:line="440" w:lineRule="exact"/>
        <w:jc w:val="center"/>
        <w:rPr>
          <w:rFonts w:hAnsi="宋体" w:cs="宋体"/>
          <w:b/>
          <w:bCs/>
          <w:snapToGrid w:val="0"/>
          <w:color w:val="auto"/>
          <w:kern w:val="0"/>
          <w:sz w:val="28"/>
          <w:szCs w:val="28"/>
          <w:highlight w:val="none"/>
        </w:rPr>
      </w:pPr>
      <w:r>
        <w:rPr>
          <w:rFonts w:hint="eastAsia" w:hAnsi="宋体" w:cs="宋体"/>
          <w:b/>
          <w:bCs/>
          <w:snapToGrid w:val="0"/>
          <w:color w:val="auto"/>
          <w:kern w:val="0"/>
          <w:sz w:val="28"/>
          <w:szCs w:val="28"/>
          <w:highlight w:val="none"/>
        </w:rPr>
        <w:t>表2 项目监理机构其他人员需求表</w:t>
      </w:r>
    </w:p>
    <w:tbl>
      <w:tblPr>
        <w:tblStyle w:val="31"/>
        <w:tblW w:w="9315" w:type="dxa"/>
        <w:tblInd w:w="32" w:type="dxa"/>
        <w:tblLayout w:type="autofit"/>
        <w:tblCellMar>
          <w:top w:w="0" w:type="dxa"/>
          <w:left w:w="108" w:type="dxa"/>
          <w:bottom w:w="0" w:type="dxa"/>
          <w:right w:w="108" w:type="dxa"/>
        </w:tblCellMar>
      </w:tblPr>
      <w:tblGrid>
        <w:gridCol w:w="1119"/>
        <w:gridCol w:w="1950"/>
        <w:gridCol w:w="1012"/>
        <w:gridCol w:w="5234"/>
      </w:tblGrid>
      <w:tr w14:paraId="207A5B3E">
        <w:tblPrEx>
          <w:tblCellMar>
            <w:top w:w="0" w:type="dxa"/>
            <w:left w:w="108" w:type="dxa"/>
            <w:bottom w:w="0" w:type="dxa"/>
            <w:right w:w="108" w:type="dxa"/>
          </w:tblCellMar>
        </w:tblPrEx>
        <w:trPr>
          <w:trHeight w:val="645" w:hRule="atLeast"/>
        </w:trPr>
        <w:tc>
          <w:tcPr>
            <w:tcW w:w="9315" w:type="dxa"/>
            <w:gridSpan w:val="4"/>
            <w:tcBorders>
              <w:top w:val="single" w:color="auto" w:sz="8" w:space="0"/>
              <w:left w:val="single" w:color="auto" w:sz="8" w:space="0"/>
              <w:bottom w:val="nil"/>
              <w:right w:val="single" w:color="000000" w:sz="8" w:space="0"/>
            </w:tcBorders>
            <w:vAlign w:val="center"/>
          </w:tcPr>
          <w:p w14:paraId="2AC7F590">
            <w:pPr>
              <w:widowControl/>
              <w:spacing w:line="240" w:lineRule="auto"/>
              <w:jc w:val="left"/>
              <w:rPr>
                <w:rFonts w:hAnsi="宋体" w:cs="宋体"/>
                <w:b/>
                <w:bCs/>
                <w:color w:val="auto"/>
                <w:kern w:val="0"/>
                <w:szCs w:val="24"/>
                <w:highlight w:val="none"/>
              </w:rPr>
            </w:pPr>
            <w:r>
              <w:rPr>
                <w:rFonts w:hint="eastAsia" w:hAnsi="宋体" w:cs="宋体"/>
                <w:b/>
                <w:bCs/>
                <w:color w:val="auto"/>
                <w:kern w:val="0"/>
                <w:szCs w:val="24"/>
                <w:highlight w:val="none"/>
              </w:rPr>
              <w:t>监理人员（除总监理工程师外）：共</w:t>
            </w:r>
            <w:r>
              <w:rPr>
                <w:rFonts w:hint="eastAsia" w:hAnsi="宋体" w:cs="宋体"/>
                <w:b/>
                <w:bCs/>
                <w:color w:val="auto"/>
                <w:kern w:val="0"/>
                <w:szCs w:val="24"/>
                <w:highlight w:val="none"/>
                <w:u w:val="single"/>
                <w:lang w:val="en-US" w:eastAsia="zh-CN"/>
              </w:rPr>
              <w:t>4</w:t>
            </w:r>
            <w:r>
              <w:rPr>
                <w:rFonts w:hint="eastAsia" w:hAnsi="宋体" w:cs="宋体"/>
                <w:b/>
                <w:bCs/>
                <w:color w:val="auto"/>
                <w:kern w:val="0"/>
                <w:szCs w:val="24"/>
                <w:highlight w:val="none"/>
              </w:rPr>
              <w:t>人</w:t>
            </w:r>
          </w:p>
        </w:tc>
      </w:tr>
      <w:tr w14:paraId="6DE02C40">
        <w:tblPrEx>
          <w:tblCellMar>
            <w:top w:w="0" w:type="dxa"/>
            <w:left w:w="108" w:type="dxa"/>
            <w:bottom w:w="0" w:type="dxa"/>
            <w:right w:w="108" w:type="dxa"/>
          </w:tblCellMar>
        </w:tblPrEx>
        <w:trPr>
          <w:trHeight w:val="681" w:hRule="atLeast"/>
        </w:trPr>
        <w:tc>
          <w:tcPr>
            <w:tcW w:w="1119" w:type="dxa"/>
            <w:tcBorders>
              <w:top w:val="single" w:color="auto" w:sz="4" w:space="0"/>
              <w:left w:val="single" w:color="auto" w:sz="4" w:space="0"/>
              <w:bottom w:val="single" w:color="auto" w:sz="4" w:space="0"/>
              <w:right w:val="single" w:color="auto" w:sz="4" w:space="0"/>
            </w:tcBorders>
            <w:vAlign w:val="center"/>
          </w:tcPr>
          <w:p w14:paraId="0E5F078E">
            <w:pPr>
              <w:jc w:val="center"/>
              <w:rPr>
                <w:color w:val="auto"/>
                <w:highlight w:val="none"/>
              </w:rPr>
            </w:pPr>
            <w:r>
              <w:rPr>
                <w:rFonts w:hint="eastAsia"/>
                <w:color w:val="auto"/>
                <w:highlight w:val="none"/>
              </w:rPr>
              <w:t>职务</w:t>
            </w:r>
          </w:p>
        </w:tc>
        <w:tc>
          <w:tcPr>
            <w:tcW w:w="1950" w:type="dxa"/>
            <w:tcBorders>
              <w:top w:val="single" w:color="auto" w:sz="4" w:space="0"/>
              <w:left w:val="single" w:color="auto" w:sz="4" w:space="0"/>
              <w:bottom w:val="single" w:color="auto" w:sz="4" w:space="0"/>
              <w:right w:val="single" w:color="auto" w:sz="4" w:space="0"/>
            </w:tcBorders>
            <w:vAlign w:val="center"/>
          </w:tcPr>
          <w:p w14:paraId="54C12C69">
            <w:pPr>
              <w:jc w:val="center"/>
              <w:rPr>
                <w:color w:val="auto"/>
                <w:highlight w:val="none"/>
              </w:rPr>
            </w:pPr>
            <w:r>
              <w:rPr>
                <w:rFonts w:hint="eastAsia"/>
                <w:color w:val="auto"/>
                <w:highlight w:val="none"/>
              </w:rPr>
              <w:t>专业要求</w:t>
            </w:r>
          </w:p>
        </w:tc>
        <w:tc>
          <w:tcPr>
            <w:tcW w:w="1012" w:type="dxa"/>
            <w:tcBorders>
              <w:top w:val="single" w:color="auto" w:sz="4" w:space="0"/>
              <w:left w:val="nil"/>
              <w:bottom w:val="single" w:color="auto" w:sz="4" w:space="0"/>
              <w:right w:val="single" w:color="auto" w:sz="4" w:space="0"/>
            </w:tcBorders>
            <w:vAlign w:val="center"/>
          </w:tcPr>
          <w:p w14:paraId="29E69088">
            <w:pPr>
              <w:jc w:val="center"/>
              <w:rPr>
                <w:color w:val="auto"/>
                <w:highlight w:val="none"/>
              </w:rPr>
            </w:pPr>
            <w:r>
              <w:rPr>
                <w:rFonts w:hint="eastAsia"/>
                <w:color w:val="auto"/>
                <w:highlight w:val="none"/>
              </w:rPr>
              <w:t>数量</w:t>
            </w:r>
          </w:p>
          <w:p w14:paraId="00DA76EC">
            <w:pPr>
              <w:jc w:val="center"/>
              <w:rPr>
                <w:color w:val="auto"/>
                <w:highlight w:val="none"/>
              </w:rPr>
            </w:pPr>
            <w:r>
              <w:rPr>
                <w:rFonts w:hint="eastAsia"/>
                <w:color w:val="auto"/>
                <w:highlight w:val="none"/>
              </w:rPr>
              <w:t>要求</w:t>
            </w:r>
          </w:p>
        </w:tc>
        <w:tc>
          <w:tcPr>
            <w:tcW w:w="5234" w:type="dxa"/>
            <w:tcBorders>
              <w:top w:val="single" w:color="auto" w:sz="4" w:space="0"/>
              <w:left w:val="single" w:color="auto" w:sz="4" w:space="0"/>
              <w:bottom w:val="single" w:color="auto" w:sz="4" w:space="0"/>
              <w:right w:val="single" w:color="auto" w:sz="4" w:space="0"/>
            </w:tcBorders>
            <w:vAlign w:val="center"/>
          </w:tcPr>
          <w:p w14:paraId="3AE81202">
            <w:pPr>
              <w:jc w:val="center"/>
              <w:rPr>
                <w:color w:val="auto"/>
                <w:highlight w:val="none"/>
              </w:rPr>
            </w:pPr>
            <w:r>
              <w:rPr>
                <w:rFonts w:hint="eastAsia"/>
                <w:color w:val="auto"/>
                <w:highlight w:val="none"/>
              </w:rPr>
              <w:t>持证要求</w:t>
            </w:r>
          </w:p>
        </w:tc>
      </w:tr>
      <w:tr w14:paraId="699F32F3">
        <w:tblPrEx>
          <w:tblCellMar>
            <w:top w:w="0" w:type="dxa"/>
            <w:left w:w="108" w:type="dxa"/>
            <w:bottom w:w="0" w:type="dxa"/>
            <w:right w:w="108" w:type="dxa"/>
          </w:tblCellMar>
        </w:tblPrEx>
        <w:trPr>
          <w:trHeight w:val="2636" w:hRule="atLeast"/>
        </w:trPr>
        <w:tc>
          <w:tcPr>
            <w:tcW w:w="1119" w:type="dxa"/>
            <w:tcBorders>
              <w:top w:val="single" w:color="auto" w:sz="4" w:space="0"/>
              <w:left w:val="single" w:color="auto" w:sz="4" w:space="0"/>
              <w:bottom w:val="single" w:color="auto" w:sz="4" w:space="0"/>
              <w:right w:val="single" w:color="auto" w:sz="4" w:space="0"/>
            </w:tcBorders>
            <w:vAlign w:val="center"/>
          </w:tcPr>
          <w:p w14:paraId="00F9F43D">
            <w:pPr>
              <w:pStyle w:val="88"/>
              <w:wordWrap w:val="0"/>
              <w:adjustRightInd w:val="0"/>
              <w:snapToGrid w:val="0"/>
              <w:spacing w:line="360" w:lineRule="exact"/>
              <w:jc w:val="center"/>
              <w:rPr>
                <w:rFonts w:hint="eastAsia"/>
                <w:color w:val="auto"/>
                <w:highlight w:val="none"/>
              </w:rPr>
            </w:pPr>
            <w:r>
              <w:rPr>
                <w:rFonts w:hint="eastAsia" w:ascii="宋体" w:hAnsi="宋体"/>
                <w:snapToGrid w:val="0"/>
                <w:color w:val="auto"/>
                <w:kern w:val="0"/>
                <w:sz w:val="24"/>
                <w:highlight w:val="none"/>
                <w:lang w:val="en-US" w:eastAsia="zh-CN"/>
              </w:rPr>
              <w:t>总监代表</w:t>
            </w:r>
          </w:p>
        </w:tc>
        <w:tc>
          <w:tcPr>
            <w:tcW w:w="1950" w:type="dxa"/>
            <w:tcBorders>
              <w:top w:val="single" w:color="auto" w:sz="4" w:space="0"/>
              <w:left w:val="single" w:color="auto" w:sz="4" w:space="0"/>
              <w:bottom w:val="single" w:color="auto" w:sz="4" w:space="0"/>
              <w:right w:val="single" w:color="auto" w:sz="4" w:space="0"/>
            </w:tcBorders>
            <w:vAlign w:val="center"/>
          </w:tcPr>
          <w:p w14:paraId="32D8F1A7">
            <w:pPr>
              <w:widowControl/>
              <w:spacing w:line="360" w:lineRule="auto"/>
              <w:jc w:val="center"/>
              <w:rPr>
                <w:rFonts w:hint="eastAsia"/>
                <w:color w:val="auto"/>
                <w:highlight w:val="none"/>
              </w:rPr>
            </w:pPr>
            <w:r>
              <w:rPr>
                <w:rFonts w:hint="eastAsia"/>
                <w:color w:val="auto"/>
                <w:highlight w:val="none"/>
                <w:lang w:val="en-US" w:eastAsia="zh-CN"/>
              </w:rPr>
              <w:t>房屋建筑</w:t>
            </w:r>
            <w:r>
              <w:rPr>
                <w:rFonts w:hint="eastAsia"/>
                <w:color w:val="auto"/>
                <w:highlight w:val="none"/>
              </w:rPr>
              <w:t>工程</w:t>
            </w:r>
          </w:p>
          <w:p w14:paraId="57D1944A">
            <w:pPr>
              <w:pStyle w:val="88"/>
              <w:wordWrap w:val="0"/>
              <w:adjustRightInd w:val="0"/>
              <w:snapToGrid w:val="0"/>
              <w:spacing w:line="300" w:lineRule="exact"/>
              <w:jc w:val="center"/>
              <w:rPr>
                <w:rFonts w:hint="eastAsia"/>
                <w:color w:val="auto"/>
                <w:highlight w:val="none"/>
              </w:rPr>
            </w:pPr>
            <w:r>
              <w:rPr>
                <w:rFonts w:hint="eastAsia" w:ascii="宋体" w:hAnsi="宋体"/>
                <w:snapToGrid w:val="0"/>
                <w:color w:val="auto"/>
                <w:kern w:val="0"/>
                <w:sz w:val="24"/>
                <w:highlight w:val="none"/>
              </w:rPr>
              <w:t>专业</w:t>
            </w:r>
          </w:p>
        </w:tc>
        <w:tc>
          <w:tcPr>
            <w:tcW w:w="1012" w:type="dxa"/>
            <w:tcBorders>
              <w:top w:val="single" w:color="auto" w:sz="4" w:space="0"/>
              <w:left w:val="nil"/>
              <w:bottom w:val="single" w:color="auto" w:sz="4" w:space="0"/>
              <w:right w:val="single" w:color="auto" w:sz="4" w:space="0"/>
            </w:tcBorders>
            <w:vAlign w:val="center"/>
          </w:tcPr>
          <w:p w14:paraId="04E2356C">
            <w:pPr>
              <w:pStyle w:val="88"/>
              <w:wordWrap w:val="0"/>
              <w:adjustRightInd w:val="0"/>
              <w:snapToGrid w:val="0"/>
              <w:spacing w:line="300" w:lineRule="exact"/>
              <w:jc w:val="center"/>
              <w:rPr>
                <w:rFonts w:hint="eastAsia"/>
                <w:color w:val="auto"/>
                <w:highlight w:val="none"/>
              </w:rPr>
            </w:pPr>
            <w:r>
              <w:rPr>
                <w:rFonts w:hint="eastAsia" w:ascii="宋体" w:hAnsi="宋体"/>
                <w:snapToGrid w:val="0"/>
                <w:color w:val="auto"/>
                <w:kern w:val="0"/>
                <w:sz w:val="24"/>
                <w:highlight w:val="none"/>
                <w:lang w:val="en-US" w:eastAsia="zh-CN"/>
              </w:rPr>
              <w:t>1</w:t>
            </w:r>
          </w:p>
        </w:tc>
        <w:tc>
          <w:tcPr>
            <w:tcW w:w="5234" w:type="dxa"/>
            <w:vMerge w:val="restart"/>
            <w:tcBorders>
              <w:top w:val="single" w:color="auto" w:sz="4" w:space="0"/>
              <w:left w:val="single" w:color="auto" w:sz="4" w:space="0"/>
              <w:right w:val="single" w:color="auto" w:sz="4" w:space="0"/>
            </w:tcBorders>
            <w:vAlign w:val="center"/>
          </w:tcPr>
          <w:p w14:paraId="2DF1AE3C">
            <w:pPr>
              <w:widowControl/>
              <w:spacing w:line="440" w:lineRule="exact"/>
              <w:rPr>
                <w:rFonts w:hint="eastAsia" w:ascii="宋体" w:hAnsi="宋体" w:eastAsia="宋体" w:cs="宋体"/>
                <w:color w:val="auto"/>
                <w:highlight w:val="none"/>
              </w:rPr>
            </w:pPr>
            <w:r>
              <w:rPr>
                <w:rFonts w:hint="eastAsia" w:ascii="宋体" w:hAnsi="宋体"/>
                <w:snapToGrid w:val="0"/>
                <w:color w:val="auto"/>
                <w:kern w:val="0"/>
                <w:sz w:val="24"/>
                <w:highlight w:val="none"/>
                <w:lang w:val="en-US" w:eastAsia="zh-CN"/>
              </w:rPr>
              <w:t>总监代表</w:t>
            </w:r>
            <w:r>
              <w:rPr>
                <w:rFonts w:hint="eastAsia" w:hAnsi="宋体"/>
                <w:snapToGrid w:val="0"/>
                <w:color w:val="auto"/>
                <w:kern w:val="0"/>
                <w:sz w:val="24"/>
                <w:highlight w:val="none"/>
                <w:lang w:val="en-US" w:eastAsia="zh-CN"/>
              </w:rPr>
              <w:t>、</w:t>
            </w:r>
            <w:r>
              <w:rPr>
                <w:rFonts w:hint="eastAsia" w:ascii="宋体" w:hAnsi="宋体" w:eastAsia="宋体" w:cs="宋体"/>
                <w:color w:val="auto"/>
                <w:highlight w:val="none"/>
              </w:rPr>
              <w:t>专业监理工程师符合以下3种情形之一均可：</w:t>
            </w:r>
          </w:p>
          <w:p w14:paraId="265366D6">
            <w:pPr>
              <w:widowControl/>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1．具备所需专业注册监理工程师执业资格，持有效的注册证书；</w:t>
            </w:r>
          </w:p>
          <w:p w14:paraId="2273A830">
            <w:pPr>
              <w:widowControl/>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2．具备工程类注册执业资格，并经监理业务培训。持有效的注册证书、省级建设行政主管部门或其授权的组织（机构）颁发的岗位证书；</w:t>
            </w:r>
          </w:p>
          <w:p w14:paraId="53752E3C">
            <w:pPr>
              <w:widowControl/>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3．具备中级及以上专业技术职称，并经监理业务培训，持有效的职称证书、省级建设行政主管部门或其授权的组织（机构）颁发的岗位证书。</w:t>
            </w:r>
          </w:p>
          <w:p w14:paraId="6D20130A">
            <w:pPr>
              <w:widowControl/>
              <w:spacing w:line="440" w:lineRule="exact"/>
              <w:rPr>
                <w:rFonts w:hAnsi="宋体" w:cs="宋体"/>
                <w:color w:val="auto"/>
                <w:kern w:val="0"/>
                <w:szCs w:val="24"/>
                <w:highlight w:val="none"/>
              </w:rPr>
            </w:pPr>
            <w:r>
              <w:rPr>
                <w:rFonts w:hint="eastAsia" w:ascii="宋体" w:hAnsi="宋体" w:eastAsia="宋体" w:cs="宋体"/>
                <w:color w:val="auto"/>
                <w:highlight w:val="none"/>
              </w:rPr>
              <w:t>注：专业类别以注册证书或专业监理工程师证书或职称证书或毕业证所列明的专业为准。</w:t>
            </w:r>
          </w:p>
        </w:tc>
      </w:tr>
      <w:tr w14:paraId="5FF3AD35">
        <w:tblPrEx>
          <w:tblCellMar>
            <w:top w:w="0" w:type="dxa"/>
            <w:left w:w="108" w:type="dxa"/>
            <w:bottom w:w="0" w:type="dxa"/>
            <w:right w:w="108" w:type="dxa"/>
          </w:tblCellMar>
        </w:tblPrEx>
        <w:trPr>
          <w:trHeight w:val="2149" w:hRule="atLeast"/>
        </w:trPr>
        <w:tc>
          <w:tcPr>
            <w:tcW w:w="1119" w:type="dxa"/>
            <w:tcBorders>
              <w:top w:val="single" w:color="auto" w:sz="4" w:space="0"/>
              <w:left w:val="single" w:color="auto" w:sz="4" w:space="0"/>
              <w:right w:val="single" w:color="auto" w:sz="4" w:space="0"/>
            </w:tcBorders>
            <w:vAlign w:val="center"/>
          </w:tcPr>
          <w:p w14:paraId="576B524F">
            <w:pPr>
              <w:widowControl/>
              <w:spacing w:line="440" w:lineRule="exact"/>
              <w:jc w:val="center"/>
              <w:rPr>
                <w:color w:val="auto"/>
                <w:highlight w:val="none"/>
              </w:rPr>
            </w:pPr>
            <w:r>
              <w:rPr>
                <w:rFonts w:hint="eastAsia"/>
                <w:color w:val="auto"/>
                <w:highlight w:val="none"/>
              </w:rPr>
              <w:t>专业监理工程师</w:t>
            </w:r>
          </w:p>
        </w:tc>
        <w:tc>
          <w:tcPr>
            <w:tcW w:w="1950" w:type="dxa"/>
            <w:tcBorders>
              <w:top w:val="single" w:color="auto" w:sz="4" w:space="0"/>
              <w:left w:val="single" w:color="auto" w:sz="4" w:space="0"/>
              <w:right w:val="single" w:color="auto" w:sz="4" w:space="0"/>
            </w:tcBorders>
            <w:vAlign w:val="center"/>
          </w:tcPr>
          <w:p w14:paraId="6CF395FB">
            <w:pPr>
              <w:widowControl/>
              <w:spacing w:line="360" w:lineRule="auto"/>
              <w:jc w:val="center"/>
              <w:rPr>
                <w:rFonts w:hint="eastAsia"/>
                <w:color w:val="auto"/>
                <w:highlight w:val="none"/>
              </w:rPr>
            </w:pPr>
            <w:r>
              <w:rPr>
                <w:rFonts w:hint="eastAsia"/>
                <w:color w:val="auto"/>
                <w:highlight w:val="none"/>
                <w:lang w:val="en-US" w:eastAsia="zh-CN"/>
              </w:rPr>
              <w:t>房屋建筑</w:t>
            </w:r>
            <w:r>
              <w:rPr>
                <w:rFonts w:hint="eastAsia"/>
                <w:color w:val="auto"/>
                <w:highlight w:val="none"/>
              </w:rPr>
              <w:t>工程</w:t>
            </w:r>
          </w:p>
          <w:p w14:paraId="0C129668">
            <w:pPr>
              <w:widowControl/>
              <w:spacing w:line="360" w:lineRule="auto"/>
              <w:jc w:val="center"/>
              <w:rPr>
                <w:rFonts w:hint="eastAsia" w:eastAsia="宋体"/>
                <w:color w:val="auto"/>
                <w:highlight w:val="none"/>
                <w:lang w:val="en-US" w:eastAsia="zh-CN"/>
              </w:rPr>
            </w:pPr>
            <w:r>
              <w:rPr>
                <w:rFonts w:hint="eastAsia"/>
                <w:color w:val="auto"/>
                <w:highlight w:val="none"/>
              </w:rPr>
              <w:t>专业</w:t>
            </w:r>
          </w:p>
        </w:tc>
        <w:tc>
          <w:tcPr>
            <w:tcW w:w="1012" w:type="dxa"/>
            <w:tcBorders>
              <w:top w:val="single" w:color="auto" w:sz="4" w:space="0"/>
              <w:left w:val="nil"/>
              <w:bottom w:val="single" w:color="auto" w:sz="4" w:space="0"/>
              <w:right w:val="single" w:color="auto" w:sz="4" w:space="0"/>
            </w:tcBorders>
            <w:vAlign w:val="center"/>
          </w:tcPr>
          <w:p w14:paraId="2E19DC76">
            <w:pPr>
              <w:widowControl/>
              <w:spacing w:line="240" w:lineRule="auto"/>
              <w:jc w:val="center"/>
              <w:rPr>
                <w:color w:val="auto"/>
                <w:highlight w:val="none"/>
              </w:rPr>
            </w:pPr>
            <w:r>
              <w:rPr>
                <w:rFonts w:hint="eastAsia"/>
                <w:color w:val="auto"/>
                <w:highlight w:val="none"/>
                <w:lang w:val="en-US" w:eastAsia="zh-CN"/>
              </w:rPr>
              <w:t>1</w:t>
            </w:r>
          </w:p>
        </w:tc>
        <w:tc>
          <w:tcPr>
            <w:tcW w:w="5234" w:type="dxa"/>
            <w:vMerge w:val="continue"/>
            <w:tcBorders>
              <w:left w:val="single" w:color="auto" w:sz="4" w:space="0"/>
              <w:right w:val="single" w:color="auto" w:sz="4" w:space="0"/>
            </w:tcBorders>
            <w:vAlign w:val="center"/>
          </w:tcPr>
          <w:p w14:paraId="0B67FE8D">
            <w:pPr>
              <w:widowControl/>
              <w:spacing w:line="440" w:lineRule="exact"/>
              <w:rPr>
                <w:rFonts w:hAnsi="宋体" w:cs="宋体"/>
                <w:color w:val="auto"/>
                <w:kern w:val="0"/>
                <w:szCs w:val="24"/>
                <w:highlight w:val="none"/>
              </w:rPr>
            </w:pPr>
          </w:p>
        </w:tc>
      </w:tr>
      <w:tr w14:paraId="4C8C522F">
        <w:tblPrEx>
          <w:tblCellMar>
            <w:top w:w="0" w:type="dxa"/>
            <w:left w:w="108" w:type="dxa"/>
            <w:bottom w:w="0" w:type="dxa"/>
            <w:right w:w="108" w:type="dxa"/>
          </w:tblCellMar>
        </w:tblPrEx>
        <w:trPr>
          <w:trHeight w:val="731" w:hRule="atLeast"/>
        </w:trPr>
        <w:tc>
          <w:tcPr>
            <w:tcW w:w="1119" w:type="dxa"/>
            <w:tcBorders>
              <w:top w:val="single" w:color="auto" w:sz="4" w:space="0"/>
              <w:left w:val="single" w:color="auto" w:sz="4" w:space="0"/>
              <w:right w:val="single" w:color="auto" w:sz="4" w:space="0"/>
            </w:tcBorders>
            <w:vAlign w:val="center"/>
          </w:tcPr>
          <w:p w14:paraId="671CC448">
            <w:pPr>
              <w:widowControl/>
              <w:spacing w:line="440" w:lineRule="exact"/>
              <w:jc w:val="center"/>
              <w:rPr>
                <w:rFonts w:hint="eastAsia"/>
                <w:color w:val="auto"/>
                <w:highlight w:val="none"/>
              </w:rPr>
            </w:pPr>
            <w:r>
              <w:rPr>
                <w:rFonts w:hint="eastAsia" w:ascii="宋体" w:hAnsi="宋体"/>
                <w:snapToGrid w:val="0"/>
                <w:color w:val="auto"/>
                <w:kern w:val="0"/>
                <w:sz w:val="24"/>
                <w:highlight w:val="none"/>
              </w:rPr>
              <w:t>造价工程师</w:t>
            </w:r>
          </w:p>
        </w:tc>
        <w:tc>
          <w:tcPr>
            <w:tcW w:w="1950" w:type="dxa"/>
            <w:tcBorders>
              <w:top w:val="single" w:color="auto" w:sz="4" w:space="0"/>
              <w:left w:val="single" w:color="auto" w:sz="4" w:space="0"/>
              <w:right w:val="single" w:color="auto" w:sz="4" w:space="0"/>
            </w:tcBorders>
            <w:vAlign w:val="center"/>
          </w:tcPr>
          <w:p w14:paraId="306BCF68">
            <w:pPr>
              <w:pStyle w:val="88"/>
              <w:wordWrap w:val="0"/>
              <w:adjustRightInd w:val="0"/>
              <w:snapToGrid w:val="0"/>
              <w:spacing w:line="360" w:lineRule="exact"/>
              <w:jc w:val="center"/>
              <w:rPr>
                <w:rFonts w:hint="eastAsia" w:ascii="宋体" w:hAnsi="宋体"/>
                <w:snapToGrid w:val="0"/>
                <w:color w:val="auto"/>
                <w:kern w:val="0"/>
                <w:sz w:val="24"/>
                <w:highlight w:val="none"/>
              </w:rPr>
            </w:pPr>
            <w:r>
              <w:rPr>
                <w:rFonts w:hint="eastAsia" w:ascii="宋体" w:hAnsi="宋体"/>
                <w:snapToGrid w:val="0"/>
                <w:color w:val="auto"/>
                <w:kern w:val="0"/>
                <w:sz w:val="24"/>
                <w:highlight w:val="none"/>
              </w:rPr>
              <w:t>注册</w:t>
            </w:r>
          </w:p>
          <w:p w14:paraId="027E71EF">
            <w:pPr>
              <w:pStyle w:val="88"/>
              <w:wordWrap w:val="0"/>
              <w:adjustRightInd w:val="0"/>
              <w:snapToGrid w:val="0"/>
              <w:spacing w:line="360" w:lineRule="exact"/>
              <w:jc w:val="center"/>
              <w:rPr>
                <w:rFonts w:hint="eastAsia"/>
                <w:color w:val="auto"/>
                <w:highlight w:val="none"/>
              </w:rPr>
            </w:pPr>
            <w:r>
              <w:rPr>
                <w:rFonts w:hint="eastAsia" w:ascii="宋体" w:hAnsi="宋体"/>
                <w:snapToGrid w:val="0"/>
                <w:color w:val="auto"/>
                <w:kern w:val="0"/>
                <w:sz w:val="24"/>
                <w:highlight w:val="none"/>
              </w:rPr>
              <w:t>造价工程师</w:t>
            </w:r>
          </w:p>
        </w:tc>
        <w:tc>
          <w:tcPr>
            <w:tcW w:w="1012" w:type="dxa"/>
            <w:tcBorders>
              <w:top w:val="single" w:color="auto" w:sz="4" w:space="0"/>
              <w:left w:val="nil"/>
              <w:bottom w:val="single" w:color="auto" w:sz="4" w:space="0"/>
              <w:right w:val="single" w:color="auto" w:sz="4" w:space="0"/>
            </w:tcBorders>
            <w:vAlign w:val="center"/>
          </w:tcPr>
          <w:p w14:paraId="5DB7CD9A">
            <w:pPr>
              <w:pStyle w:val="88"/>
              <w:wordWrap w:val="0"/>
              <w:adjustRightInd w:val="0"/>
              <w:snapToGrid w:val="0"/>
              <w:spacing w:line="360" w:lineRule="exact"/>
              <w:jc w:val="center"/>
              <w:rPr>
                <w:rFonts w:hint="eastAsia"/>
                <w:color w:val="auto"/>
                <w:highlight w:val="none"/>
                <w:lang w:val="en-US" w:eastAsia="zh-CN"/>
              </w:rPr>
            </w:pPr>
            <w:r>
              <w:rPr>
                <w:rFonts w:hint="eastAsia" w:ascii="宋体" w:hAnsi="宋体"/>
                <w:snapToGrid w:val="0"/>
                <w:color w:val="auto"/>
                <w:kern w:val="0"/>
                <w:sz w:val="24"/>
                <w:highlight w:val="none"/>
              </w:rPr>
              <w:t>1</w:t>
            </w:r>
          </w:p>
        </w:tc>
        <w:tc>
          <w:tcPr>
            <w:tcW w:w="5234" w:type="dxa"/>
            <w:tcBorders>
              <w:top w:val="single" w:color="auto" w:sz="4" w:space="0"/>
              <w:left w:val="single" w:color="auto" w:sz="4" w:space="0"/>
              <w:right w:val="single" w:color="auto" w:sz="4" w:space="0"/>
            </w:tcBorders>
            <w:vAlign w:val="center"/>
          </w:tcPr>
          <w:p w14:paraId="3B9DC0F2">
            <w:pPr>
              <w:pStyle w:val="88"/>
              <w:wordWrap w:val="0"/>
              <w:adjustRightInd w:val="0"/>
              <w:snapToGrid w:val="0"/>
              <w:spacing w:line="360" w:lineRule="exact"/>
              <w:rPr>
                <w:rFonts w:hint="eastAsia" w:ascii="宋体" w:hAnsi="宋体" w:eastAsia="宋体" w:cs="宋体"/>
                <w:color w:val="auto"/>
                <w:highlight w:val="none"/>
              </w:rPr>
            </w:pPr>
            <w:r>
              <w:rPr>
                <w:rFonts w:hint="eastAsia" w:ascii="宋体" w:hAnsi="宋体"/>
                <w:snapToGrid w:val="0"/>
                <w:color w:val="auto"/>
                <w:kern w:val="0"/>
                <w:sz w:val="24"/>
                <w:highlight w:val="none"/>
              </w:rPr>
              <w:t>具备国家注册造价工程师资格（有效期内）</w:t>
            </w:r>
          </w:p>
        </w:tc>
      </w:tr>
      <w:tr w14:paraId="52FED773">
        <w:tblPrEx>
          <w:tblCellMar>
            <w:top w:w="0" w:type="dxa"/>
            <w:left w:w="108" w:type="dxa"/>
            <w:bottom w:w="0" w:type="dxa"/>
            <w:right w:w="108" w:type="dxa"/>
          </w:tblCellMar>
        </w:tblPrEx>
        <w:trPr>
          <w:trHeight w:val="1110" w:hRule="atLeast"/>
        </w:trPr>
        <w:tc>
          <w:tcPr>
            <w:tcW w:w="1119" w:type="dxa"/>
            <w:tcBorders>
              <w:top w:val="single" w:color="auto" w:sz="4" w:space="0"/>
              <w:left w:val="single" w:color="auto" w:sz="4" w:space="0"/>
              <w:bottom w:val="single" w:color="auto" w:sz="4" w:space="0"/>
              <w:right w:val="single" w:color="auto" w:sz="4" w:space="0"/>
            </w:tcBorders>
            <w:vAlign w:val="center"/>
          </w:tcPr>
          <w:p w14:paraId="33AA7C8C">
            <w:pPr>
              <w:pStyle w:val="88"/>
              <w:wordWrap w:val="0"/>
              <w:adjustRightInd w:val="0"/>
              <w:snapToGrid w:val="0"/>
              <w:spacing w:line="360" w:lineRule="exact"/>
              <w:jc w:val="center"/>
              <w:rPr>
                <w:rFonts w:hint="eastAsia"/>
                <w:color w:val="auto"/>
                <w:highlight w:val="none"/>
              </w:rPr>
            </w:pPr>
            <w:r>
              <w:rPr>
                <w:rFonts w:hint="eastAsia" w:ascii="宋体" w:hAnsi="宋体" w:cs="宋体"/>
                <w:snapToGrid w:val="0"/>
                <w:color w:val="auto"/>
                <w:kern w:val="0"/>
                <w:sz w:val="24"/>
                <w:highlight w:val="none"/>
              </w:rPr>
              <w:t>监理员</w:t>
            </w:r>
          </w:p>
        </w:tc>
        <w:tc>
          <w:tcPr>
            <w:tcW w:w="1950" w:type="dxa"/>
            <w:tcBorders>
              <w:top w:val="single" w:color="auto" w:sz="4" w:space="0"/>
              <w:left w:val="single" w:color="auto" w:sz="4" w:space="0"/>
              <w:bottom w:val="single" w:color="auto" w:sz="4" w:space="0"/>
              <w:right w:val="single" w:color="auto" w:sz="4" w:space="0"/>
            </w:tcBorders>
            <w:vAlign w:val="center"/>
          </w:tcPr>
          <w:p w14:paraId="2F7F8E07">
            <w:pPr>
              <w:pStyle w:val="88"/>
              <w:wordWrap w:val="0"/>
              <w:adjustRightInd w:val="0"/>
              <w:snapToGrid w:val="0"/>
              <w:spacing w:line="360" w:lineRule="exact"/>
              <w:jc w:val="center"/>
              <w:rPr>
                <w:rFonts w:hint="eastAsia"/>
                <w:color w:val="auto"/>
                <w:highlight w:val="none"/>
              </w:rPr>
            </w:pPr>
            <w:r>
              <w:rPr>
                <w:rFonts w:hint="eastAsia" w:ascii="宋体" w:hAnsi="宋体" w:cs="宋体"/>
                <w:snapToGrid w:val="0"/>
                <w:color w:val="auto"/>
                <w:kern w:val="0"/>
                <w:sz w:val="24"/>
                <w:highlight w:val="none"/>
              </w:rPr>
              <w:t>岗位证书（有效期内）</w:t>
            </w:r>
          </w:p>
        </w:tc>
        <w:tc>
          <w:tcPr>
            <w:tcW w:w="1012" w:type="dxa"/>
            <w:tcBorders>
              <w:top w:val="single" w:color="auto" w:sz="4" w:space="0"/>
              <w:left w:val="single" w:color="auto" w:sz="4" w:space="0"/>
              <w:bottom w:val="single" w:color="auto" w:sz="4" w:space="0"/>
              <w:right w:val="single" w:color="auto" w:sz="4" w:space="0"/>
            </w:tcBorders>
            <w:vAlign w:val="center"/>
          </w:tcPr>
          <w:p w14:paraId="1672290A">
            <w:pPr>
              <w:pStyle w:val="88"/>
              <w:wordWrap w:val="0"/>
              <w:adjustRightInd w:val="0"/>
              <w:snapToGrid w:val="0"/>
              <w:spacing w:line="360" w:lineRule="exact"/>
              <w:jc w:val="center"/>
              <w:rPr>
                <w:rFonts w:hint="eastAsia"/>
                <w:color w:val="auto"/>
                <w:highlight w:val="none"/>
                <w:lang w:val="en-US" w:eastAsia="zh-CN"/>
              </w:rPr>
            </w:pPr>
            <w:r>
              <w:rPr>
                <w:rFonts w:hint="eastAsia" w:ascii="宋体" w:hAnsi="宋体" w:cs="宋体"/>
                <w:snapToGrid w:val="0"/>
                <w:color w:val="auto"/>
                <w:kern w:val="0"/>
                <w:sz w:val="24"/>
                <w:highlight w:val="none"/>
                <w:lang w:val="en-US" w:eastAsia="zh-CN"/>
              </w:rPr>
              <w:t>1</w:t>
            </w:r>
          </w:p>
        </w:tc>
        <w:tc>
          <w:tcPr>
            <w:tcW w:w="5234" w:type="dxa"/>
            <w:tcBorders>
              <w:top w:val="single" w:color="auto" w:sz="4" w:space="0"/>
              <w:left w:val="single" w:color="auto" w:sz="4" w:space="0"/>
              <w:bottom w:val="single" w:color="auto" w:sz="4" w:space="0"/>
              <w:right w:val="single" w:color="auto" w:sz="4" w:space="0"/>
            </w:tcBorders>
            <w:vAlign w:val="center"/>
          </w:tcPr>
          <w:p w14:paraId="7DFD8B43">
            <w:pPr>
              <w:pStyle w:val="88"/>
              <w:wordWrap w:val="0"/>
              <w:adjustRightInd w:val="0"/>
              <w:snapToGrid w:val="0"/>
              <w:spacing w:line="360" w:lineRule="exact"/>
              <w:jc w:val="center"/>
              <w:rPr>
                <w:rFonts w:hint="eastAsia" w:hAnsi="宋体" w:cs="宋体"/>
                <w:color w:val="auto"/>
                <w:kern w:val="0"/>
                <w:szCs w:val="24"/>
                <w:highlight w:val="none"/>
              </w:rPr>
            </w:pPr>
            <w:r>
              <w:rPr>
                <w:rFonts w:hint="eastAsia" w:ascii="宋体" w:hAnsi="宋体" w:cs="宋体"/>
                <w:snapToGrid w:val="0"/>
                <w:color w:val="auto"/>
                <w:kern w:val="0"/>
                <w:sz w:val="24"/>
                <w:highlight w:val="none"/>
              </w:rPr>
              <w:t>经监理业务培训，持有效的省级建设行政主管部门或其授权的组织（机构）颁发的岗位证书。</w:t>
            </w:r>
          </w:p>
        </w:tc>
      </w:tr>
    </w:tbl>
    <w:p w14:paraId="3E67B8DA">
      <w:pPr>
        <w:wordWrap w:val="0"/>
        <w:adjustRightInd w:val="0"/>
        <w:snapToGrid w:val="0"/>
        <w:spacing w:line="440" w:lineRule="exact"/>
        <w:ind w:firstLine="480" w:firstLineChars="200"/>
        <w:rPr>
          <w:rFonts w:ascii="Times New Roman"/>
          <w:snapToGrid w:val="0"/>
          <w:color w:val="auto"/>
          <w:kern w:val="0"/>
          <w:highlight w:val="none"/>
        </w:rPr>
      </w:pPr>
      <w:r>
        <w:rPr>
          <w:rFonts w:hint="eastAsia" w:hAnsi="宋体" w:cs="宋体"/>
          <w:color w:val="auto"/>
          <w:kern w:val="0"/>
          <w:szCs w:val="24"/>
          <w:highlight w:val="none"/>
        </w:rPr>
        <w:t>注：</w:t>
      </w:r>
      <w:r>
        <w:rPr>
          <w:rFonts w:hint="eastAsia" w:ascii="宋体" w:hAnsi="宋体" w:eastAsia="宋体" w:cs="宋体"/>
          <w:color w:val="auto"/>
          <w:kern w:val="0"/>
          <w:sz w:val="24"/>
          <w:szCs w:val="24"/>
          <w:highlight w:val="none"/>
          <w:lang w:val="en-US" w:eastAsia="zh-CN" w:bidi="ar"/>
        </w:rPr>
        <w:t>以上人员一人一岗，不得重复。除总监理工程师外，本需求表拟委派的项目监理机构其他人员只作为综合评分的评审依据，不属于资格评审、形式评审、响应性评审的审查内容，不得作为否决投标条件。</w:t>
      </w:r>
    </w:p>
    <w:p w14:paraId="1021FFCB">
      <w:pPr>
        <w:rPr>
          <w:color w:val="auto"/>
          <w:highlight w:val="none"/>
        </w:rPr>
      </w:pPr>
    </w:p>
    <w:p w14:paraId="07D9C16A">
      <w:pPr>
        <w:adjustRightInd w:val="0"/>
        <w:snapToGrid w:val="0"/>
        <w:spacing w:line="440" w:lineRule="exact"/>
        <w:ind w:firstLine="480" w:firstLineChars="200"/>
        <w:rPr>
          <w:rFonts w:hAnsi="宋体" w:cs="宋体"/>
          <w:snapToGrid w:val="0"/>
          <w:color w:val="auto"/>
          <w:kern w:val="0"/>
          <w:highlight w:val="none"/>
        </w:rPr>
      </w:pPr>
      <w:r>
        <w:rPr>
          <w:rFonts w:hint="eastAsia" w:hAnsi="宋体" w:cs="宋体"/>
          <w:snapToGrid w:val="0"/>
          <w:color w:val="auto"/>
          <w:kern w:val="0"/>
          <w:highlight w:val="none"/>
        </w:rPr>
        <w:br w:type="page"/>
      </w:r>
    </w:p>
    <w:p w14:paraId="499742D9">
      <w:pPr>
        <w:wordWrap w:val="0"/>
        <w:adjustRightInd w:val="0"/>
        <w:snapToGrid w:val="0"/>
        <w:spacing w:line="440" w:lineRule="exact"/>
        <w:ind w:firstLine="482" w:firstLineChars="200"/>
        <w:rPr>
          <w:rFonts w:hAnsi="宋体" w:cs="宋体"/>
          <w:b/>
          <w:bCs/>
          <w:snapToGrid w:val="0"/>
          <w:color w:val="auto"/>
          <w:kern w:val="0"/>
          <w:szCs w:val="24"/>
          <w:highlight w:val="none"/>
        </w:rPr>
        <w:sectPr>
          <w:endnotePr>
            <w:numFmt w:val="decimal"/>
          </w:endnotePr>
          <w:pgSz w:w="11906" w:h="16838"/>
          <w:pgMar w:top="1417" w:right="1417" w:bottom="1417" w:left="1417" w:header="850" w:footer="992" w:gutter="0"/>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 xml:space="preserve">15.5.2 </w:t>
      </w:r>
      <w:r>
        <w:rPr>
          <w:rFonts w:hint="eastAsia" w:hAnsi="宋体" w:cs="宋体"/>
          <w:snapToGrid w:val="0"/>
          <w:color w:val="auto"/>
          <w:kern w:val="0"/>
          <w:szCs w:val="24"/>
          <w:highlight w:val="none"/>
        </w:rPr>
        <w:t>否决投标说明</w:t>
      </w:r>
    </w:p>
    <w:p w14:paraId="4CADBCAA">
      <w:pPr>
        <w:wordWrap w:val="0"/>
        <w:adjustRightInd w:val="0"/>
        <w:snapToGrid w:val="0"/>
        <w:spacing w:line="360" w:lineRule="auto"/>
        <w:ind w:firstLine="562"/>
        <w:rPr>
          <w:rFonts w:hAnsi="宋体" w:cs="宋体"/>
          <w:snapToGrid w:val="0"/>
          <w:color w:val="auto"/>
          <w:kern w:val="0"/>
          <w:szCs w:val="24"/>
          <w:highlight w:val="none"/>
        </w:rPr>
      </w:pPr>
      <w:r>
        <w:rPr>
          <w:rFonts w:hint="eastAsia" w:hAnsi="宋体" w:cs="宋体"/>
          <w:snapToGrid w:val="0"/>
          <w:color w:val="auto"/>
          <w:kern w:val="0"/>
          <w:szCs w:val="24"/>
          <w:highlight w:val="none"/>
        </w:rPr>
        <w:t>详细评审阶段否决投标的全部条件，在本章第四节“否决投标条件”第</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auto"/>
          <w:kern w:val="0"/>
          <w:szCs w:val="24"/>
          <w:highlight w:val="none"/>
        </w:rPr>
      </w:pPr>
      <w:r>
        <w:rPr>
          <w:rFonts w:hint="eastAsia" w:hAnsi="宋体" w:cs="宋体"/>
          <w:b/>
          <w:bCs/>
          <w:snapToGrid w:val="0"/>
          <w:color w:val="auto"/>
          <w:kern w:val="0"/>
          <w:szCs w:val="24"/>
          <w:highlight w:val="none"/>
        </w:rPr>
        <w:t>注：投标人在详细评审阶段根据评分方法提供的佐证材料，其合法性、有效性和准确性不符合要求的，有关评分因素的评分按相应评分标准处理，但不否决投标。</w:t>
      </w:r>
    </w:p>
    <w:p w14:paraId="445D8C1D">
      <w:pPr>
        <w:wordWrap w:val="0"/>
        <w:adjustRightInd w:val="0"/>
        <w:snapToGrid w:val="0"/>
        <w:spacing w:line="360" w:lineRule="auto"/>
        <w:ind w:firstLine="482" w:firstLineChars="200"/>
        <w:outlineLvl w:val="2"/>
        <w:rPr>
          <w:rFonts w:hAnsi="宋体" w:cs="宋体"/>
          <w:b/>
          <w:snapToGrid w:val="0"/>
          <w:color w:val="auto"/>
          <w:kern w:val="0"/>
          <w:szCs w:val="24"/>
          <w:highlight w:val="none"/>
        </w:rPr>
      </w:pPr>
      <w:bookmarkStart w:id="59" w:name="_Toc9172"/>
      <w:r>
        <w:rPr>
          <w:rFonts w:hint="eastAsia" w:hAnsi="宋体" w:cs="宋体"/>
          <w:b/>
          <w:snapToGrid w:val="0"/>
          <w:color w:val="auto"/>
          <w:kern w:val="0"/>
          <w:szCs w:val="24"/>
          <w:highlight w:val="none"/>
        </w:rPr>
        <w:t>16．推荐</w:t>
      </w:r>
      <w:r>
        <w:rPr>
          <w:rFonts w:hint="eastAsia" w:hAnsi="宋体" w:cs="宋体"/>
          <w:b/>
          <w:snapToGrid w:val="0"/>
          <w:color w:val="auto"/>
          <w:kern w:val="0"/>
          <w:szCs w:val="24"/>
          <w:highlight w:val="none"/>
          <w:lang w:val="en-US" w:eastAsia="zh-CN"/>
        </w:rPr>
        <w:t>定标</w:t>
      </w:r>
      <w:r>
        <w:rPr>
          <w:rFonts w:hint="eastAsia" w:hAnsi="宋体" w:cs="宋体"/>
          <w:b/>
          <w:snapToGrid w:val="0"/>
          <w:color w:val="auto"/>
          <w:kern w:val="0"/>
          <w:szCs w:val="24"/>
          <w:highlight w:val="none"/>
        </w:rPr>
        <w:t>候选人</w:t>
      </w:r>
      <w:bookmarkEnd w:id="59"/>
    </w:p>
    <w:p w14:paraId="523718F4">
      <w:pPr>
        <w:wordWrap w:val="0"/>
        <w:adjustRightInd w:val="0"/>
        <w:snapToGrid w:val="0"/>
        <w:spacing w:line="360" w:lineRule="auto"/>
        <w:ind w:firstLine="482" w:firstLineChars="200"/>
        <w:rPr>
          <w:rFonts w:hint="eastAsia"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16.1</w:t>
      </w:r>
      <w:r>
        <w:rPr>
          <w:rFonts w:hint="eastAsia" w:hAnsi="宋体" w:cs="宋体"/>
          <w:snapToGrid w:val="0"/>
          <w:color w:val="auto"/>
          <w:kern w:val="0"/>
          <w:szCs w:val="24"/>
          <w:highlight w:val="none"/>
        </w:rPr>
        <w:t>评标委员会根据招标文件规定的评分细则，对招标文件中的各评审因素进行评审、比较、打分，将得分前5名不排序（按企业统一社会信用代码后4位</w:t>
      </w:r>
      <w:r>
        <w:rPr>
          <w:rFonts w:hint="eastAsia" w:hAnsi="宋体" w:cs="宋体"/>
          <w:snapToGrid w:val="0"/>
          <w:color w:val="auto"/>
          <w:kern w:val="0"/>
          <w:szCs w:val="24"/>
          <w:highlight w:val="none"/>
          <w:lang w:val="en-US" w:eastAsia="zh-CN"/>
        </w:rPr>
        <w:t>由</w:t>
      </w:r>
      <w:r>
        <w:rPr>
          <w:rFonts w:hint="eastAsia" w:hAnsi="宋体" w:cs="宋体"/>
          <w:snapToGrid w:val="0"/>
          <w:color w:val="auto"/>
          <w:kern w:val="0"/>
          <w:szCs w:val="24"/>
          <w:highlight w:val="none"/>
        </w:rPr>
        <w:t>大</w:t>
      </w:r>
      <w:r>
        <w:rPr>
          <w:rFonts w:hint="eastAsia" w:hAnsi="宋体" w:cs="宋体"/>
          <w:snapToGrid w:val="0"/>
          <w:color w:val="auto"/>
          <w:kern w:val="0"/>
          <w:szCs w:val="24"/>
          <w:highlight w:val="none"/>
          <w:lang w:val="en-US" w:eastAsia="zh-CN"/>
        </w:rPr>
        <w:t>到</w:t>
      </w:r>
      <w:r>
        <w:rPr>
          <w:rFonts w:hint="eastAsia" w:hAnsi="宋体" w:cs="宋体"/>
          <w:snapToGrid w:val="0"/>
          <w:color w:val="auto"/>
          <w:kern w:val="0"/>
          <w:szCs w:val="24"/>
          <w:highlight w:val="none"/>
        </w:rPr>
        <w:t>小排位）的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5F67BDE4">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16.2</w:t>
      </w:r>
      <w:r>
        <w:rPr>
          <w:rFonts w:hint="eastAsia" w:hAnsi="宋体" w:cs="宋体"/>
          <w:snapToGrid w:val="0"/>
          <w:color w:val="auto"/>
          <w:kern w:val="0"/>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93D2F62">
      <w:pPr>
        <w:wordWrap w:val="0"/>
        <w:adjustRightInd w:val="0"/>
        <w:snapToGrid w:val="0"/>
        <w:spacing w:line="360" w:lineRule="auto"/>
        <w:ind w:firstLine="482" w:firstLineChars="200"/>
        <w:outlineLvl w:val="2"/>
        <w:rPr>
          <w:rFonts w:hAnsi="宋体" w:cs="宋体"/>
          <w:b/>
          <w:snapToGrid w:val="0"/>
          <w:color w:val="auto"/>
          <w:kern w:val="0"/>
          <w:szCs w:val="24"/>
          <w:highlight w:val="none"/>
        </w:rPr>
      </w:pPr>
      <w:bookmarkStart w:id="60" w:name="_Toc30223"/>
      <w:r>
        <w:rPr>
          <w:rFonts w:hint="eastAsia" w:hAnsi="宋体" w:cs="宋体"/>
          <w:b/>
          <w:snapToGrid w:val="0"/>
          <w:color w:val="auto"/>
          <w:kern w:val="0"/>
          <w:szCs w:val="24"/>
          <w:highlight w:val="none"/>
        </w:rPr>
        <w:t>17．评标结果公示</w:t>
      </w:r>
      <w:bookmarkEnd w:id="60"/>
    </w:p>
    <w:p w14:paraId="57F98F1D">
      <w:pPr>
        <w:wordWrap w:val="0"/>
        <w:adjustRightInd w:val="0"/>
        <w:snapToGrid w:val="0"/>
        <w:spacing w:line="360" w:lineRule="auto"/>
        <w:ind w:firstLine="482" w:firstLineChars="200"/>
        <w:rPr>
          <w:rFonts w:hint="eastAsia" w:hAnsi="宋体" w:cs="宋体"/>
          <w:b w:val="0"/>
          <w:bCs w:val="0"/>
          <w:snapToGrid w:val="0"/>
          <w:color w:val="auto"/>
          <w:kern w:val="0"/>
          <w:szCs w:val="24"/>
          <w:highlight w:val="none"/>
        </w:rPr>
      </w:pPr>
      <w:r>
        <w:rPr>
          <w:rFonts w:hint="eastAsia" w:hAnsi="宋体" w:cs="宋体"/>
          <w:b/>
          <w:bCs/>
          <w:snapToGrid w:val="0"/>
          <w:color w:val="auto"/>
          <w:kern w:val="0"/>
          <w:szCs w:val="24"/>
          <w:highlight w:val="none"/>
          <w:lang w:val="en-US" w:eastAsia="zh-CN"/>
        </w:rPr>
        <w:t>17.1</w:t>
      </w:r>
      <w:r>
        <w:rPr>
          <w:rFonts w:hint="eastAsia" w:hAnsi="宋体" w:cs="宋体"/>
          <w:b w:val="0"/>
          <w:bCs w:val="0"/>
          <w:snapToGrid w:val="0"/>
          <w:color w:val="auto"/>
          <w:kern w:val="0"/>
          <w:szCs w:val="24"/>
          <w:highlight w:val="none"/>
        </w:rPr>
        <w:t>评标委员会按照投标人评审综合总得分由高到低的原则,向招标人推荐已明确的定标候选人数量（不标明排序）。评标委员会推荐定标候选人后，招标人应于评标会结束后3个工作日内将定标候选人和评标情况在广东省招标投标监管网和全国公共资源交易平台（广东省·韶关市）建设工程交易系统上公示，公示时间不少于3个工作日。公示主要内容包括：（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1188E8B6">
      <w:pPr>
        <w:wordWrap w:val="0"/>
        <w:adjustRightInd w:val="0"/>
        <w:snapToGrid w:val="0"/>
        <w:spacing w:line="360" w:lineRule="auto"/>
        <w:ind w:firstLine="482" w:firstLineChars="200"/>
        <w:rPr>
          <w:rFonts w:hint="eastAsia" w:hAnsi="宋体" w:cs="宋体"/>
          <w:b w:val="0"/>
          <w:bCs w:val="0"/>
          <w:snapToGrid w:val="0"/>
          <w:color w:val="auto"/>
          <w:kern w:val="0"/>
          <w:szCs w:val="24"/>
          <w:highlight w:val="none"/>
        </w:rPr>
      </w:pPr>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.2</w:t>
      </w:r>
      <w:r>
        <w:rPr>
          <w:rFonts w:hint="eastAsia" w:hAnsi="宋体" w:cs="宋体"/>
          <w:b w:val="0"/>
          <w:bCs w:val="0"/>
          <w:snapToGrid w:val="0"/>
          <w:color w:val="auto"/>
          <w:kern w:val="0"/>
          <w:szCs w:val="24"/>
          <w:highlight w:val="none"/>
        </w:rPr>
        <w:t>投标人对评标结果、定标候选人投标文件、评标过程有异议的，必须在定标候选人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21BD4206">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38DED141">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71B6F316">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49C54791">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3D85474C">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4936F83A">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6DFD1818">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3C96C3FE">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6634EB76">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2946525B">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1107C464">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0B7071F3">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62908515">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361E10EB">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7C06B380">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28314402">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470E8A9A">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419BF76C">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7FA658F5">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67BF2DF7">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65FD5972">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5FE7596B">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301D7EA8">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23606AD7">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3E4D3842">
      <w:pPr>
        <w:wordWrap w:val="0"/>
        <w:adjustRightInd w:val="0"/>
        <w:snapToGrid w:val="0"/>
        <w:spacing w:line="360" w:lineRule="auto"/>
        <w:outlineLvl w:val="1"/>
        <w:rPr>
          <w:rFonts w:hAnsi="宋体" w:cs="宋体"/>
          <w:snapToGrid w:val="0"/>
          <w:color w:val="auto"/>
          <w:kern w:val="0"/>
          <w:highlight w:val="none"/>
        </w:rPr>
      </w:pPr>
      <w:bookmarkStart w:id="61" w:name="_Toc24046"/>
      <w:r>
        <w:rPr>
          <w:rFonts w:hint="eastAsia" w:hAnsi="宋体" w:cs="宋体"/>
          <w:b/>
          <w:bCs/>
          <w:snapToGrid w:val="0"/>
          <w:color w:val="auto"/>
          <w:kern w:val="0"/>
          <w:highlight w:val="none"/>
        </w:rPr>
        <w:t>第四节 否决投标条件</w:t>
      </w:r>
      <w:bookmarkEnd w:id="61"/>
    </w:p>
    <w:p w14:paraId="1217DA6A">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auto"/>
          <w:kern w:val="0"/>
          <w:highlight w:val="none"/>
        </w:rPr>
        <w:t>投标人未有列入本节情形的，评标时一律不得否决其投标。</w:t>
      </w:r>
      <w:r>
        <w:rPr>
          <w:rFonts w:hint="eastAsia" w:hAnsi="宋体" w:cs="宋体"/>
          <w:snapToGrid w:val="0"/>
          <w:color w:val="auto"/>
          <w:kern w:val="0"/>
          <w:highlight w:val="none"/>
        </w:rPr>
        <w:t>本节所称“规定”均指招标文件的规定。</w:t>
      </w:r>
    </w:p>
    <w:p w14:paraId="487AC297">
      <w:pPr>
        <w:wordWrap w:val="0"/>
        <w:adjustRightInd w:val="0"/>
        <w:snapToGrid w:val="0"/>
        <w:spacing w:line="360" w:lineRule="auto"/>
        <w:ind w:firstLine="480"/>
        <w:outlineLvl w:val="2"/>
        <w:rPr>
          <w:rFonts w:hAnsi="宋体" w:cs="宋体"/>
          <w:snapToGrid w:val="0"/>
          <w:color w:val="auto"/>
          <w:kern w:val="0"/>
          <w:highlight w:val="none"/>
        </w:rPr>
      </w:pPr>
      <w:bookmarkStart w:id="62" w:name="_Toc9239"/>
      <w:r>
        <w:rPr>
          <w:rFonts w:hint="eastAsia" w:hAnsi="宋体" w:cs="宋体"/>
          <w:b/>
          <w:bCs/>
          <w:snapToGrid w:val="0"/>
          <w:color w:val="auto"/>
          <w:kern w:val="0"/>
          <w:highlight w:val="none"/>
        </w:rPr>
        <w:t>1．资格评审环节</w:t>
      </w:r>
      <w:bookmarkEnd w:id="62"/>
    </w:p>
    <w:p w14:paraId="3AA2319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（1）有本章第三节第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条“禁止投标条款”规定的任何一种情形；</w:t>
      </w:r>
    </w:p>
    <w:p w14:paraId="6367D39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（2）投标人资质不符合</w:t>
      </w:r>
      <w:r>
        <w:rPr>
          <w:rFonts w:hint="eastAsia" w:hAnsi="宋体" w:cs="宋体"/>
          <w:snapToGrid w:val="0"/>
          <w:color w:val="auto"/>
          <w:kern w:val="0"/>
          <w:szCs w:val="18"/>
          <w:highlight w:val="none"/>
        </w:rPr>
        <w:t>规定的；</w:t>
      </w:r>
    </w:p>
    <w:p w14:paraId="199BFDE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auto"/>
          <w:kern w:val="0"/>
          <w:szCs w:val="22"/>
          <w:highlight w:val="none"/>
        </w:rPr>
      </w:pPr>
      <w:r>
        <w:rPr>
          <w:rFonts w:hint="eastAsia" w:hAnsi="宋体" w:cs="宋体"/>
          <w:b/>
          <w:bCs/>
          <w:snapToGrid w:val="0"/>
          <w:color w:val="auto"/>
          <w:kern w:val="0"/>
          <w:highlight w:val="none"/>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r>
        <w:rPr>
          <w:rFonts w:hint="eastAsia" w:hAnsi="宋体" w:cs="宋体"/>
          <w:b/>
          <w:bCs/>
          <w:snapToGrid w:val="0"/>
          <w:color w:val="auto"/>
          <w:kern w:val="0"/>
          <w:szCs w:val="22"/>
          <w:highlight w:val="none"/>
        </w:rPr>
        <w:t xml:space="preserve">  </w:t>
      </w:r>
    </w:p>
    <w:p w14:paraId="0A6B74E3">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（6）招标文件规定不接受联合体投标，但以联合体投标的；</w:t>
      </w:r>
    </w:p>
    <w:p w14:paraId="6F29274A">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Ansi="宋体" w:cs="宋体"/>
          <w:snapToGrid w:val="0"/>
          <w:color w:val="auto"/>
          <w:kern w:val="0"/>
          <w:highlight w:val="none"/>
        </w:rPr>
      </w:pPr>
      <w:bookmarkStart w:id="63" w:name="_Toc22253"/>
      <w:r>
        <w:rPr>
          <w:rFonts w:hint="eastAsia" w:hAnsi="宋体" w:cs="宋体"/>
          <w:b/>
          <w:bCs/>
          <w:snapToGrid w:val="0"/>
          <w:color w:val="auto"/>
          <w:kern w:val="0"/>
          <w:highlight w:val="none"/>
        </w:rPr>
        <w:t>2．形式评审环节</w:t>
      </w:r>
      <w:bookmarkEnd w:id="63"/>
    </w:p>
    <w:p w14:paraId="0BEB281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（9）本章第三节第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（10）关键字迹模糊、无法辨认，</w:t>
      </w:r>
      <w:r>
        <w:rPr>
          <w:rFonts w:hint="eastAsia" w:hAnsi="宋体" w:cs="宋体"/>
          <w:b/>
          <w:bCs/>
          <w:snapToGrid w:val="0"/>
          <w:color w:val="auto"/>
          <w:kern w:val="0"/>
          <w:highlight w:val="none"/>
        </w:rPr>
        <w:t>且该种过错将导致评标委员会无法作出投标文件是否响应招标文件实质性要求的</w:t>
      </w:r>
      <w:r>
        <w:rPr>
          <w:rFonts w:hint="eastAsia" w:hAnsi="宋体" w:cs="宋体"/>
          <w:snapToGrid w:val="0"/>
          <w:color w:val="auto"/>
          <w:kern w:val="0"/>
          <w:highlight w:val="none"/>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auto"/>
          <w:kern w:val="0"/>
          <w:highlight w:val="none"/>
        </w:rPr>
      </w:pPr>
      <w:bookmarkStart w:id="64" w:name="_Toc24939"/>
      <w:r>
        <w:rPr>
          <w:rFonts w:hint="eastAsia" w:hAnsi="宋体" w:cs="宋体"/>
          <w:b/>
          <w:bCs/>
          <w:snapToGrid w:val="0"/>
          <w:color w:val="auto"/>
          <w:kern w:val="0"/>
          <w:highlight w:val="none"/>
        </w:rPr>
        <w:t>3．响应性评审环节</w:t>
      </w:r>
      <w:bookmarkEnd w:id="64"/>
    </w:p>
    <w:p w14:paraId="1D351E7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auto"/>
          <w:kern w:val="0"/>
          <w:highlight w:val="none"/>
        </w:rPr>
        <w:t>且该种过错将导致“三控制”目标无法实现的</w:t>
      </w:r>
      <w:r>
        <w:rPr>
          <w:rFonts w:hint="eastAsia" w:hAnsi="宋体" w:cs="宋体"/>
          <w:snapToGrid w:val="0"/>
          <w:color w:val="auto"/>
          <w:kern w:val="0"/>
          <w:highlight w:val="none"/>
        </w:rPr>
        <w:t>。</w:t>
      </w:r>
    </w:p>
    <w:p w14:paraId="5BE2B7EB">
      <w:pPr>
        <w:wordWrap w:val="0"/>
        <w:adjustRightInd w:val="0"/>
        <w:snapToGrid w:val="0"/>
        <w:spacing w:line="360" w:lineRule="auto"/>
        <w:ind w:firstLine="480"/>
        <w:outlineLvl w:val="2"/>
        <w:rPr>
          <w:rFonts w:hAnsi="宋体" w:cs="宋体"/>
          <w:b/>
          <w:bCs/>
          <w:snapToGrid w:val="0"/>
          <w:color w:val="auto"/>
          <w:kern w:val="0"/>
          <w:highlight w:val="none"/>
        </w:rPr>
      </w:pPr>
      <w:bookmarkStart w:id="65" w:name="_Toc31"/>
      <w:r>
        <w:rPr>
          <w:rFonts w:hint="eastAsia" w:hAnsi="宋体" w:cs="宋体"/>
          <w:b/>
          <w:bCs/>
          <w:snapToGrid w:val="0"/>
          <w:color w:val="auto"/>
          <w:kern w:val="0"/>
          <w:highlight w:val="none"/>
        </w:rPr>
        <w:t>4．其他</w:t>
      </w:r>
      <w:bookmarkEnd w:id="65"/>
    </w:p>
    <w:p w14:paraId="33D6B34F">
      <w:pPr>
        <w:wordWrap w:val="0"/>
        <w:adjustRightInd w:val="0"/>
        <w:snapToGrid w:val="0"/>
        <w:spacing w:line="360" w:lineRule="auto"/>
        <w:ind w:firstLine="480"/>
        <w:rPr>
          <w:rFonts w:hAnsi="宋体" w:cs="宋体"/>
          <w:snapToGrid w:val="0"/>
          <w:color w:val="auto"/>
          <w:kern w:val="0"/>
          <w:szCs w:val="22"/>
          <w:highlight w:val="none"/>
        </w:rPr>
      </w:pPr>
      <w:r>
        <w:rPr>
          <w:rFonts w:hint="eastAsia" w:hAnsi="宋体" w:cs="宋体"/>
          <w:snapToGrid w:val="0"/>
          <w:color w:val="auto"/>
          <w:kern w:val="0"/>
          <w:highlight w:val="none"/>
        </w:rPr>
        <w:t>在任何评标环节（或阶段），投标人有下列情形之一的，评标委员会应否决其投标。</w:t>
      </w:r>
      <w:r>
        <w:rPr>
          <w:rFonts w:hint="eastAsia" w:hAnsi="宋体" w:cs="宋体"/>
          <w:snapToGrid w:val="0"/>
          <w:color w:val="auto"/>
          <w:kern w:val="0"/>
          <w:szCs w:val="22"/>
          <w:highlight w:val="none"/>
        </w:rPr>
        <w:t>被否决的投标，不进入下一环节（或阶段）。</w:t>
      </w:r>
    </w:p>
    <w:p w14:paraId="44A9DAF4">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（15）不按评标委员会要求澄清、说明或补正的；</w:t>
      </w:r>
    </w:p>
    <w:p w14:paraId="7391988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（16）有下列情形之一，被评标委员会认定属于串通投标的：</w:t>
      </w:r>
    </w:p>
    <w:p w14:paraId="163A4EC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⑥不同投标人的投标保证由同一企业或同一账户资金缴纳；</w:t>
      </w:r>
    </w:p>
    <w:p w14:paraId="6CFCE064">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⑦不同投标人委托同一个人或注册在同一家企业的注册人员或同一家企业为其投标提供投标咨询、商务报价、技术咨询（招标项目本身要求采用专有技术的除外）等服务。</w:t>
      </w:r>
    </w:p>
    <w:bookmarkEnd w:id="55"/>
    <w:p w14:paraId="6D1FC16A">
      <w:pPr>
        <w:wordWrap w:val="0"/>
        <w:adjustRightInd w:val="0"/>
        <w:snapToGrid w:val="0"/>
        <w:spacing w:line="360" w:lineRule="auto"/>
        <w:ind w:firstLine="480"/>
        <w:rPr>
          <w:rFonts w:hAnsi="宋体" w:cs="宋体"/>
          <w:snapToGrid w:val="0"/>
          <w:color w:val="auto"/>
          <w:kern w:val="0"/>
          <w:highlight w:val="none"/>
        </w:rPr>
      </w:pPr>
    </w:p>
    <w:p w14:paraId="6918E83F">
      <w:pPr>
        <w:wordWrap w:val="0"/>
        <w:adjustRightInd w:val="0"/>
        <w:snapToGrid w:val="0"/>
        <w:spacing w:line="360" w:lineRule="auto"/>
        <w:ind w:firstLine="480"/>
        <w:rPr>
          <w:rFonts w:hAnsi="宋体" w:cs="宋体"/>
          <w:snapToGrid w:val="0"/>
          <w:color w:val="auto"/>
          <w:kern w:val="0"/>
          <w:highlight w:val="none"/>
        </w:rPr>
      </w:pPr>
    </w:p>
    <w:p w14:paraId="7524B713">
      <w:pPr>
        <w:wordWrap w:val="0"/>
        <w:adjustRightInd w:val="0"/>
        <w:snapToGrid w:val="0"/>
        <w:spacing w:line="360" w:lineRule="auto"/>
        <w:ind w:firstLine="480"/>
        <w:rPr>
          <w:rFonts w:hAnsi="宋体" w:cs="宋体"/>
          <w:snapToGrid w:val="0"/>
          <w:color w:val="auto"/>
          <w:kern w:val="0"/>
          <w:highlight w:val="none"/>
        </w:rPr>
      </w:pPr>
    </w:p>
    <w:p w14:paraId="3B099382">
      <w:pPr>
        <w:wordWrap w:val="0"/>
        <w:adjustRightInd w:val="0"/>
        <w:snapToGrid w:val="0"/>
        <w:spacing w:line="360" w:lineRule="auto"/>
        <w:ind w:firstLine="480"/>
        <w:rPr>
          <w:rFonts w:hAnsi="宋体" w:cs="宋体"/>
          <w:snapToGrid w:val="0"/>
          <w:color w:val="auto"/>
          <w:kern w:val="0"/>
          <w:highlight w:val="none"/>
        </w:rPr>
      </w:pPr>
    </w:p>
    <w:p w14:paraId="267C33DA">
      <w:pPr>
        <w:wordWrap w:val="0"/>
        <w:adjustRightInd w:val="0"/>
        <w:snapToGrid w:val="0"/>
        <w:spacing w:line="360" w:lineRule="auto"/>
        <w:ind w:firstLine="480"/>
        <w:rPr>
          <w:rFonts w:hAnsi="宋体" w:cs="宋体"/>
          <w:snapToGrid w:val="0"/>
          <w:color w:val="auto"/>
          <w:kern w:val="0"/>
          <w:highlight w:val="none"/>
        </w:rPr>
      </w:pPr>
    </w:p>
    <w:p w14:paraId="41731A24">
      <w:pPr>
        <w:wordWrap w:val="0"/>
        <w:adjustRightInd w:val="0"/>
        <w:snapToGrid w:val="0"/>
        <w:spacing w:line="360" w:lineRule="auto"/>
        <w:ind w:firstLine="480"/>
        <w:rPr>
          <w:rFonts w:hAnsi="宋体" w:cs="宋体"/>
          <w:snapToGrid w:val="0"/>
          <w:color w:val="auto"/>
          <w:kern w:val="0"/>
          <w:highlight w:val="none"/>
        </w:rPr>
      </w:pPr>
    </w:p>
    <w:p w14:paraId="5263B8CF">
      <w:pPr>
        <w:wordWrap w:val="0"/>
        <w:adjustRightInd w:val="0"/>
        <w:snapToGrid w:val="0"/>
        <w:spacing w:line="360" w:lineRule="auto"/>
        <w:ind w:firstLine="480"/>
        <w:rPr>
          <w:rFonts w:hAnsi="宋体" w:cs="宋体"/>
          <w:snapToGrid w:val="0"/>
          <w:color w:val="auto"/>
          <w:kern w:val="0"/>
          <w:highlight w:val="none"/>
        </w:rPr>
      </w:pPr>
    </w:p>
    <w:p w14:paraId="58481833">
      <w:pPr>
        <w:wordWrap w:val="0"/>
        <w:adjustRightInd w:val="0"/>
        <w:snapToGrid w:val="0"/>
        <w:spacing w:line="360" w:lineRule="auto"/>
        <w:ind w:firstLine="480"/>
        <w:rPr>
          <w:rFonts w:hAnsi="宋体" w:cs="宋体"/>
          <w:snapToGrid w:val="0"/>
          <w:color w:val="auto"/>
          <w:kern w:val="0"/>
          <w:highlight w:val="none"/>
        </w:rPr>
      </w:pPr>
    </w:p>
    <w:p w14:paraId="0AC1F973">
      <w:pPr>
        <w:wordWrap w:val="0"/>
        <w:adjustRightInd w:val="0"/>
        <w:snapToGrid w:val="0"/>
        <w:spacing w:line="360" w:lineRule="auto"/>
        <w:ind w:firstLine="480"/>
        <w:rPr>
          <w:rFonts w:hAnsi="宋体" w:cs="宋体"/>
          <w:snapToGrid w:val="0"/>
          <w:color w:val="auto"/>
          <w:kern w:val="0"/>
          <w:highlight w:val="none"/>
        </w:rPr>
      </w:pPr>
    </w:p>
    <w:p w14:paraId="5C7B582C">
      <w:pPr>
        <w:wordWrap w:val="0"/>
        <w:adjustRightInd w:val="0"/>
        <w:snapToGrid w:val="0"/>
        <w:spacing w:line="360" w:lineRule="auto"/>
        <w:ind w:firstLine="480"/>
        <w:rPr>
          <w:rFonts w:hAnsi="宋体" w:cs="宋体"/>
          <w:snapToGrid w:val="0"/>
          <w:color w:val="auto"/>
          <w:kern w:val="0"/>
          <w:highlight w:val="none"/>
        </w:rPr>
      </w:pPr>
    </w:p>
    <w:p w14:paraId="33E4B37E">
      <w:pPr>
        <w:wordWrap w:val="0"/>
        <w:adjustRightInd w:val="0"/>
        <w:snapToGrid w:val="0"/>
        <w:spacing w:line="360" w:lineRule="auto"/>
        <w:ind w:firstLine="480"/>
        <w:rPr>
          <w:rFonts w:hAnsi="宋体" w:cs="宋体"/>
          <w:snapToGrid w:val="0"/>
          <w:color w:val="auto"/>
          <w:kern w:val="0"/>
          <w:highlight w:val="none"/>
        </w:rPr>
      </w:pPr>
    </w:p>
    <w:p w14:paraId="383A113E">
      <w:pPr>
        <w:wordWrap w:val="0"/>
        <w:adjustRightInd w:val="0"/>
        <w:snapToGrid w:val="0"/>
        <w:spacing w:line="360" w:lineRule="auto"/>
        <w:ind w:firstLine="480"/>
        <w:rPr>
          <w:rFonts w:hAnsi="宋体" w:cs="宋体"/>
          <w:snapToGrid w:val="0"/>
          <w:color w:val="auto"/>
          <w:kern w:val="0"/>
          <w:highlight w:val="none"/>
        </w:rPr>
      </w:pPr>
    </w:p>
    <w:p w14:paraId="205B243C">
      <w:pPr>
        <w:wordWrap w:val="0"/>
        <w:adjustRightInd w:val="0"/>
        <w:snapToGrid w:val="0"/>
        <w:spacing w:line="360" w:lineRule="auto"/>
        <w:ind w:firstLine="480"/>
        <w:rPr>
          <w:rFonts w:hAnsi="宋体" w:cs="宋体"/>
          <w:snapToGrid w:val="0"/>
          <w:color w:val="auto"/>
          <w:kern w:val="0"/>
          <w:highlight w:val="none"/>
        </w:rPr>
      </w:pPr>
    </w:p>
    <w:p w14:paraId="372723DA">
      <w:pPr>
        <w:wordWrap w:val="0"/>
        <w:adjustRightInd w:val="0"/>
        <w:snapToGrid w:val="0"/>
        <w:spacing w:line="360" w:lineRule="auto"/>
        <w:ind w:firstLine="480"/>
        <w:rPr>
          <w:rFonts w:hAnsi="宋体" w:cs="宋体"/>
          <w:snapToGrid w:val="0"/>
          <w:color w:val="auto"/>
          <w:kern w:val="0"/>
          <w:highlight w:val="none"/>
        </w:rPr>
      </w:pPr>
    </w:p>
    <w:p w14:paraId="7A3D79AD">
      <w:pPr>
        <w:wordWrap w:val="0"/>
        <w:adjustRightInd w:val="0"/>
        <w:snapToGrid w:val="0"/>
        <w:spacing w:line="360" w:lineRule="auto"/>
        <w:ind w:firstLine="480"/>
        <w:rPr>
          <w:rFonts w:hAnsi="宋体" w:cs="宋体"/>
          <w:snapToGrid w:val="0"/>
          <w:color w:val="auto"/>
          <w:kern w:val="0"/>
          <w:highlight w:val="none"/>
        </w:rPr>
      </w:pPr>
    </w:p>
    <w:p w14:paraId="404CFFC3">
      <w:pPr>
        <w:wordWrap w:val="0"/>
        <w:adjustRightInd w:val="0"/>
        <w:snapToGrid w:val="0"/>
        <w:spacing w:line="360" w:lineRule="auto"/>
        <w:ind w:firstLine="480"/>
        <w:rPr>
          <w:rFonts w:hAnsi="宋体" w:cs="宋体"/>
          <w:snapToGrid w:val="0"/>
          <w:color w:val="auto"/>
          <w:kern w:val="0"/>
          <w:highlight w:val="none"/>
        </w:rPr>
      </w:pPr>
    </w:p>
    <w:p w14:paraId="50DFDA0A">
      <w:pPr>
        <w:wordWrap w:val="0"/>
        <w:adjustRightInd w:val="0"/>
        <w:snapToGrid w:val="0"/>
        <w:spacing w:line="360" w:lineRule="auto"/>
        <w:ind w:firstLine="480"/>
        <w:rPr>
          <w:rFonts w:hAnsi="宋体" w:cs="宋体"/>
          <w:snapToGrid w:val="0"/>
          <w:color w:val="auto"/>
          <w:kern w:val="0"/>
          <w:highlight w:val="none"/>
        </w:rPr>
      </w:pPr>
    </w:p>
    <w:p w14:paraId="134EA6A3">
      <w:pPr>
        <w:wordWrap w:val="0"/>
        <w:adjustRightInd w:val="0"/>
        <w:snapToGrid w:val="0"/>
        <w:spacing w:line="360" w:lineRule="auto"/>
        <w:ind w:firstLine="480"/>
        <w:rPr>
          <w:rFonts w:hAnsi="宋体" w:cs="宋体"/>
          <w:snapToGrid w:val="0"/>
          <w:color w:val="auto"/>
          <w:kern w:val="0"/>
          <w:highlight w:val="none"/>
        </w:rPr>
      </w:pPr>
    </w:p>
    <w:p w14:paraId="6FB2F619">
      <w:pPr>
        <w:wordWrap w:val="0"/>
        <w:adjustRightInd w:val="0"/>
        <w:snapToGrid w:val="0"/>
        <w:spacing w:line="360" w:lineRule="auto"/>
        <w:ind w:firstLine="480"/>
        <w:rPr>
          <w:rFonts w:hAnsi="宋体" w:cs="宋体"/>
          <w:snapToGrid w:val="0"/>
          <w:color w:val="auto"/>
          <w:kern w:val="0"/>
          <w:highlight w:val="none"/>
        </w:rPr>
      </w:pPr>
    </w:p>
    <w:p w14:paraId="2DC01507">
      <w:pPr>
        <w:wordWrap w:val="0"/>
        <w:adjustRightInd w:val="0"/>
        <w:snapToGrid w:val="0"/>
        <w:spacing w:line="360" w:lineRule="auto"/>
        <w:ind w:firstLine="480"/>
        <w:rPr>
          <w:rFonts w:hAnsi="宋体" w:cs="宋体"/>
          <w:snapToGrid w:val="0"/>
          <w:color w:val="auto"/>
          <w:kern w:val="0"/>
          <w:highlight w:val="none"/>
        </w:rPr>
      </w:pPr>
    </w:p>
    <w:p w14:paraId="1B6A90F7">
      <w:pPr>
        <w:wordWrap w:val="0"/>
        <w:adjustRightInd w:val="0"/>
        <w:snapToGrid w:val="0"/>
        <w:spacing w:line="360" w:lineRule="auto"/>
        <w:ind w:firstLine="480"/>
        <w:rPr>
          <w:rFonts w:hAnsi="宋体" w:cs="宋体"/>
          <w:snapToGrid w:val="0"/>
          <w:color w:val="auto"/>
          <w:kern w:val="0"/>
          <w:highlight w:val="none"/>
        </w:rPr>
      </w:pPr>
    </w:p>
    <w:p w14:paraId="61FEFA58">
      <w:pPr>
        <w:wordWrap w:val="0"/>
        <w:adjustRightInd w:val="0"/>
        <w:snapToGrid w:val="0"/>
        <w:spacing w:line="360" w:lineRule="auto"/>
        <w:ind w:firstLine="480"/>
        <w:rPr>
          <w:rFonts w:hAnsi="宋体" w:cs="宋体"/>
          <w:snapToGrid w:val="0"/>
          <w:color w:val="auto"/>
          <w:kern w:val="0"/>
          <w:highlight w:val="none"/>
        </w:rPr>
      </w:pPr>
    </w:p>
    <w:p w14:paraId="5EC0F2C9">
      <w:pPr>
        <w:wordWrap w:val="0"/>
        <w:adjustRightInd w:val="0"/>
        <w:snapToGrid w:val="0"/>
        <w:spacing w:line="360" w:lineRule="auto"/>
        <w:ind w:firstLine="480"/>
        <w:rPr>
          <w:rFonts w:hAnsi="宋体" w:cs="宋体"/>
          <w:snapToGrid w:val="0"/>
          <w:color w:val="auto"/>
          <w:kern w:val="0"/>
          <w:highlight w:val="none"/>
        </w:rPr>
      </w:pPr>
    </w:p>
    <w:p w14:paraId="2E188212">
      <w:pPr>
        <w:wordWrap w:val="0"/>
        <w:adjustRightInd w:val="0"/>
        <w:snapToGrid w:val="0"/>
        <w:spacing w:line="360" w:lineRule="auto"/>
        <w:ind w:firstLine="480"/>
        <w:rPr>
          <w:rFonts w:hAnsi="宋体" w:cs="宋体"/>
          <w:snapToGrid w:val="0"/>
          <w:color w:val="auto"/>
          <w:kern w:val="0"/>
          <w:highlight w:val="none"/>
        </w:rPr>
      </w:pPr>
    </w:p>
    <w:p w14:paraId="30136CD2">
      <w:pPr>
        <w:pStyle w:val="4"/>
        <w:pageBreakBefore w:val="0"/>
        <w:kinsoku/>
        <w:overflowPunct/>
        <w:topLinePunct w:val="0"/>
        <w:bidi w:val="0"/>
        <w:spacing w:line="500" w:lineRule="exact"/>
        <w:textAlignment w:val="auto"/>
        <w:outlineLvl w:val="1"/>
        <w:rPr>
          <w:rFonts w:hint="default" w:ascii="宋体" w:hAnsi="宋体" w:eastAsia="宋体" w:cs="宋体"/>
          <w:b/>
          <w:bCs/>
          <w:color w:val="auto"/>
          <w:highlight w:val="none"/>
          <w:lang w:val="en-US" w:eastAsia="zh-CN"/>
        </w:rPr>
      </w:pPr>
      <w:bookmarkStart w:id="66" w:name="_Toc3478"/>
      <w:bookmarkStart w:id="67" w:name="_Toc4309"/>
      <w:bookmarkStart w:id="68" w:name="_Toc13284"/>
      <w:r>
        <w:rPr>
          <w:rFonts w:hint="eastAsia" w:ascii="宋体" w:hAnsi="宋体" w:eastAsia="宋体" w:cs="宋体"/>
          <w:b/>
          <w:bCs/>
          <w:color w:val="auto"/>
          <w:highlight w:val="none"/>
          <w:lang w:val="en-US" w:eastAsia="zh-CN"/>
        </w:rPr>
        <w:t>第五节 定标规定及细则</w:t>
      </w:r>
      <w:bookmarkEnd w:id="66"/>
      <w:bookmarkEnd w:id="67"/>
      <w:bookmarkEnd w:id="68"/>
    </w:p>
    <w:p w14:paraId="1206D7CF">
      <w:pPr>
        <w:pStyle w:val="5"/>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69" w:name="_Toc18852"/>
      <w:bookmarkStart w:id="70" w:name="_Toc17667"/>
      <w:bookmarkStart w:id="71" w:name="_Toc7706"/>
      <w:r>
        <w:rPr>
          <w:rFonts w:hint="eastAsia" w:ascii="宋体" w:hAnsi="宋体" w:eastAsia="宋体" w:cs="宋体"/>
          <w:b/>
          <w:snapToGrid w:val="0"/>
          <w:color w:val="auto"/>
          <w:highlight w:val="none"/>
          <w:lang w:val="en-US" w:eastAsia="zh-CN"/>
        </w:rPr>
        <w:t>1</w:t>
      </w:r>
      <w:r>
        <w:rPr>
          <w:rFonts w:hint="eastAsia" w:ascii="宋体" w:hAnsi="宋体" w:eastAsia="宋体" w:cs="宋体"/>
          <w:b/>
          <w:snapToGrid w:val="0"/>
          <w:color w:val="auto"/>
          <w:highlight w:val="none"/>
        </w:rPr>
        <w:t>.</w:t>
      </w:r>
      <w:r>
        <w:rPr>
          <w:rFonts w:hint="eastAsia" w:ascii="宋体" w:hAnsi="宋体" w:eastAsia="宋体" w:cs="宋体"/>
          <w:b/>
          <w:snapToGrid w:val="0"/>
          <w:color w:val="auto"/>
          <w:highlight w:val="none"/>
          <w:lang w:val="en-US" w:eastAsia="zh-CN"/>
        </w:rPr>
        <w:t>定标规定</w:t>
      </w:r>
      <w:bookmarkEnd w:id="69"/>
      <w:bookmarkEnd w:id="70"/>
      <w:bookmarkEnd w:id="71"/>
    </w:p>
    <w:p w14:paraId="1ACCE5A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1.1确定定标时间</w:t>
      </w:r>
    </w:p>
    <w:p w14:paraId="5078288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应自定标候选人公示期满后5个工作日内进入公共资源交易平台（与评标阶段公共资源交易平台相同）进行定标。定标会议全过程录音录像。招标人需要延期定标的，应通过公共资源交易平台公布延期原因和定标时间。</w:t>
      </w:r>
    </w:p>
    <w:p w14:paraId="3877C79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snapToGrid w:val="0"/>
          <w:color w:val="auto"/>
          <w:highlight w:val="none"/>
          <w:lang w:val="en-US" w:eastAsia="zh-CN"/>
        </w:rPr>
      </w:pPr>
      <w:r>
        <w:rPr>
          <w:rFonts w:hint="eastAsia" w:ascii="宋体" w:hAnsi="宋体" w:eastAsia="宋体" w:cs="宋体"/>
          <w:b/>
          <w:snapToGrid w:val="0"/>
          <w:color w:val="auto"/>
          <w:highlight w:val="none"/>
          <w:lang w:val="en-US" w:eastAsia="zh-CN"/>
        </w:rPr>
        <w:t>1.2定标委员会</w:t>
      </w:r>
    </w:p>
    <w:p w14:paraId="1040D749">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1.2.1</w:t>
      </w:r>
      <w:r>
        <w:rPr>
          <w:rFonts w:hint="eastAsia" w:ascii="宋体" w:hAnsi="宋体" w:eastAsia="宋体" w:cs="宋体"/>
          <w:snapToGrid w:val="0"/>
          <w:color w:val="auto"/>
          <w:kern w:val="0"/>
          <w:highlight w:val="none"/>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319E64B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2DDE6FC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1.2.3</w:t>
      </w:r>
      <w:r>
        <w:rPr>
          <w:rFonts w:hint="eastAsia" w:ascii="宋体" w:hAnsi="宋体" w:eastAsia="宋体" w:cs="宋体"/>
          <w:snapToGrid w:val="0"/>
          <w:color w:val="auto"/>
          <w:kern w:val="0"/>
          <w:highlight w:val="none"/>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58C95F9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1.3定标办法（本项目采用票决数量法定标）</w:t>
      </w:r>
    </w:p>
    <w:p w14:paraId="615F07F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本项目定标办法由招标人按本投标人须知前附表的规定确定（只能选定其中一种定标办法）。</w:t>
      </w:r>
    </w:p>
    <w:p w14:paraId="1F50119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1.4组建招标监督小组</w:t>
      </w:r>
    </w:p>
    <w:p w14:paraId="4CF123E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3B888DE8">
      <w:pPr>
        <w:pStyle w:val="5"/>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72" w:name="_Toc29848"/>
      <w:bookmarkStart w:id="73" w:name="_Toc4905"/>
      <w:bookmarkStart w:id="74" w:name="_Toc18947"/>
      <w:r>
        <w:rPr>
          <w:rFonts w:hint="eastAsia" w:ascii="宋体" w:hAnsi="宋体" w:eastAsia="宋体" w:cs="宋体"/>
          <w:b/>
          <w:snapToGrid w:val="0"/>
          <w:color w:val="auto"/>
          <w:highlight w:val="none"/>
          <w:lang w:val="en-US" w:eastAsia="zh-CN"/>
        </w:rPr>
        <w:t>2.定标细则</w:t>
      </w:r>
      <w:bookmarkEnd w:id="72"/>
      <w:bookmarkEnd w:id="73"/>
      <w:bookmarkEnd w:id="74"/>
    </w:p>
    <w:p w14:paraId="769CB3F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票决数量法</w:t>
      </w:r>
      <w:r>
        <w:rPr>
          <w:rFonts w:hint="eastAsia"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本项目采用票决数量法定标。</w:t>
      </w:r>
    </w:p>
    <w:p w14:paraId="3587A6CC">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w:t>
      </w:r>
      <w:r>
        <w:rPr>
          <w:rFonts w:hint="eastAsia" w:ascii="宋体" w:hAnsi="宋体" w:eastAsia="宋体" w:cs="宋体"/>
          <w:b/>
          <w:bCs/>
          <w:snapToGrid w:val="0"/>
          <w:color w:val="auto"/>
          <w:kern w:val="0"/>
          <w:highlight w:val="none"/>
        </w:rPr>
        <w:t>票决数量法程序</w:t>
      </w:r>
    </w:p>
    <w:p w14:paraId="43070B2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根据定标因素对定标候选人进行评审比较后，每名定标委员会成员有且仅有投出1票的权利，1票只能投1名定标候选人，进行票决排名确定排序的中标候选人。即各定标委员会成员对定标候选人进行投票，按得票高低推荐排序的前三名中标候选人。若第一轮投票中前三名中标候选人有得票相同且影响中标候选人排序确定的，由定标委员会对总票数相同的单位进行再次票决确定排序,直至决出排序的前三名中标候选人。若定标候选人中没有符合评审要求的三名中标候选人，则宣告本次招标失败。票决采用记名方式并注明投票理由。</w:t>
      </w:r>
    </w:p>
    <w:p w14:paraId="23B939DD">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2.1.1</w:t>
      </w:r>
      <w:r>
        <w:rPr>
          <w:rFonts w:hint="eastAsia" w:ascii="宋体" w:hAnsi="宋体" w:eastAsia="宋体" w:cs="宋体"/>
          <w:b/>
          <w:bCs/>
          <w:snapToGrid w:val="0"/>
          <w:color w:val="auto"/>
          <w:kern w:val="0"/>
          <w:highlight w:val="none"/>
        </w:rPr>
        <w:t>项目情况介绍</w:t>
      </w:r>
    </w:p>
    <w:p w14:paraId="7322B89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招标人代表介绍项目的概况及招标要求，以及定标方法与定标工作规则，不得发表具有倾向性的言论。</w:t>
      </w:r>
    </w:p>
    <w:p w14:paraId="5B206EB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2.1.2</w:t>
      </w:r>
      <w:r>
        <w:rPr>
          <w:rFonts w:hint="eastAsia" w:ascii="宋体" w:hAnsi="宋体" w:eastAsia="宋体" w:cs="宋体"/>
          <w:b/>
          <w:bCs/>
          <w:snapToGrid w:val="0"/>
          <w:color w:val="auto"/>
          <w:kern w:val="0"/>
          <w:highlight w:val="none"/>
        </w:rPr>
        <w:t>审阅定标资料</w:t>
      </w:r>
    </w:p>
    <w:p w14:paraId="11669E0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定标委员会成员对各定标候选人的投标文件进行审阅，审阅内容主要是定标工作规则所规定的定标因素，聚焦于项目需求与候选人能力的匹配度。</w:t>
      </w:r>
    </w:p>
    <w:p w14:paraId="5E8FB8A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2.1.3</w:t>
      </w:r>
      <w:r>
        <w:rPr>
          <w:rFonts w:hint="eastAsia" w:ascii="宋体" w:hAnsi="宋体" w:eastAsia="宋体" w:cs="宋体"/>
          <w:b/>
          <w:bCs/>
          <w:snapToGrid w:val="0"/>
          <w:color w:val="auto"/>
          <w:kern w:val="0"/>
          <w:highlight w:val="none"/>
        </w:rPr>
        <w:t>疑问澄清</w:t>
      </w:r>
    </w:p>
    <w:p w14:paraId="0C40A84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970C57A">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2.1.4</w:t>
      </w:r>
      <w:r>
        <w:rPr>
          <w:rFonts w:hint="eastAsia" w:ascii="宋体" w:hAnsi="宋体" w:eastAsia="宋体" w:cs="宋体"/>
          <w:b/>
          <w:bCs/>
          <w:snapToGrid w:val="0"/>
          <w:color w:val="auto"/>
          <w:kern w:val="0"/>
          <w:highlight w:val="none"/>
        </w:rPr>
        <w:t>投票、收票、点票和汇总</w:t>
      </w:r>
    </w:p>
    <w:p w14:paraId="3ABD7858">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612F2D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2.1.5</w:t>
      </w:r>
      <w:r>
        <w:rPr>
          <w:rFonts w:hint="eastAsia" w:ascii="宋体" w:hAnsi="宋体" w:eastAsia="宋体" w:cs="宋体"/>
          <w:b/>
          <w:bCs/>
          <w:snapToGrid w:val="0"/>
          <w:color w:val="auto"/>
          <w:kern w:val="0"/>
          <w:highlight w:val="none"/>
        </w:rPr>
        <w:t>公布结果和出具定标报告</w:t>
      </w:r>
    </w:p>
    <w:p w14:paraId="08FEA5C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点票工作完成后，定标委员会组长汇总定标结果，编制定标报告，确定中标候选人，全体成员签名。</w:t>
      </w:r>
    </w:p>
    <w:p w14:paraId="1C32093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2.1.6</w:t>
      </w:r>
      <w:r>
        <w:rPr>
          <w:rFonts w:hint="eastAsia" w:ascii="宋体" w:hAnsi="宋体" w:eastAsia="宋体" w:cs="宋体"/>
          <w:b/>
          <w:bCs/>
          <w:snapToGrid w:val="0"/>
          <w:color w:val="auto"/>
          <w:kern w:val="0"/>
          <w:highlight w:val="none"/>
        </w:rPr>
        <w:t>全程监督</w:t>
      </w:r>
    </w:p>
    <w:p w14:paraId="24A721E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招标监督小组对集体议定的全过程进行监督，确保程序合规、讨论充分、记录完整，结论形成过程公正、透明。</w:t>
      </w:r>
    </w:p>
    <w:p w14:paraId="10C36E9D">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2.2</w:t>
      </w:r>
      <w:r>
        <w:rPr>
          <w:rFonts w:hint="eastAsia" w:ascii="宋体" w:hAnsi="宋体" w:eastAsia="宋体" w:cs="宋体"/>
          <w:b/>
          <w:bCs/>
          <w:snapToGrid w:val="0"/>
          <w:color w:val="auto"/>
          <w:kern w:val="0"/>
          <w:highlight w:val="none"/>
        </w:rPr>
        <w:t>定标因素</w:t>
      </w:r>
    </w:p>
    <w:p w14:paraId="20969D9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定标因素和相对标准有以下几个方面：</w:t>
      </w:r>
    </w:p>
    <w:p w14:paraId="6E205CF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拟派团队管理能力与水平（履约能力）</w:t>
      </w:r>
    </w:p>
    <w:p w14:paraId="5ABA421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相对标准：拟派团队管理能力与水平（履约能力）强的定标候选人优于拟派团队管理能力与水平（履约能力）一般的定标候选人。</w:t>
      </w:r>
    </w:p>
    <w:p w14:paraId="1BD2F34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（2）</w:t>
      </w:r>
      <w:r>
        <w:rPr>
          <w:rFonts w:hint="eastAsia" w:ascii="宋体" w:hAnsi="宋体" w:eastAsia="宋体" w:cs="宋体"/>
          <w:snapToGrid w:val="0"/>
          <w:color w:val="auto"/>
          <w:kern w:val="0"/>
          <w:highlight w:val="none"/>
        </w:rPr>
        <w:t>企业信誉</w:t>
      </w:r>
    </w:p>
    <w:p w14:paraId="6ADB693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相对标准：企业信誉评价好的定标候选人优于企业信誉评价一般的定标候选人。</w:t>
      </w:r>
    </w:p>
    <w:p w14:paraId="4C6C427C">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w:t>
      </w:r>
      <w:r>
        <w:rPr>
          <w:rFonts w:hint="eastAsia" w:ascii="宋体" w:hAnsi="宋体" w:eastAsia="宋体" w:cs="宋体"/>
          <w:snapToGrid w:val="0"/>
          <w:color w:val="auto"/>
          <w:kern w:val="0"/>
          <w:highlight w:val="none"/>
          <w:lang w:val="en-US" w:eastAsia="zh-CN"/>
        </w:rPr>
        <w:t>监理大纲</w:t>
      </w:r>
    </w:p>
    <w:p w14:paraId="4CBC37D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相对标准：监理大纲优良的定标候选人优于监理大纲一般的定标候选人。</w:t>
      </w:r>
    </w:p>
    <w:p w14:paraId="4D79F69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（4）</w:t>
      </w:r>
      <w:r>
        <w:rPr>
          <w:rFonts w:hint="eastAsia" w:ascii="宋体" w:hAnsi="宋体" w:eastAsia="宋体" w:cs="宋体"/>
          <w:snapToGrid w:val="0"/>
          <w:color w:val="auto"/>
          <w:kern w:val="0"/>
          <w:highlight w:val="none"/>
        </w:rPr>
        <w:t>评标报告</w:t>
      </w:r>
    </w:p>
    <w:p w14:paraId="3A22FE6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7FC57C14">
      <w:pPr>
        <w:pStyle w:val="5"/>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75" w:name="_Toc32345"/>
      <w:bookmarkStart w:id="76" w:name="_Toc31869"/>
      <w:bookmarkStart w:id="77" w:name="_Toc29036"/>
      <w:r>
        <w:rPr>
          <w:rFonts w:hint="eastAsia" w:ascii="宋体" w:hAnsi="宋体" w:eastAsia="宋体" w:cs="宋体"/>
          <w:b/>
          <w:snapToGrid w:val="0"/>
          <w:color w:val="auto"/>
          <w:highlight w:val="none"/>
          <w:lang w:val="en-US" w:eastAsia="zh-CN"/>
        </w:rPr>
        <w:t>3.定标结果公示</w:t>
      </w:r>
      <w:bookmarkEnd w:id="75"/>
      <w:bookmarkEnd w:id="76"/>
      <w:bookmarkEnd w:id="77"/>
      <w:r>
        <w:rPr>
          <w:rFonts w:hint="eastAsia" w:ascii="宋体" w:hAnsi="宋体" w:eastAsia="宋体" w:cs="宋体"/>
          <w:b/>
          <w:snapToGrid w:val="0"/>
          <w:color w:val="auto"/>
          <w:highlight w:val="none"/>
          <w:lang w:val="en-US" w:eastAsia="zh-CN"/>
        </w:rPr>
        <w:t xml:space="preserve">  </w:t>
      </w:r>
    </w:p>
    <w:p w14:paraId="46D74AE0">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b/>
          <w:bCs/>
          <w:snapToGrid w:val="0"/>
          <w:color w:val="auto"/>
          <w:kern w:val="0"/>
          <w:highlight w:val="none"/>
          <w:lang w:val="en-US" w:eastAsia="zh-CN"/>
        </w:rPr>
        <w:t>3.1</w:t>
      </w:r>
      <w:r>
        <w:rPr>
          <w:rFonts w:hint="eastAsia" w:ascii="宋体" w:hAnsi="宋体" w:eastAsia="宋体" w:cs="宋体"/>
          <w:snapToGrid w:val="0"/>
          <w:color w:val="auto"/>
          <w:kern w:val="0"/>
          <w:highlight w:val="none"/>
        </w:rPr>
        <w:t>定标委员会完成定标后，招标人应于定标会结束后3个工作日内将中标候选人和定标情况在广东省招标投标监管网和全国公共资源交易平台（广东省·韶关市）工程交易系统上公示，公示时间不少于3个工作日。公示主要内容包括：定标报告（定标成员信息除外）、中标人名单、中标价和拟投入本项目的项目负责人、技术负责人及各专业负责人（如有）等内容。</w:t>
      </w:r>
    </w:p>
    <w:p w14:paraId="28E0961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lang w:val="en-US" w:eastAsia="zh-CN"/>
        </w:rPr>
        <w:t>3.2</w:t>
      </w:r>
      <w:r>
        <w:rPr>
          <w:rFonts w:hint="eastAsia" w:ascii="宋体" w:hAnsi="宋体" w:eastAsia="宋体" w:cs="宋体"/>
          <w:snapToGrid w:val="0"/>
          <w:color w:val="auto"/>
          <w:kern w:val="0"/>
          <w:highlight w:val="none"/>
        </w:rPr>
        <w:t>投标人或者其他利害关系人对招标项目的中标结果有异议的，应当在中标候选人公示期间按规定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7D0171C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b/>
          <w:bCs/>
          <w:snapToGrid w:val="0"/>
          <w:color w:val="auto"/>
          <w:kern w:val="0"/>
          <w:highlight w:val="none"/>
          <w:lang w:val="en-US" w:eastAsia="zh-CN"/>
        </w:rPr>
        <w:t>3.3</w:t>
      </w:r>
      <w:r>
        <w:rPr>
          <w:rFonts w:hint="eastAsia" w:ascii="宋体" w:hAnsi="宋体" w:eastAsia="宋体" w:cs="宋体"/>
          <w:snapToGrid w:val="0"/>
          <w:color w:val="auto"/>
          <w:kern w:val="0"/>
          <w:highlight w:val="none"/>
        </w:rPr>
        <w:t>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5E0E8692">
      <w:pPr>
        <w:pStyle w:val="5"/>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78" w:name="_Toc31812"/>
      <w:bookmarkStart w:id="79" w:name="_Toc28855"/>
      <w:bookmarkStart w:id="80" w:name="_Toc24457"/>
      <w:r>
        <w:rPr>
          <w:rFonts w:hint="eastAsia" w:ascii="宋体" w:hAnsi="宋体" w:eastAsia="宋体" w:cs="宋体"/>
          <w:b/>
          <w:snapToGrid w:val="0"/>
          <w:color w:val="auto"/>
          <w:highlight w:val="none"/>
          <w:lang w:val="en-US" w:eastAsia="zh-CN"/>
        </w:rPr>
        <w:t>4.中标确认</w:t>
      </w:r>
      <w:bookmarkEnd w:id="78"/>
      <w:bookmarkEnd w:id="79"/>
      <w:bookmarkEnd w:id="80"/>
    </w:p>
    <w:p w14:paraId="0FF416D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中标人确定</w:t>
      </w:r>
      <w:r>
        <w:rPr>
          <w:rFonts w:hint="eastAsia"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中标结果公示期满无（投诉）后，招标人确认排名第一的中标候选人为中标人，中标人的投标报价即为中标价。</w:t>
      </w:r>
    </w:p>
    <w:p w14:paraId="41473EE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62ABDBC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4AC1190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1A7799A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41D2075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02D8617A">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41D8A519">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3644ADA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4FFB9D8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68F2EB03">
      <w:pPr>
        <w:pageBreakBefore w:val="0"/>
        <w:kinsoku/>
        <w:wordWrap w:val="0"/>
        <w:overflowPunct/>
        <w:topLinePunct w:val="0"/>
        <w:bidi w:val="0"/>
        <w:adjustRightInd w:val="0"/>
        <w:snapToGrid w:val="0"/>
        <w:spacing w:line="500" w:lineRule="exact"/>
        <w:textAlignment w:val="auto"/>
        <w:rPr>
          <w:rFonts w:hint="eastAsia" w:ascii="宋体" w:hAnsi="宋体" w:eastAsia="宋体" w:cs="宋体"/>
          <w:snapToGrid w:val="0"/>
          <w:color w:val="auto"/>
          <w:kern w:val="0"/>
          <w:highlight w:val="none"/>
        </w:rPr>
      </w:pPr>
    </w:p>
    <w:p w14:paraId="7624676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2FAC246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753E11E4">
      <w:pPr>
        <w:pStyle w:val="3"/>
        <w:wordWrap w:val="0"/>
        <w:autoSpaceDE/>
        <w:autoSpaceDN/>
        <w:snapToGrid w:val="0"/>
        <w:spacing w:line="440" w:lineRule="exact"/>
        <w:jc w:val="center"/>
        <w:rPr>
          <w:rFonts w:hAnsi="宋体" w:cs="宋体"/>
          <w:b/>
          <w:snapToGrid w:val="0"/>
          <w:color w:val="auto"/>
          <w:sz w:val="32"/>
          <w:szCs w:val="22"/>
          <w:highlight w:val="none"/>
        </w:rPr>
      </w:pPr>
      <w:bookmarkStart w:id="81" w:name="_Hlt69669771"/>
      <w:bookmarkEnd w:id="81"/>
      <w:bookmarkStart w:id="82" w:name="_Hlt112206772"/>
      <w:bookmarkEnd w:id="82"/>
      <w:bookmarkStart w:id="83" w:name="_Hlt87952408"/>
      <w:bookmarkEnd w:id="83"/>
      <w:bookmarkStart w:id="84" w:name="_Hlt70150994"/>
      <w:bookmarkEnd w:id="84"/>
      <w:bookmarkStart w:id="85" w:name="_Toc24921"/>
      <w:bookmarkStart w:id="86" w:name="_Hlt69698722"/>
      <w:bookmarkStart w:id="87" w:name="_Hlt69698741"/>
      <w:bookmarkStart w:id="88" w:name="_Hlt69698769"/>
      <w:r>
        <w:rPr>
          <w:rFonts w:hint="eastAsia" w:hAnsi="宋体" w:cs="宋体"/>
          <w:b/>
          <w:snapToGrid w:val="0"/>
          <w:color w:val="auto"/>
          <w:sz w:val="32"/>
          <w:szCs w:val="22"/>
          <w:highlight w:val="none"/>
        </w:rPr>
        <w:t>第</w:t>
      </w:r>
      <w:bookmarkStart w:id="89" w:name="_Hlt69669171"/>
      <w:bookmarkEnd w:id="89"/>
      <w:r>
        <w:rPr>
          <w:rFonts w:hint="eastAsia" w:hAnsi="宋体" w:cs="宋体"/>
          <w:b/>
          <w:snapToGrid w:val="0"/>
          <w:color w:val="auto"/>
          <w:sz w:val="32"/>
          <w:szCs w:val="22"/>
          <w:highlight w:val="none"/>
        </w:rPr>
        <w:t>二章</w:t>
      </w:r>
      <w:bookmarkStart w:id="90" w:name="_Hlt87793839"/>
      <w:bookmarkEnd w:id="90"/>
      <w:r>
        <w:rPr>
          <w:rFonts w:hint="eastAsia" w:hAnsi="宋体" w:cs="宋体"/>
          <w:b/>
          <w:snapToGrid w:val="0"/>
          <w:color w:val="auto"/>
          <w:sz w:val="32"/>
          <w:szCs w:val="22"/>
          <w:highlight w:val="none"/>
        </w:rPr>
        <w:t xml:space="preserve"> 中标人须知</w:t>
      </w:r>
      <w:bookmarkEnd w:id="85"/>
    </w:p>
    <w:bookmarkEnd w:id="86"/>
    <w:bookmarkEnd w:id="87"/>
    <w:bookmarkEnd w:id="88"/>
    <w:p w14:paraId="38AEC5D6">
      <w:pPr>
        <w:bidi w:val="0"/>
        <w:rPr>
          <w:color w:val="auto"/>
          <w:highlight w:val="none"/>
        </w:rPr>
      </w:pPr>
    </w:p>
    <w:p w14:paraId="33D6C730">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91" w:name="_Toc8149"/>
      <w:bookmarkStart w:id="92" w:name="_Toc30174"/>
      <w:bookmarkStart w:id="93" w:name="_Toc18336"/>
      <w:bookmarkStart w:id="94" w:name="_Toc32205"/>
      <w:bookmarkStart w:id="95" w:name="_Toc15170"/>
      <w:bookmarkStart w:id="96" w:name="_Toc21594"/>
      <w:bookmarkStart w:id="97" w:name="_Toc31521"/>
      <w:r>
        <w:rPr>
          <w:rFonts w:hint="eastAsia" w:hAnsi="宋体" w:cs="宋体"/>
          <w:b/>
          <w:snapToGrid w:val="0"/>
          <w:color w:val="auto"/>
          <w:kern w:val="0"/>
          <w:szCs w:val="24"/>
          <w:highlight w:val="none"/>
        </w:rPr>
        <w:t>1．中标通知书</w:t>
      </w:r>
      <w:bookmarkEnd w:id="91"/>
      <w:bookmarkEnd w:id="92"/>
      <w:bookmarkEnd w:id="93"/>
      <w:bookmarkEnd w:id="94"/>
      <w:bookmarkEnd w:id="95"/>
      <w:bookmarkEnd w:id="96"/>
      <w:bookmarkEnd w:id="97"/>
    </w:p>
    <w:p w14:paraId="11A1ADEE">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E979E6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98" w:name="_Toc23133"/>
      <w:bookmarkStart w:id="99" w:name="_Toc28601"/>
      <w:bookmarkStart w:id="100" w:name="_Toc30560"/>
      <w:bookmarkStart w:id="101" w:name="_Toc10931"/>
      <w:bookmarkStart w:id="102" w:name="_Toc1519"/>
      <w:bookmarkStart w:id="103" w:name="_Toc17251"/>
      <w:bookmarkStart w:id="104" w:name="_Toc6792"/>
      <w:r>
        <w:rPr>
          <w:rFonts w:hint="eastAsia" w:hAnsi="宋体" w:cs="宋体"/>
          <w:b/>
          <w:bCs/>
          <w:snapToGrid w:val="0"/>
          <w:color w:val="auto"/>
          <w:kern w:val="0"/>
          <w:szCs w:val="24"/>
          <w:highlight w:val="none"/>
        </w:rPr>
        <w:t>2．中标结果公示</w:t>
      </w:r>
      <w:bookmarkEnd w:id="98"/>
      <w:bookmarkEnd w:id="99"/>
      <w:bookmarkEnd w:id="100"/>
      <w:bookmarkEnd w:id="101"/>
      <w:bookmarkEnd w:id="102"/>
      <w:bookmarkEnd w:id="103"/>
      <w:bookmarkEnd w:id="104"/>
    </w:p>
    <w:p w14:paraId="52B0780F">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w:t>
      </w:r>
      <w:r>
        <w:rPr>
          <w:rFonts w:hint="eastAsia" w:ascii="宋体" w:hAnsi="宋体" w:eastAsia="宋体" w:cs="宋体"/>
          <w:snapToGrid w:val="0"/>
          <w:color w:val="auto"/>
          <w:kern w:val="0"/>
          <w:sz w:val="24"/>
          <w:szCs w:val="24"/>
          <w:highlight w:val="none"/>
          <w:lang w:eastAsia="zh-CN"/>
        </w:rPr>
        <w:t>（https://zbtb.gd.gov.cn/#/index）</w:t>
      </w:r>
      <w:r>
        <w:rPr>
          <w:rFonts w:hint="eastAsia" w:ascii="宋体" w:hAnsi="宋体" w:eastAsia="宋体" w:cs="宋体"/>
          <w:snapToGrid w:val="0"/>
          <w:color w:val="auto"/>
          <w:kern w:val="0"/>
          <w:sz w:val="24"/>
          <w:szCs w:val="24"/>
          <w:highlight w:val="none"/>
        </w:rPr>
        <w:t>及</w:t>
      </w:r>
      <w:r>
        <w:rPr>
          <w:rFonts w:hint="eastAsia" w:ascii="宋体" w:hAnsi="宋体" w:eastAsia="宋体" w:cs="宋体"/>
          <w:snapToGrid w:val="0"/>
          <w:color w:val="auto"/>
          <w:kern w:val="0"/>
          <w:sz w:val="24"/>
          <w:szCs w:val="24"/>
          <w:highlight w:val="none"/>
          <w:lang w:val="en-US"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进行公示。</w:t>
      </w:r>
      <w:bookmarkStart w:id="105" w:name="_Toc20923"/>
      <w:bookmarkStart w:id="106" w:name="_Toc23475"/>
      <w:bookmarkStart w:id="107" w:name="_Toc25367"/>
      <w:bookmarkStart w:id="108" w:name="_Toc22628"/>
      <w:bookmarkStart w:id="109" w:name="_Toc16211"/>
    </w:p>
    <w:p w14:paraId="7573F4F2">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highlight w:val="none"/>
        </w:rPr>
      </w:pPr>
      <w:bookmarkStart w:id="110" w:name="_Toc32445"/>
      <w:bookmarkStart w:id="111" w:name="_Toc11910"/>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．履约保证</w:t>
      </w:r>
      <w:bookmarkEnd w:id="110"/>
      <w:bookmarkEnd w:id="111"/>
    </w:p>
    <w:p w14:paraId="3C0B5C83">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firstLine="482" w:firstLineChars="200"/>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rPr>
        <w:t>3.1</w:t>
      </w:r>
      <w:r>
        <w:rPr>
          <w:rFonts w:hint="eastAsia" w:ascii="宋体" w:hAnsi="宋体" w:eastAsia="宋体" w:cs="宋体"/>
          <w:snapToGrid w:val="0"/>
          <w:color w:val="auto"/>
          <w:kern w:val="0"/>
          <w:sz w:val="24"/>
          <w:szCs w:val="24"/>
          <w:highlight w:val="none"/>
        </w:rPr>
        <w:t xml:space="preserve"> 中标人须在领取中标通知书之日起</w:t>
      </w:r>
      <w:r>
        <w:rPr>
          <w:rFonts w:hint="eastAsia" w:ascii="宋体" w:hAnsi="宋体" w:eastAsia="宋体" w:cs="宋体"/>
          <w:snapToGrid w:val="0"/>
          <w:color w:val="auto"/>
          <w:kern w:val="0"/>
          <w:sz w:val="24"/>
          <w:szCs w:val="24"/>
          <w:highlight w:val="none"/>
          <w:u w:val="single"/>
        </w:rPr>
        <w:t xml:space="preserve"> 10 </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%的履约保证。</w:t>
      </w:r>
    </w:p>
    <w:p w14:paraId="29BD7206">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3.2</w:t>
      </w:r>
      <w:r>
        <w:rPr>
          <w:rFonts w:hint="eastAsia" w:ascii="宋体" w:hAnsi="宋体" w:eastAsia="宋体" w:cs="宋体"/>
          <w:snapToGrid w:val="0"/>
          <w:color w:val="auto"/>
          <w:kern w:val="0"/>
          <w:sz w:val="24"/>
          <w:szCs w:val="24"/>
          <w:highlight w:val="none"/>
        </w:rPr>
        <w:t xml:space="preserve"> 履约保证的形式包括履约保证金、履约保证担保、履约保证保险三种，中标通知书发出时，招标人发起收缴履约保证金并填写保证金金额、缴交时限和项目工期；由中标人在建设工程交易系统中自主选择一种进行缴交。项目竣工后，由招标人发起退保。</w:t>
      </w:r>
    </w:p>
    <w:p w14:paraId="0517450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w:t>
      </w:r>
    </w:p>
    <w:p w14:paraId="191AA2C0">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在项目实施过程中，如果承包人（即招标阶段的中标人，下同）由于自身的资金、技术、质量、非不可抗力等原因给发包人（即招标阶段的招标人，下同）造成经济损失，发包人有权扣划相应金额的履约保证。</w:t>
      </w:r>
    </w:p>
    <w:p w14:paraId="71E06F02">
      <w:pPr>
        <w:bidi w:val="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3.5</w:t>
      </w:r>
      <w:r>
        <w:rPr>
          <w:rFonts w:hint="eastAsia" w:ascii="宋体" w:hAnsi="宋体" w:eastAsia="宋体" w:cs="宋体"/>
          <w:snapToGrid w:val="0"/>
          <w:color w:val="auto"/>
          <w:kern w:val="0"/>
          <w:sz w:val="24"/>
          <w:szCs w:val="24"/>
          <w:highlight w:val="none"/>
        </w:rPr>
        <w:t xml:space="preserve"> 项目通过竣工验收之日后28天内，发包人将履约保证退还给承包人。</w:t>
      </w:r>
    </w:p>
    <w:p w14:paraId="26AA120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highlight w:val="none"/>
          <w:lang w:val="en-US" w:eastAsia="zh-CN"/>
        </w:rPr>
      </w:pPr>
      <w:bookmarkStart w:id="112" w:name="_Toc12971"/>
      <w:bookmarkStart w:id="113" w:name="_Toc5474"/>
      <w:r>
        <w:rPr>
          <w:rFonts w:hint="eastAsia" w:hAnsi="宋体" w:cs="宋体"/>
          <w:b/>
          <w:bCs/>
          <w:snapToGrid w:val="0"/>
          <w:color w:val="auto"/>
          <w:kern w:val="0"/>
          <w:szCs w:val="24"/>
          <w:highlight w:val="none"/>
          <w:lang w:val="en-US" w:eastAsia="zh-CN"/>
        </w:rPr>
        <w:t>4.合同订立</w:t>
      </w:r>
      <w:bookmarkEnd w:id="105"/>
      <w:bookmarkEnd w:id="106"/>
      <w:bookmarkEnd w:id="107"/>
      <w:bookmarkEnd w:id="108"/>
      <w:bookmarkEnd w:id="109"/>
      <w:bookmarkEnd w:id="112"/>
      <w:bookmarkEnd w:id="113"/>
    </w:p>
    <w:p w14:paraId="32BFD30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招标人应当自中标通知书发出之日起</w:t>
      </w:r>
      <w:r>
        <w:rPr>
          <w:rFonts w:hint="eastAsia" w:hAnsi="宋体" w:cs="宋体"/>
          <w:snapToGrid w:val="0"/>
          <w:color w:val="auto"/>
          <w:kern w:val="0"/>
          <w:szCs w:val="24"/>
          <w:highlight w:val="none"/>
          <w:u w:val="single"/>
        </w:rPr>
        <w:t xml:space="preserve"> 30 </w:t>
      </w:r>
      <w:r>
        <w:rPr>
          <w:rFonts w:hint="eastAsia" w:hAnsi="宋体" w:cs="宋体"/>
          <w:snapToGrid w:val="0"/>
          <w:color w:val="auto"/>
          <w:kern w:val="0"/>
          <w:szCs w:val="24"/>
          <w:highlight w:val="none"/>
        </w:rPr>
        <w:t>日内，按照招标文件、中标人的投标文件与中标人订立书面合同。</w:t>
      </w:r>
    </w:p>
    <w:p w14:paraId="1CED438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合同的标的、质量、履行期限条款和合同的价款、风险分担等主要条款，应当与招标文件、中标人的投标文件的内容一致。中标人在签订合同时不得向招标人提出附加条件。</w:t>
      </w:r>
    </w:p>
    <w:p w14:paraId="123B366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.3</w:t>
      </w:r>
      <w:r>
        <w:rPr>
          <w:rFonts w:hint="eastAsia" w:hAnsi="宋体" w:cs="宋体"/>
          <w:snapToGrid w:val="0"/>
          <w:color w:val="auto"/>
          <w:kern w:val="0"/>
          <w:szCs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5A965A0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A380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14" w:name="_Toc25887"/>
      <w:bookmarkStart w:id="115" w:name="_Toc11598"/>
      <w:bookmarkStart w:id="116" w:name="_Toc1819"/>
      <w:bookmarkStart w:id="117" w:name="_Toc6741"/>
      <w:bookmarkStart w:id="118" w:name="_Toc3858"/>
      <w:bookmarkStart w:id="119" w:name="_Toc13450"/>
      <w:bookmarkStart w:id="120" w:name="_Toc10701"/>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．放弃中标的处理</w:t>
      </w:r>
      <w:bookmarkEnd w:id="114"/>
      <w:bookmarkEnd w:id="115"/>
      <w:bookmarkEnd w:id="116"/>
      <w:bookmarkEnd w:id="117"/>
      <w:bookmarkEnd w:id="118"/>
      <w:bookmarkEnd w:id="119"/>
      <w:bookmarkEnd w:id="120"/>
    </w:p>
    <w:p w14:paraId="3D3DAE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5CCD4E8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2AA1A1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21" w:name="_Toc11751"/>
      <w:bookmarkStart w:id="122" w:name="_Toc15893"/>
      <w:bookmarkStart w:id="123" w:name="_Toc1831"/>
      <w:bookmarkStart w:id="124" w:name="_Toc500"/>
      <w:bookmarkStart w:id="125" w:name="_Toc8282"/>
      <w:bookmarkStart w:id="126" w:name="_Toc26352"/>
      <w:bookmarkStart w:id="127" w:name="_Toc17549"/>
      <w:r>
        <w:rPr>
          <w:rFonts w:hint="eastAsia" w:hAnsi="宋体" w:cs="宋体"/>
          <w:b/>
          <w:bCs/>
          <w:snapToGrid w:val="0"/>
          <w:color w:val="auto"/>
          <w:kern w:val="0"/>
          <w:szCs w:val="24"/>
          <w:highlight w:val="none"/>
          <w:lang w:val="en-US" w:eastAsia="zh-CN"/>
        </w:rPr>
        <w:t>6</w:t>
      </w:r>
      <w:r>
        <w:rPr>
          <w:rFonts w:hint="eastAsia" w:hAnsi="宋体" w:cs="宋体"/>
          <w:b/>
          <w:bCs/>
          <w:snapToGrid w:val="0"/>
          <w:color w:val="auto"/>
          <w:kern w:val="0"/>
          <w:szCs w:val="24"/>
          <w:highlight w:val="none"/>
        </w:rPr>
        <w:t>．分包</w:t>
      </w:r>
      <w:bookmarkEnd w:id="121"/>
      <w:bookmarkEnd w:id="122"/>
      <w:bookmarkEnd w:id="123"/>
      <w:bookmarkEnd w:id="124"/>
      <w:bookmarkEnd w:id="125"/>
      <w:bookmarkEnd w:id="126"/>
      <w:bookmarkEnd w:id="127"/>
    </w:p>
    <w:p w14:paraId="1F836E2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合同范围内的监理服务严禁分包，一经发现，委托人有权解除合同，由此引起的一切经济损失和法律责任由监理人自行承担。</w:t>
      </w:r>
    </w:p>
    <w:p w14:paraId="3AD9B3F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28" w:name="_Toc25358"/>
      <w:bookmarkStart w:id="129" w:name="_Toc25800"/>
      <w:bookmarkStart w:id="130" w:name="_Toc17560"/>
      <w:bookmarkStart w:id="131" w:name="_Toc18249"/>
      <w:bookmarkStart w:id="132" w:name="_Toc18564"/>
      <w:bookmarkStart w:id="133" w:name="_Toc19761"/>
      <w:bookmarkStart w:id="134" w:name="_Toc2527"/>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．监理服务期限</w:t>
      </w:r>
      <w:bookmarkEnd w:id="128"/>
      <w:bookmarkEnd w:id="129"/>
      <w:bookmarkEnd w:id="130"/>
      <w:bookmarkEnd w:id="131"/>
      <w:bookmarkEnd w:id="132"/>
      <w:bookmarkEnd w:id="133"/>
      <w:bookmarkEnd w:id="134"/>
    </w:p>
    <w:p w14:paraId="33F7FA0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当满足专用合同条款约定的开始监理条件时，委托人应提前7天向监理人发出开始监理通知。监理服务期限自开始监理通知中载明的开始监理日期起计算。</w:t>
      </w:r>
    </w:p>
    <w:p w14:paraId="419D82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在合同履行过程中，由于下列原因造成监理服务期限延误的，委托人应当延长监理服务期限并增加监理酬金，具体方法在专用合同条款中约定。</w:t>
      </w:r>
    </w:p>
    <w:p w14:paraId="0D7978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（1）合同变更；</w:t>
      </w:r>
    </w:p>
    <w:p w14:paraId="2EAE33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（2）因委托人原因导致的监理工作暂停；</w:t>
      </w:r>
    </w:p>
    <w:p w14:paraId="5B9605F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（3）未按合同约定及时支付监理服务酬金；</w:t>
      </w:r>
    </w:p>
    <w:p w14:paraId="55DDA44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（4）未及时履行合同约定的相关义务；</w:t>
      </w:r>
    </w:p>
    <w:p w14:paraId="377E21A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（5）由于承包人（指在本招标项目监理范围内，与委托人签订勘察、设计、施工承包合同的当事人，下同）延误、行政管理造成的监理服务期限延误；</w:t>
      </w:r>
    </w:p>
    <w:p w14:paraId="20EBAA7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（6）造成监理服务期限延误的其他原因。</w:t>
      </w:r>
    </w:p>
    <w:p w14:paraId="72AA30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35" w:name="_Toc6559"/>
      <w:bookmarkStart w:id="136" w:name="_Toc13950"/>
      <w:bookmarkStart w:id="137" w:name="_Toc17664"/>
      <w:bookmarkStart w:id="138" w:name="_Toc13195"/>
      <w:bookmarkStart w:id="139" w:name="_Toc25479"/>
      <w:bookmarkStart w:id="140" w:name="_Toc6532"/>
      <w:bookmarkStart w:id="141" w:name="_Toc23108"/>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．项目监理机构</w:t>
      </w:r>
      <w:bookmarkEnd w:id="135"/>
      <w:bookmarkEnd w:id="136"/>
      <w:bookmarkEnd w:id="137"/>
      <w:bookmarkEnd w:id="138"/>
      <w:bookmarkEnd w:id="139"/>
      <w:bookmarkEnd w:id="140"/>
      <w:bookmarkEnd w:id="141"/>
    </w:p>
    <w:p w14:paraId="67997DE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监理人派驻项目监理机构的人员必须为其投标文件确定的人员，否则委托人有权解除合同。</w:t>
      </w:r>
    </w:p>
    <w:p w14:paraId="75E21DC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A7A45A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42" w:name="_Toc27412"/>
      <w:bookmarkStart w:id="143" w:name="_Toc19789"/>
      <w:bookmarkStart w:id="144" w:name="_Toc16997"/>
      <w:bookmarkStart w:id="145" w:name="_Toc20449"/>
      <w:bookmarkStart w:id="146" w:name="_Toc20861"/>
      <w:bookmarkStart w:id="147" w:name="_Toc6056"/>
      <w:bookmarkStart w:id="148" w:name="_Toc23097"/>
      <w:r>
        <w:rPr>
          <w:rFonts w:hint="eastAsia" w:hAnsi="宋体" w:cs="宋体"/>
          <w:b/>
          <w:snapToGrid w:val="0"/>
          <w:color w:val="auto"/>
          <w:kern w:val="0"/>
          <w:szCs w:val="24"/>
          <w:highlight w:val="none"/>
          <w:lang w:val="en-US" w:eastAsia="zh-CN"/>
        </w:rPr>
        <w:t>9</w:t>
      </w:r>
      <w:r>
        <w:rPr>
          <w:rFonts w:hint="eastAsia" w:hAnsi="宋体" w:cs="宋体"/>
          <w:b/>
          <w:snapToGrid w:val="0"/>
          <w:color w:val="auto"/>
          <w:kern w:val="0"/>
          <w:szCs w:val="24"/>
          <w:highlight w:val="none"/>
        </w:rPr>
        <w:t>．安全防护</w:t>
      </w:r>
      <w:bookmarkEnd w:id="142"/>
      <w:bookmarkEnd w:id="143"/>
      <w:bookmarkEnd w:id="144"/>
      <w:bookmarkEnd w:id="145"/>
      <w:bookmarkEnd w:id="146"/>
      <w:bookmarkEnd w:id="147"/>
      <w:bookmarkEnd w:id="148"/>
    </w:p>
    <w:p w14:paraId="23FF1D8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监理人应按照安全监理有关规定，采取严格、科学的安全防护措施，确保监理人员人身安全，承担由于自身安全防护措施不力所造成的安全事故责任和发生的费用。</w:t>
      </w:r>
    </w:p>
    <w:p w14:paraId="45E28A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49" w:name="_Toc1181"/>
      <w:bookmarkStart w:id="150" w:name="_Toc13413"/>
      <w:bookmarkStart w:id="151" w:name="_Toc9618"/>
      <w:bookmarkStart w:id="152" w:name="_Toc14079"/>
      <w:bookmarkStart w:id="153" w:name="_Toc16174"/>
      <w:bookmarkStart w:id="154" w:name="_Toc17881"/>
      <w:bookmarkStart w:id="155" w:name="_Toc27428"/>
      <w:r>
        <w:rPr>
          <w:rFonts w:hint="eastAsia" w:hAnsi="宋体" w:cs="宋体"/>
          <w:b/>
          <w:snapToGrid w:val="0"/>
          <w:color w:val="auto"/>
          <w:kern w:val="0"/>
          <w:szCs w:val="24"/>
          <w:highlight w:val="none"/>
          <w:lang w:val="en-US" w:eastAsia="zh-CN"/>
        </w:rPr>
        <w:t>10</w:t>
      </w:r>
      <w:r>
        <w:rPr>
          <w:rFonts w:hint="eastAsia" w:hAnsi="宋体" w:cs="宋体"/>
          <w:b/>
          <w:snapToGrid w:val="0"/>
          <w:color w:val="auto"/>
          <w:kern w:val="0"/>
          <w:szCs w:val="24"/>
          <w:highlight w:val="none"/>
        </w:rPr>
        <w:t>．接受监督</w:t>
      </w:r>
      <w:bookmarkEnd w:id="149"/>
      <w:bookmarkEnd w:id="150"/>
      <w:bookmarkEnd w:id="151"/>
      <w:bookmarkEnd w:id="152"/>
      <w:bookmarkEnd w:id="153"/>
      <w:bookmarkEnd w:id="154"/>
      <w:bookmarkEnd w:id="155"/>
    </w:p>
    <w:p w14:paraId="080610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bCs/>
          <w:snapToGrid w:val="0"/>
          <w:color w:val="auto"/>
          <w:kern w:val="0"/>
          <w:szCs w:val="24"/>
          <w:highlight w:val="none"/>
        </w:rPr>
      </w:pPr>
      <w:r>
        <w:rPr>
          <w:rFonts w:hint="eastAsia" w:hAnsi="宋体" w:cs="宋体"/>
          <w:snapToGrid w:val="0"/>
          <w:color w:val="auto"/>
          <w:kern w:val="0"/>
          <w:szCs w:val="24"/>
          <w:highlight w:val="none"/>
        </w:rPr>
        <w:t>监理人应严格按照法律、法规以及</w:t>
      </w:r>
      <w:r>
        <w:rPr>
          <w:rFonts w:hint="eastAsia" w:hAnsi="宋体" w:cs="宋体"/>
          <w:bCs/>
          <w:snapToGrid w:val="0"/>
          <w:color w:val="auto"/>
          <w:kern w:val="0"/>
          <w:szCs w:val="24"/>
          <w:highlight w:val="none"/>
        </w:rPr>
        <w:t>《建设工程监理规范》（GB/T 50319—2013）有关规定实施监理，同时须</w:t>
      </w:r>
      <w:r>
        <w:rPr>
          <w:rFonts w:hint="eastAsia" w:hAnsi="宋体" w:cs="宋体"/>
          <w:snapToGrid w:val="0"/>
          <w:color w:val="auto"/>
          <w:kern w:val="0"/>
          <w:szCs w:val="24"/>
          <w:highlight w:val="none"/>
        </w:rPr>
        <w:t>服从委托人以及建设行政主管部门对监理工作全方位的监督，及时将监理大纲、监理规划、监理实施细则等监理文件报委托人审查备案。</w:t>
      </w:r>
    </w:p>
    <w:p w14:paraId="4F9D73C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bCs/>
          <w:snapToGrid w:val="0"/>
          <w:color w:val="auto"/>
          <w:kern w:val="0"/>
          <w:szCs w:val="24"/>
          <w:highlight w:val="none"/>
        </w:rPr>
      </w:pPr>
      <w:bookmarkStart w:id="156" w:name="_Toc24102"/>
      <w:bookmarkStart w:id="157" w:name="_Toc18397"/>
      <w:bookmarkStart w:id="158" w:name="_Toc14327"/>
      <w:bookmarkStart w:id="159" w:name="_Toc26662"/>
      <w:bookmarkStart w:id="160" w:name="_Toc4730"/>
      <w:bookmarkStart w:id="161" w:name="_Toc25424"/>
      <w:bookmarkStart w:id="162" w:name="_Toc737"/>
      <w:r>
        <w:rPr>
          <w:rFonts w:hint="eastAsia" w:hAnsi="宋体" w:cs="宋体"/>
          <w:b/>
          <w:snapToGrid w:val="0"/>
          <w:color w:val="auto"/>
          <w:kern w:val="0"/>
          <w:szCs w:val="24"/>
          <w:highlight w:val="none"/>
        </w:rPr>
        <w:t>1</w:t>
      </w:r>
      <w:r>
        <w:rPr>
          <w:rFonts w:hint="eastAsia" w:hAnsi="宋体" w:cs="宋体"/>
          <w:b/>
          <w:snapToGrid w:val="0"/>
          <w:color w:val="auto"/>
          <w:kern w:val="0"/>
          <w:szCs w:val="24"/>
          <w:highlight w:val="none"/>
          <w:lang w:val="en-US" w:eastAsia="zh-CN"/>
        </w:rPr>
        <w:t>1</w:t>
      </w:r>
      <w:r>
        <w:rPr>
          <w:rFonts w:hint="eastAsia" w:hAnsi="宋体" w:cs="宋体"/>
          <w:b/>
          <w:snapToGrid w:val="0"/>
          <w:color w:val="auto"/>
          <w:kern w:val="0"/>
          <w:szCs w:val="24"/>
          <w:highlight w:val="none"/>
        </w:rPr>
        <w:t>．监理档案移交</w:t>
      </w:r>
      <w:bookmarkEnd w:id="156"/>
      <w:bookmarkEnd w:id="157"/>
      <w:bookmarkEnd w:id="158"/>
      <w:bookmarkEnd w:id="159"/>
      <w:bookmarkEnd w:id="160"/>
      <w:bookmarkEnd w:id="161"/>
      <w:bookmarkEnd w:id="162"/>
    </w:p>
    <w:p w14:paraId="39E3E4D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项目竣工验收后，监理人应向委托人提交一式</w:t>
      </w:r>
      <w:r>
        <w:rPr>
          <w:rFonts w:hint="eastAsia" w:hAnsi="宋体" w:cs="宋体"/>
          <w:bCs/>
          <w:snapToGrid w:val="0"/>
          <w:color w:val="auto"/>
          <w:kern w:val="0"/>
          <w:szCs w:val="24"/>
          <w:highlight w:val="none"/>
          <w:u w:val="single"/>
        </w:rPr>
        <w:t xml:space="preserve"> 五 </w:t>
      </w:r>
      <w:r>
        <w:rPr>
          <w:rFonts w:hint="eastAsia" w:hAnsi="宋体" w:cs="宋体"/>
          <w:bCs/>
          <w:snapToGrid w:val="0"/>
          <w:color w:val="auto"/>
          <w:kern w:val="0"/>
          <w:szCs w:val="24"/>
          <w:highlight w:val="none"/>
        </w:rPr>
        <w:t>份符合《建设工程监理规范》（GB/T 50319—2013）以及《韶关市城市建设档案管理办法》要求的监理档案。</w:t>
      </w:r>
    </w:p>
    <w:p w14:paraId="73BB0CCA">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trike/>
          <w:snapToGrid w:val="0"/>
          <w:color w:val="auto"/>
          <w:kern w:val="0"/>
          <w:szCs w:val="24"/>
          <w:highlight w:val="none"/>
        </w:rPr>
      </w:pPr>
      <w:bookmarkStart w:id="163" w:name="_Toc19314"/>
      <w:bookmarkStart w:id="164" w:name="_Toc24329"/>
      <w:bookmarkStart w:id="165" w:name="_Toc16612"/>
      <w:bookmarkStart w:id="166" w:name="_Toc6629"/>
      <w:bookmarkStart w:id="167" w:name="_Toc32477"/>
      <w:bookmarkStart w:id="168" w:name="_Toc13197"/>
      <w:bookmarkStart w:id="169" w:name="_Toc2540"/>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2</w:t>
      </w:r>
      <w:r>
        <w:rPr>
          <w:rFonts w:hint="eastAsia" w:hAnsi="宋体" w:cs="宋体"/>
          <w:b/>
          <w:snapToGrid w:val="0"/>
          <w:color w:val="auto"/>
          <w:kern w:val="0"/>
          <w:szCs w:val="24"/>
          <w:highlight w:val="none"/>
        </w:rPr>
        <w:t>．不良行为处理</w:t>
      </w:r>
      <w:bookmarkEnd w:id="163"/>
      <w:bookmarkEnd w:id="164"/>
      <w:bookmarkEnd w:id="165"/>
      <w:bookmarkEnd w:id="166"/>
      <w:bookmarkEnd w:id="167"/>
      <w:bookmarkEnd w:id="168"/>
      <w:bookmarkEnd w:id="169"/>
    </w:p>
    <w:p w14:paraId="04C55AB1">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监理人及其有关人员有下列行为之一的，委托人应及时报请建设行政主管部门查处。</w:t>
      </w:r>
    </w:p>
    <w:p w14:paraId="004FF115">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（1）转让监理业务的；</w:t>
      </w:r>
    </w:p>
    <w:p w14:paraId="3812AF65">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（2）非原参加投标中标的总监理工程师负责组织监理或在实施过程中擅自更换总监理工程师的、项目监理机构的其他监理人员与中标文件确定的人员不相符的；</w:t>
      </w:r>
    </w:p>
    <w:p w14:paraId="4A3AB02B">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（3）与建设单位、施工单位串通，签认虚假工程量或工程造价的；</w:t>
      </w:r>
    </w:p>
    <w:p w14:paraId="232AE11F">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（4）现场监理不到位的；</w:t>
      </w:r>
    </w:p>
    <w:p w14:paraId="4D39599F">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（5）非本人资格证书注册单位从事监理工作的；</w:t>
      </w:r>
    </w:p>
    <w:p w14:paraId="6B6840EA">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（6）总监理工程师承担超过三项工程监理任务的；</w:t>
      </w:r>
    </w:p>
    <w:p w14:paraId="0F7A5E75">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（7）违反有关法律、法规、规章规定的其它行为。</w:t>
      </w:r>
    </w:p>
    <w:p w14:paraId="3D1008B4">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ascii="宋体" w:hAnsi="宋体" w:cs="宋体"/>
          <w:b/>
          <w:bCs/>
          <w:snapToGrid w:val="0"/>
          <w:color w:val="auto"/>
          <w:kern w:val="0"/>
          <w:szCs w:val="24"/>
          <w:highlight w:val="none"/>
        </w:rPr>
      </w:pPr>
      <w:bookmarkStart w:id="170" w:name="_Toc15923"/>
      <w:bookmarkStart w:id="171" w:name="_Toc28837"/>
      <w:bookmarkStart w:id="172" w:name="_Toc5618"/>
      <w:bookmarkStart w:id="173" w:name="_Toc29467"/>
      <w:bookmarkStart w:id="174" w:name="_Toc15431"/>
      <w:bookmarkStart w:id="175" w:name="_Toc17537"/>
      <w:bookmarkStart w:id="176" w:name="_Toc2784"/>
      <w:r>
        <w:rPr>
          <w:rFonts w:hint="eastAsia" w:ascii="宋体" w:hAnsi="宋体" w:cs="宋体"/>
          <w:b/>
          <w:bCs/>
          <w:snapToGrid w:val="0"/>
          <w:color w:val="auto"/>
          <w:kern w:val="0"/>
          <w:szCs w:val="24"/>
          <w:highlight w:val="none"/>
        </w:rPr>
        <w:t>1</w:t>
      </w:r>
      <w:r>
        <w:rPr>
          <w:rFonts w:hint="eastAsia" w:ascii="宋体" w:hAnsi="宋体" w:cs="宋体"/>
          <w:b/>
          <w:bCs/>
          <w:snapToGrid w:val="0"/>
          <w:color w:val="auto"/>
          <w:kern w:val="0"/>
          <w:szCs w:val="24"/>
          <w:highlight w:val="none"/>
          <w:lang w:val="en-US" w:eastAsia="zh-CN"/>
        </w:rPr>
        <w:t>3</w:t>
      </w:r>
      <w:r>
        <w:rPr>
          <w:rFonts w:hint="eastAsia" w:ascii="宋体" w:hAnsi="宋体" w:cs="宋体"/>
          <w:b/>
          <w:snapToGrid w:val="0"/>
          <w:color w:val="auto"/>
          <w:kern w:val="0"/>
          <w:szCs w:val="24"/>
          <w:highlight w:val="none"/>
        </w:rPr>
        <w:t>．</w:t>
      </w:r>
      <w:r>
        <w:rPr>
          <w:rFonts w:hint="eastAsia" w:ascii="宋体" w:hAnsi="宋体" w:cs="宋体"/>
          <w:b/>
          <w:bCs/>
          <w:snapToGrid w:val="0"/>
          <w:color w:val="auto"/>
          <w:kern w:val="0"/>
          <w:szCs w:val="24"/>
          <w:highlight w:val="none"/>
        </w:rPr>
        <w:t>信用评价条款内容</w:t>
      </w:r>
      <w:bookmarkEnd w:id="170"/>
      <w:bookmarkEnd w:id="171"/>
      <w:bookmarkEnd w:id="172"/>
      <w:bookmarkEnd w:id="173"/>
      <w:bookmarkEnd w:id="174"/>
      <w:bookmarkEnd w:id="175"/>
      <w:bookmarkEnd w:id="176"/>
    </w:p>
    <w:p w14:paraId="418B847A">
      <w:pPr>
        <w:pStyle w:val="82"/>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由委托人决定是否对监理人的履约情况进行信用评价。若进行信用评价，评价条款由委托人自拟，条款内容可参考人员到位情况、服务配合程度、服务成果质量、项目后期服务以及信用评价结果的运用等。</w:t>
      </w:r>
    </w:p>
    <w:p w14:paraId="50B54F01">
      <w:pPr>
        <w:pStyle w:val="82"/>
        <w:wordWrap w:val="0"/>
        <w:adjustRightInd w:val="0"/>
        <w:snapToGrid w:val="0"/>
        <w:spacing w:line="440" w:lineRule="exact"/>
        <w:ind w:firstLine="560"/>
        <w:rPr>
          <w:rFonts w:hAnsi="宋体" w:cs="宋体"/>
          <w:b/>
          <w:bCs/>
          <w:snapToGrid w:val="0"/>
          <w:color w:val="auto"/>
          <w:kern w:val="0"/>
          <w:highlight w:val="none"/>
        </w:rPr>
      </w:pPr>
    </w:p>
    <w:p w14:paraId="6E146C71">
      <w:pPr>
        <w:pStyle w:val="82"/>
        <w:wordWrap w:val="0"/>
        <w:adjustRightInd w:val="0"/>
        <w:snapToGrid w:val="0"/>
        <w:spacing w:line="440" w:lineRule="exact"/>
        <w:ind w:firstLine="560"/>
        <w:rPr>
          <w:rFonts w:hAnsi="宋体" w:cs="宋体"/>
          <w:b/>
          <w:bCs/>
          <w:snapToGrid w:val="0"/>
          <w:color w:val="auto"/>
          <w:kern w:val="0"/>
          <w:highlight w:val="none"/>
        </w:rPr>
      </w:pPr>
    </w:p>
    <w:p w14:paraId="40581986">
      <w:pPr>
        <w:pStyle w:val="82"/>
        <w:wordWrap w:val="0"/>
        <w:adjustRightInd w:val="0"/>
        <w:snapToGrid w:val="0"/>
        <w:spacing w:line="440" w:lineRule="exact"/>
        <w:ind w:firstLine="560"/>
        <w:rPr>
          <w:rFonts w:hAnsi="宋体" w:cs="宋体"/>
          <w:b/>
          <w:bCs/>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p>
    <w:p w14:paraId="4B26AC6B">
      <w:pPr>
        <w:pStyle w:val="3"/>
        <w:wordWrap w:val="0"/>
        <w:autoSpaceDE/>
        <w:autoSpaceDN/>
        <w:snapToGrid w:val="0"/>
        <w:spacing w:line="500" w:lineRule="exact"/>
        <w:jc w:val="center"/>
        <w:outlineLvl w:val="0"/>
        <w:rPr>
          <w:rFonts w:hAnsi="宋体" w:cs="宋体"/>
          <w:b/>
          <w:snapToGrid w:val="0"/>
          <w:color w:val="auto"/>
          <w:sz w:val="32"/>
          <w:szCs w:val="32"/>
          <w:highlight w:val="none"/>
        </w:rPr>
      </w:pPr>
      <w:bookmarkStart w:id="177" w:name="_Toc29099"/>
      <w:bookmarkStart w:id="178" w:name="_Toc29124"/>
      <w:bookmarkStart w:id="179" w:name="_Hlt69698713"/>
      <w:bookmarkStart w:id="180" w:name="_Hlt69698765"/>
      <w:bookmarkStart w:id="181" w:name="_Hlt69698776"/>
      <w:r>
        <w:rPr>
          <w:rFonts w:hint="eastAsia" w:hAnsi="宋体" w:cs="宋体"/>
          <w:b/>
          <w:snapToGrid w:val="0"/>
          <w:color w:val="auto"/>
          <w:sz w:val="32"/>
          <w:szCs w:val="32"/>
          <w:highlight w:val="none"/>
        </w:rPr>
        <w:t>第三章</w:t>
      </w:r>
      <w:bookmarkStart w:id="182" w:name="_Hlt87793831"/>
      <w:bookmarkEnd w:id="182"/>
      <w:r>
        <w:rPr>
          <w:rFonts w:hint="eastAsia" w:hAnsi="宋体" w:cs="宋体"/>
          <w:b/>
          <w:snapToGrid w:val="0"/>
          <w:color w:val="auto"/>
          <w:sz w:val="32"/>
          <w:szCs w:val="32"/>
          <w:highlight w:val="none"/>
        </w:rPr>
        <w:t xml:space="preserve"> 拟签订合同的主要条款</w:t>
      </w:r>
      <w:bookmarkEnd w:id="177"/>
      <w:bookmarkEnd w:id="178"/>
    </w:p>
    <w:bookmarkEnd w:id="179"/>
    <w:bookmarkEnd w:id="180"/>
    <w:p w14:paraId="6A4F7FF4">
      <w:pPr>
        <w:bidi w:val="0"/>
        <w:rPr>
          <w:color w:val="auto"/>
          <w:highlight w:val="none"/>
        </w:rPr>
      </w:pPr>
      <w:bookmarkStart w:id="183" w:name="_Toc322793288"/>
      <w:bookmarkStart w:id="184" w:name="_Toc326916629"/>
    </w:p>
    <w:bookmarkEnd w:id="183"/>
    <w:bookmarkEnd w:id="184"/>
    <w:p w14:paraId="33043E2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85" w:name="_Toc29838"/>
      <w:bookmarkStart w:id="186" w:name="_Toc3741"/>
      <w:bookmarkStart w:id="187" w:name="_Toc12203"/>
      <w:bookmarkStart w:id="188" w:name="_Toc11616"/>
      <w:bookmarkStart w:id="189" w:name="_Toc1947"/>
      <w:bookmarkStart w:id="190" w:name="_Toc6392"/>
      <w:bookmarkStart w:id="191" w:name="_Toc4588"/>
      <w:r>
        <w:rPr>
          <w:rFonts w:hint="eastAsia" w:hAnsi="宋体" w:cs="宋体"/>
          <w:b/>
          <w:bCs/>
          <w:snapToGrid w:val="0"/>
          <w:color w:val="auto"/>
          <w:kern w:val="0"/>
          <w:szCs w:val="24"/>
          <w:highlight w:val="none"/>
        </w:rPr>
        <w:t>1．现场办公条件</w:t>
      </w:r>
      <w:bookmarkEnd w:id="185"/>
      <w:bookmarkEnd w:id="186"/>
      <w:bookmarkEnd w:id="187"/>
      <w:bookmarkEnd w:id="188"/>
      <w:bookmarkEnd w:id="189"/>
      <w:bookmarkEnd w:id="190"/>
      <w:bookmarkEnd w:id="191"/>
    </w:p>
    <w:p w14:paraId="11DCDCE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1.1</w:t>
      </w:r>
      <w:r>
        <w:rPr>
          <w:rFonts w:hint="eastAsia" w:hAnsi="宋体" w:cs="宋体"/>
          <w:snapToGrid w:val="0"/>
          <w:color w:val="auto"/>
          <w:kern w:val="0"/>
          <w:szCs w:val="24"/>
          <w:highlight w:val="none"/>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045048A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1.2</w:t>
      </w:r>
      <w:r>
        <w:rPr>
          <w:rFonts w:hint="eastAsia" w:hAnsi="宋体" w:cs="宋体"/>
          <w:snapToGrid w:val="0"/>
          <w:color w:val="auto"/>
          <w:kern w:val="0"/>
          <w:szCs w:val="24"/>
          <w:highlight w:val="none"/>
        </w:rPr>
        <w:t xml:space="preserve"> 监理人应按照工程需要，自行配备以下的设施、设备：</w:t>
      </w:r>
    </w:p>
    <w:p w14:paraId="16F4F0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（1）办公桌椅、文件柜、床铺被褥、供冷采暖设施等办公和生活设施；</w:t>
      </w:r>
    </w:p>
    <w:p w14:paraId="04E9EF1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（2）电脑、投影、打印机、复印机、传真机等办公设备及其耗材；</w:t>
      </w:r>
    </w:p>
    <w:p w14:paraId="0824DF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（3）拍摄、录音、录像等取证器材；</w:t>
      </w:r>
    </w:p>
    <w:p w14:paraId="66B8580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（4）信息化管理软件或系统；</w:t>
      </w:r>
    </w:p>
    <w:p w14:paraId="27B1D88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（5）通信和交通工具；</w:t>
      </w:r>
    </w:p>
    <w:p w14:paraId="4B95581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（6）本招标项目必备的规范标准、图集等书籍手册；</w:t>
      </w:r>
    </w:p>
    <w:p w14:paraId="4329D7E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（7）安全帽、安全鞋、安全手套、安全服装、手电筒等安全防护用具；</w:t>
      </w:r>
    </w:p>
    <w:p w14:paraId="694A638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w:t>
      </w:r>
      <w:r>
        <w:rPr>
          <w:rFonts w:hint="eastAsia" w:hAnsi="宋体" w:cs="宋体"/>
          <w:snapToGrid w:val="0"/>
          <w:color w:val="auto"/>
          <w:kern w:val="0"/>
          <w:szCs w:val="24"/>
          <w:highlight w:val="none"/>
          <w:u w:val="single"/>
        </w:rPr>
        <w:t xml:space="preserve"> 打卡 / 指纹识别 / 人脸识别 / 虹膜识别 </w:t>
      </w:r>
      <w:r>
        <w:rPr>
          <w:rFonts w:hint="eastAsia" w:hAnsi="宋体" w:cs="宋体"/>
          <w:snapToGrid w:val="0"/>
          <w:color w:val="auto"/>
          <w:kern w:val="0"/>
          <w:szCs w:val="24"/>
          <w:highlight w:val="none"/>
        </w:rPr>
        <w:t>考勤设备；</w:t>
      </w:r>
    </w:p>
    <w:p w14:paraId="746DCCA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（9）其他与监理工作有关的设备与用品。</w:t>
      </w:r>
    </w:p>
    <w:p w14:paraId="6BD7646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92" w:name="_Toc8261"/>
      <w:bookmarkStart w:id="193" w:name="_Toc6311"/>
      <w:bookmarkStart w:id="194" w:name="_Toc15844"/>
      <w:bookmarkStart w:id="195" w:name="_Toc29914"/>
      <w:bookmarkStart w:id="196" w:name="_Toc14419"/>
      <w:bookmarkStart w:id="197" w:name="_Toc32029"/>
      <w:bookmarkStart w:id="198" w:name="_Toc6193"/>
      <w:r>
        <w:rPr>
          <w:rFonts w:hint="eastAsia" w:hAnsi="宋体" w:cs="宋体"/>
          <w:b/>
          <w:bCs/>
          <w:snapToGrid w:val="0"/>
          <w:color w:val="auto"/>
          <w:kern w:val="0"/>
          <w:szCs w:val="24"/>
          <w:highlight w:val="none"/>
        </w:rPr>
        <w:t>2．</w:t>
      </w:r>
      <w:bookmarkEnd w:id="192"/>
      <w:bookmarkEnd w:id="193"/>
      <w:bookmarkEnd w:id="194"/>
      <w:bookmarkEnd w:id="195"/>
      <w:bookmarkEnd w:id="196"/>
      <w:r>
        <w:rPr>
          <w:rFonts w:hint="eastAsia" w:hAnsi="宋体" w:cs="宋体"/>
          <w:b/>
          <w:bCs/>
          <w:snapToGrid w:val="0"/>
          <w:color w:val="auto"/>
          <w:kern w:val="0"/>
          <w:szCs w:val="24"/>
          <w:highlight w:val="none"/>
        </w:rPr>
        <w:t>监理服务费</w:t>
      </w:r>
      <w:bookmarkEnd w:id="197"/>
      <w:bookmarkEnd w:id="198"/>
    </w:p>
    <w:p w14:paraId="1C13323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2.1</w:t>
      </w:r>
      <w:r>
        <w:rPr>
          <w:rFonts w:hint="eastAsia" w:hAnsi="宋体" w:cs="宋体"/>
          <w:snapToGrid w:val="0"/>
          <w:color w:val="auto"/>
          <w:kern w:val="0"/>
          <w:szCs w:val="24"/>
          <w:highlight w:val="none"/>
        </w:rPr>
        <w:t xml:space="preserve"> “监理服务费”指监理人履行本合同义务，委托人按照本合同约定（包括按照合同约定进行的变更和调整）给付监理人的金额，“监理服务费”指监理人完成正常工作，委托人应给付监理人并在协议书中载明的签约酬金额。</w:t>
      </w:r>
    </w:p>
    <w:p w14:paraId="48F0A665">
      <w:pPr>
        <w:keepNext w:val="0"/>
        <w:keepLines w:val="0"/>
        <w:pageBreakBefore w:val="0"/>
        <w:widowControl w:val="0"/>
        <w:kinsoku/>
        <w:wordWrap w:val="0"/>
        <w:overflowPunct/>
        <w:topLinePunct w:val="0"/>
        <w:autoSpaceDE/>
        <w:autoSpaceDN/>
        <w:bidi w:val="0"/>
        <w:adjustRightInd w:val="0"/>
        <w:spacing w:line="360" w:lineRule="auto"/>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2.2 监理服务费结算原则：</w:t>
      </w:r>
    </w:p>
    <w:p w14:paraId="7622FDA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bookmarkStart w:id="199" w:name="_Toc18979"/>
      <w:bookmarkStart w:id="200" w:name="_Toc6502"/>
      <w:bookmarkStart w:id="201" w:name="_Toc17740"/>
      <w:bookmarkStart w:id="202" w:name="_Toc31657"/>
      <w:bookmarkStart w:id="203" w:name="_Toc31653"/>
      <w:r>
        <w:rPr>
          <w:rFonts w:hint="eastAsia" w:hAnsi="宋体" w:cs="宋体"/>
          <w:snapToGrid w:val="0"/>
          <w:color w:val="auto"/>
          <w:kern w:val="0"/>
          <w:szCs w:val="24"/>
          <w:highlight w:val="none"/>
          <w:lang w:eastAsia="zh-CN"/>
        </w:rPr>
        <w:t>（</w:t>
      </w:r>
      <w:r>
        <w:rPr>
          <w:rFonts w:hint="eastAsia" w:hAnsi="宋体" w:cs="宋体"/>
          <w:snapToGrid w:val="0"/>
          <w:color w:val="auto"/>
          <w:kern w:val="0"/>
          <w:szCs w:val="24"/>
          <w:highlight w:val="none"/>
          <w:lang w:val="en-US" w:eastAsia="zh-CN"/>
        </w:rPr>
        <w:t>1</w:t>
      </w:r>
      <w:r>
        <w:rPr>
          <w:rFonts w:hint="eastAsia" w:hAnsi="宋体" w:cs="宋体"/>
          <w:snapToGrid w:val="0"/>
          <w:color w:val="auto"/>
          <w:kern w:val="0"/>
          <w:szCs w:val="24"/>
          <w:highlight w:val="none"/>
          <w:lang w:eastAsia="zh-CN"/>
        </w:rPr>
        <w:t>）</w:t>
      </w:r>
      <w:r>
        <w:rPr>
          <w:rFonts w:hint="eastAsia" w:ascii="宋体" w:hAnsi="宋体" w:eastAsia="宋体" w:cs="宋体"/>
          <w:snapToGrid w:val="0"/>
          <w:color w:val="auto"/>
          <w:kern w:val="0"/>
          <w:szCs w:val="24"/>
          <w:highlight w:val="none"/>
        </w:rPr>
        <w:t>监理服务费结算价在项目的合同价范围内按实结算，即：以施工财审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w:t>
      </w:r>
    </w:p>
    <w:p w14:paraId="4B7C731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（2）项目建设期间，即使出现缓建或停建事件导致监理工期延长，不另增加监理服务费。</w:t>
      </w:r>
    </w:p>
    <w:p w14:paraId="17FC59C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（3）因工程规模、监理范围的变化导致监理人的正常工作量减少时，按减少工作量的比例从协议书约定的正常工作酬金中扣减相同比例的酬金。</w:t>
      </w:r>
    </w:p>
    <w:p w14:paraId="3CA2619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2.3 监理服务费的支付：</w:t>
      </w:r>
    </w:p>
    <w:p w14:paraId="3AC46A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（1）本项目支付监理服务费预付款，预付款支付比例为： 合同价的30%；</w:t>
      </w:r>
    </w:p>
    <w:p w14:paraId="4FF87AA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（2）本项目根据施工阶段按施工进度分期支付监理服务费，具体分期支付方式如下：</w:t>
      </w:r>
    </w:p>
    <w:tbl>
      <w:tblPr>
        <w:tblStyle w:val="31"/>
        <w:tblW w:w="9045"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7620"/>
      </w:tblGrid>
      <w:tr w14:paraId="59DD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02EF632E">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highlight w:val="none"/>
              </w:rPr>
            </w:pPr>
            <w:r>
              <w:rPr>
                <w:rFonts w:hint="eastAsia" w:asciiTheme="minorEastAsia" w:hAnsiTheme="minorEastAsia" w:eastAsiaTheme="minorEastAsia" w:cstheme="minorEastAsia"/>
                <w:b/>
                <w:bCs/>
                <w:snapToGrid w:val="0"/>
                <w:color w:val="auto"/>
                <w:kern w:val="0"/>
                <w:highlight w:val="none"/>
              </w:rPr>
              <w:t>支付次数</w:t>
            </w:r>
          </w:p>
        </w:tc>
        <w:tc>
          <w:tcPr>
            <w:tcW w:w="7620" w:type="dxa"/>
            <w:noWrap w:val="0"/>
            <w:vAlign w:val="center"/>
          </w:tcPr>
          <w:p w14:paraId="1A8903F7">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highlight w:val="none"/>
                <w:lang w:val="en-US" w:eastAsia="zh-CN"/>
              </w:rPr>
            </w:pPr>
            <w:r>
              <w:rPr>
                <w:rFonts w:hint="eastAsia" w:asciiTheme="minorEastAsia" w:hAnsiTheme="minorEastAsia" w:eastAsiaTheme="minorEastAsia" w:cstheme="minorEastAsia"/>
                <w:b/>
                <w:bCs/>
                <w:snapToGrid w:val="0"/>
                <w:color w:val="auto"/>
                <w:kern w:val="0"/>
                <w:highlight w:val="none"/>
              </w:rPr>
              <w:t>支付时间</w:t>
            </w:r>
            <w:r>
              <w:rPr>
                <w:rFonts w:hint="eastAsia" w:asciiTheme="minorEastAsia" w:hAnsiTheme="minorEastAsia" w:eastAsiaTheme="minorEastAsia" w:cstheme="minorEastAsia"/>
                <w:b/>
                <w:bCs/>
                <w:snapToGrid w:val="0"/>
                <w:color w:val="auto"/>
                <w:kern w:val="0"/>
                <w:highlight w:val="none"/>
                <w:lang w:val="en-US" w:eastAsia="zh-CN"/>
              </w:rPr>
              <w:t>及</w:t>
            </w:r>
            <w:r>
              <w:rPr>
                <w:rFonts w:hint="eastAsia" w:asciiTheme="minorEastAsia" w:hAnsiTheme="minorEastAsia" w:eastAsiaTheme="minorEastAsia" w:cstheme="minorEastAsia"/>
                <w:b/>
                <w:bCs/>
                <w:snapToGrid w:val="0"/>
                <w:color w:val="auto"/>
                <w:kern w:val="0"/>
                <w:highlight w:val="none"/>
              </w:rPr>
              <w:t>支付比例</w:t>
            </w:r>
          </w:p>
        </w:tc>
      </w:tr>
      <w:tr w14:paraId="1B9E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71BAC85A">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第二次付款</w:t>
            </w:r>
          </w:p>
        </w:tc>
        <w:tc>
          <w:tcPr>
            <w:tcW w:w="7620" w:type="dxa"/>
            <w:noWrap w:val="0"/>
            <w:vAlign w:val="center"/>
          </w:tcPr>
          <w:p w14:paraId="45CDE68B">
            <w:pPr>
              <w:wordWrap w:val="0"/>
              <w:adjustRightInd w:val="0"/>
              <w:snapToGrid w:val="0"/>
              <w:spacing w:line="400" w:lineRule="exact"/>
              <w:jc w:val="left"/>
              <w:rPr>
                <w:rFonts w:hint="eastAsia" w:asciiTheme="minorEastAsia" w:hAnsiTheme="minorEastAsia" w:eastAsiaTheme="minorEastAsia" w:cstheme="minorEastAsia"/>
                <w:snapToGrid w:val="0"/>
                <w:color w:val="auto"/>
                <w:kern w:val="0"/>
                <w:highlight w:val="none"/>
                <w:lang w:val="en-US" w:eastAsia="zh-CN"/>
              </w:rPr>
            </w:pPr>
            <w:r>
              <w:rPr>
                <w:rFonts w:hint="eastAsia" w:asciiTheme="minorEastAsia" w:hAnsiTheme="minorEastAsia" w:eastAsiaTheme="minorEastAsia" w:cstheme="minorEastAsia"/>
                <w:snapToGrid w:val="0"/>
                <w:color w:val="auto"/>
                <w:kern w:val="0"/>
                <w:highlight w:val="none"/>
              </w:rPr>
              <w:t>工程施工进度</w:t>
            </w:r>
            <w:r>
              <w:rPr>
                <w:rFonts w:hint="eastAsia" w:asciiTheme="minorEastAsia" w:hAnsiTheme="minorEastAsia" w:eastAsiaTheme="minorEastAsia" w:cstheme="minorEastAsia"/>
                <w:snapToGrid w:val="0"/>
                <w:color w:val="auto"/>
                <w:kern w:val="0"/>
                <w:highlight w:val="none"/>
                <w:lang w:val="en-US" w:eastAsia="zh-CN"/>
              </w:rPr>
              <w:t>达到80</w:t>
            </w:r>
            <w:r>
              <w:rPr>
                <w:rFonts w:hint="eastAsia" w:asciiTheme="minorEastAsia" w:hAnsiTheme="minorEastAsia" w:eastAsiaTheme="minorEastAsia" w:cstheme="minorEastAsia"/>
                <w:snapToGrid w:val="0"/>
                <w:color w:val="auto"/>
                <w:kern w:val="0"/>
                <w:highlight w:val="none"/>
              </w:rPr>
              <w:t>%后30日内</w:t>
            </w:r>
            <w:r>
              <w:rPr>
                <w:rFonts w:hint="eastAsia" w:asciiTheme="minorEastAsia" w:hAnsiTheme="minorEastAsia" w:eastAsiaTheme="minorEastAsia" w:cstheme="minorEastAsia"/>
                <w:snapToGrid w:val="0"/>
                <w:color w:val="auto"/>
                <w:kern w:val="0"/>
                <w:highlight w:val="none"/>
                <w:lang w:val="en-US" w:eastAsia="zh-CN"/>
              </w:rPr>
              <w:t>支付至合同价70%（含预付款30%）。</w:t>
            </w:r>
          </w:p>
        </w:tc>
      </w:tr>
      <w:tr w14:paraId="5889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40BAE9EE">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第</w:t>
            </w:r>
            <w:r>
              <w:rPr>
                <w:rFonts w:hint="eastAsia" w:asciiTheme="minorEastAsia" w:hAnsiTheme="minorEastAsia" w:eastAsiaTheme="minorEastAsia" w:cstheme="minorEastAsia"/>
                <w:snapToGrid w:val="0"/>
                <w:color w:val="auto"/>
                <w:kern w:val="0"/>
                <w:highlight w:val="none"/>
                <w:lang w:val="en-US" w:eastAsia="zh-CN"/>
              </w:rPr>
              <w:t>三</w:t>
            </w:r>
            <w:r>
              <w:rPr>
                <w:rFonts w:hint="eastAsia" w:asciiTheme="minorEastAsia" w:hAnsiTheme="minorEastAsia" w:eastAsiaTheme="minorEastAsia" w:cstheme="minorEastAsia"/>
                <w:snapToGrid w:val="0"/>
                <w:color w:val="auto"/>
                <w:kern w:val="0"/>
                <w:highlight w:val="none"/>
              </w:rPr>
              <w:t>次付款</w:t>
            </w:r>
          </w:p>
        </w:tc>
        <w:tc>
          <w:tcPr>
            <w:tcW w:w="7620" w:type="dxa"/>
            <w:noWrap w:val="0"/>
            <w:vAlign w:val="center"/>
          </w:tcPr>
          <w:p w14:paraId="6E8C3F2F">
            <w:pPr>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highlight w:val="none"/>
                <w:lang w:val="en-US" w:eastAsia="zh-CN" w:bidi="ar-SA"/>
              </w:rPr>
            </w:pPr>
            <w:r>
              <w:rPr>
                <w:rFonts w:hint="eastAsia" w:asciiTheme="minorEastAsia" w:hAnsiTheme="minorEastAsia" w:eastAsiaTheme="minorEastAsia" w:cstheme="minorEastAsia"/>
                <w:snapToGrid w:val="0"/>
                <w:color w:val="auto"/>
                <w:kern w:val="0"/>
                <w:highlight w:val="none"/>
              </w:rPr>
              <w:t>工程施工进度</w:t>
            </w:r>
            <w:r>
              <w:rPr>
                <w:rFonts w:hint="eastAsia" w:asciiTheme="minorEastAsia" w:hAnsiTheme="minorEastAsia" w:eastAsiaTheme="minorEastAsia" w:cstheme="minorEastAsia"/>
                <w:snapToGrid w:val="0"/>
                <w:color w:val="auto"/>
                <w:kern w:val="0"/>
                <w:highlight w:val="none"/>
                <w:lang w:val="en-US" w:eastAsia="zh-CN"/>
              </w:rPr>
              <w:t>达到100</w:t>
            </w:r>
            <w:r>
              <w:rPr>
                <w:rFonts w:hint="eastAsia" w:asciiTheme="minorEastAsia" w:hAnsiTheme="minorEastAsia" w:eastAsiaTheme="minorEastAsia" w:cstheme="minorEastAsia"/>
                <w:snapToGrid w:val="0"/>
                <w:color w:val="auto"/>
                <w:kern w:val="0"/>
                <w:highlight w:val="none"/>
              </w:rPr>
              <w:t>%</w:t>
            </w:r>
            <w:r>
              <w:rPr>
                <w:rFonts w:hint="eastAsia" w:asciiTheme="minorEastAsia" w:hAnsiTheme="minorEastAsia" w:eastAsiaTheme="minorEastAsia" w:cstheme="minorEastAsia"/>
                <w:snapToGrid w:val="0"/>
                <w:color w:val="auto"/>
                <w:kern w:val="0"/>
                <w:highlight w:val="none"/>
                <w:lang w:eastAsia="zh-CN"/>
              </w:rPr>
              <w:t>，</w:t>
            </w:r>
            <w:r>
              <w:rPr>
                <w:rFonts w:hint="eastAsia" w:asciiTheme="minorEastAsia" w:hAnsiTheme="minorEastAsia" w:eastAsiaTheme="minorEastAsia" w:cstheme="minorEastAsia"/>
                <w:snapToGrid w:val="0"/>
                <w:color w:val="auto"/>
                <w:kern w:val="0"/>
                <w:highlight w:val="none"/>
              </w:rPr>
              <w:t>完成</w:t>
            </w:r>
            <w:r>
              <w:rPr>
                <w:rFonts w:hint="eastAsia" w:asciiTheme="minorEastAsia" w:hAnsiTheme="minorEastAsia" w:eastAsiaTheme="minorEastAsia" w:cstheme="minorEastAsia"/>
                <w:snapToGrid w:val="0"/>
                <w:color w:val="auto"/>
                <w:kern w:val="0"/>
                <w:highlight w:val="none"/>
                <w:lang w:val="en-US" w:eastAsia="zh-CN"/>
              </w:rPr>
              <w:t>竣工</w:t>
            </w:r>
            <w:r>
              <w:rPr>
                <w:rFonts w:hint="eastAsia" w:asciiTheme="minorEastAsia" w:hAnsiTheme="minorEastAsia" w:eastAsiaTheme="minorEastAsia" w:cstheme="minorEastAsia"/>
                <w:snapToGrid w:val="0"/>
                <w:color w:val="auto"/>
                <w:kern w:val="0"/>
                <w:highlight w:val="none"/>
              </w:rPr>
              <w:t>验收后30日内</w:t>
            </w:r>
            <w:r>
              <w:rPr>
                <w:rFonts w:hint="eastAsia" w:asciiTheme="minorEastAsia" w:hAnsiTheme="minorEastAsia" w:eastAsiaTheme="minorEastAsia" w:cstheme="minorEastAsia"/>
                <w:snapToGrid w:val="0"/>
                <w:color w:val="auto"/>
                <w:kern w:val="0"/>
                <w:highlight w:val="none"/>
                <w:lang w:val="en-US" w:eastAsia="zh-CN"/>
              </w:rPr>
              <w:t>支付至合同价80%。</w:t>
            </w:r>
          </w:p>
        </w:tc>
      </w:tr>
      <w:tr w14:paraId="20E1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6E30D421">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第</w:t>
            </w:r>
            <w:r>
              <w:rPr>
                <w:rFonts w:hint="eastAsia" w:asciiTheme="minorEastAsia" w:hAnsiTheme="minorEastAsia" w:eastAsiaTheme="minorEastAsia" w:cstheme="minorEastAsia"/>
                <w:snapToGrid w:val="0"/>
                <w:color w:val="auto"/>
                <w:kern w:val="0"/>
                <w:highlight w:val="none"/>
                <w:lang w:val="en-US" w:eastAsia="zh-CN"/>
              </w:rPr>
              <w:t>四</w:t>
            </w:r>
            <w:r>
              <w:rPr>
                <w:rFonts w:hint="eastAsia" w:asciiTheme="minorEastAsia" w:hAnsiTheme="minorEastAsia" w:eastAsiaTheme="minorEastAsia" w:cstheme="minorEastAsia"/>
                <w:snapToGrid w:val="0"/>
                <w:color w:val="auto"/>
                <w:kern w:val="0"/>
                <w:highlight w:val="none"/>
              </w:rPr>
              <w:t>次付款</w:t>
            </w:r>
          </w:p>
        </w:tc>
        <w:tc>
          <w:tcPr>
            <w:tcW w:w="7620" w:type="dxa"/>
            <w:noWrap w:val="0"/>
            <w:vAlign w:val="center"/>
          </w:tcPr>
          <w:p w14:paraId="68536663">
            <w:pPr>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highlight w:val="none"/>
                <w:lang w:val="en-US" w:eastAsia="zh-CN" w:bidi="ar-SA"/>
              </w:rPr>
            </w:pPr>
            <w:r>
              <w:rPr>
                <w:rFonts w:hint="eastAsia" w:asciiTheme="minorEastAsia" w:hAnsiTheme="minorEastAsia" w:eastAsiaTheme="minorEastAsia" w:cstheme="minorEastAsia"/>
                <w:snapToGrid w:val="0"/>
                <w:color w:val="auto"/>
                <w:kern w:val="0"/>
                <w:highlight w:val="none"/>
              </w:rPr>
              <w:t>完成财政结算后30日内</w:t>
            </w:r>
            <w:r>
              <w:rPr>
                <w:rFonts w:hint="eastAsia" w:asciiTheme="minorEastAsia" w:hAnsiTheme="minorEastAsia" w:eastAsiaTheme="minorEastAsia" w:cstheme="minorEastAsia"/>
                <w:snapToGrid w:val="0"/>
                <w:color w:val="auto"/>
                <w:kern w:val="0"/>
                <w:highlight w:val="none"/>
                <w:lang w:val="en-US" w:eastAsia="zh-CN"/>
              </w:rPr>
              <w:t>付至监理结算价的100%。</w:t>
            </w:r>
          </w:p>
        </w:tc>
      </w:tr>
    </w:tbl>
    <w:p w14:paraId="2D07E2CE">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2" w:firstLineChars="200"/>
        <w:textAlignment w:val="auto"/>
        <w:outlineLvl w:val="1"/>
        <w:rPr>
          <w:rFonts w:hint="eastAsia" w:ascii="宋体" w:hAnsi="宋体" w:eastAsia="宋体" w:cs="宋体"/>
          <w:b/>
          <w:bCs/>
          <w:snapToGrid w:val="0"/>
          <w:color w:val="auto"/>
          <w:kern w:val="0"/>
          <w:szCs w:val="24"/>
          <w:highlight w:val="none"/>
        </w:rPr>
      </w:pPr>
      <w:bookmarkStart w:id="204" w:name="_Toc12074"/>
      <w:bookmarkStart w:id="205" w:name="_Toc30108"/>
      <w:r>
        <w:rPr>
          <w:rFonts w:hint="eastAsia" w:ascii="宋体" w:hAnsi="宋体" w:eastAsia="宋体" w:cs="宋体"/>
          <w:b/>
          <w:bCs/>
          <w:snapToGrid w:val="0"/>
          <w:color w:val="auto"/>
          <w:kern w:val="0"/>
          <w:szCs w:val="24"/>
          <w:highlight w:val="none"/>
        </w:rPr>
        <w:t>3．监理服务费发票</w:t>
      </w:r>
      <w:bookmarkEnd w:id="199"/>
      <w:bookmarkEnd w:id="200"/>
      <w:bookmarkEnd w:id="201"/>
      <w:bookmarkEnd w:id="202"/>
      <w:bookmarkEnd w:id="203"/>
      <w:bookmarkEnd w:id="204"/>
      <w:bookmarkEnd w:id="205"/>
    </w:p>
    <w:p w14:paraId="429ED25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委托人每次支付监理服务费前，监理人均应提供有效的增值税</w:t>
      </w:r>
      <w:r>
        <w:rPr>
          <w:rFonts w:hint="eastAsia" w:hAnsi="宋体" w:cs="宋体"/>
          <w:snapToGrid w:val="0"/>
          <w:color w:val="auto"/>
          <w:kern w:val="0"/>
          <w:szCs w:val="24"/>
          <w:highlight w:val="none"/>
          <w:u w:val="single"/>
        </w:rPr>
        <w:t xml:space="preserve"> 普通 </w:t>
      </w:r>
      <w:r>
        <w:rPr>
          <w:rFonts w:hint="eastAsia" w:hAnsi="宋体" w:cs="宋体"/>
          <w:snapToGrid w:val="0"/>
          <w:color w:val="auto"/>
          <w:kern w:val="0"/>
          <w:szCs w:val="24"/>
          <w:highlight w:val="none"/>
        </w:rPr>
        <w:t xml:space="preserve">发票。如果监理人无法提供符合要求的监理服务费发票，由此造成的相应损失由监理人承担。 </w:t>
      </w:r>
    </w:p>
    <w:p w14:paraId="05F1438D">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206" w:name="_Toc32105"/>
      <w:bookmarkStart w:id="207" w:name="_Toc2147"/>
      <w:bookmarkStart w:id="208" w:name="_Toc18127"/>
      <w:bookmarkStart w:id="209" w:name="_Toc25406"/>
      <w:bookmarkStart w:id="210" w:name="_Toc7557"/>
      <w:bookmarkStart w:id="211" w:name="_Toc22603"/>
      <w:bookmarkStart w:id="212" w:name="_Toc30294"/>
      <w:r>
        <w:rPr>
          <w:rFonts w:hint="eastAsia" w:hAnsi="宋体" w:cs="宋体"/>
          <w:b/>
          <w:bCs/>
          <w:snapToGrid w:val="0"/>
          <w:color w:val="auto"/>
          <w:kern w:val="0"/>
          <w:szCs w:val="24"/>
          <w:highlight w:val="none"/>
        </w:rPr>
        <w:t>4．违约责任</w:t>
      </w:r>
      <w:bookmarkEnd w:id="206"/>
      <w:bookmarkEnd w:id="207"/>
      <w:bookmarkEnd w:id="208"/>
      <w:bookmarkEnd w:id="209"/>
      <w:bookmarkEnd w:id="210"/>
      <w:bookmarkEnd w:id="211"/>
      <w:bookmarkEnd w:id="212"/>
    </w:p>
    <w:p w14:paraId="6CD4EE7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 若由于监理单位的过错或失职，对委托人造成损失的，监理人必须依法承担赔偿责任。</w:t>
      </w:r>
    </w:p>
    <w:p w14:paraId="2035E84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4.2 本工程质量必须达到合格标准。若因监理人原因，工程在竣工验收或分部工程验收时没有达到此标准，监理人按监理合同价款（指监理结算价款）的</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10</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％向委托人返纳质量违约金，并对委托人的损失依法承担赔偿责任。</w:t>
      </w:r>
    </w:p>
    <w:p w14:paraId="7CA39C9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4.3 监理人必须按投标文件中的服务承诺条款履行合同。</w:t>
      </w:r>
    </w:p>
    <w:p w14:paraId="626FA5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4.4 监理人若是韶关市以外的企业，则其提供的监理费发票必须是在本工程所在地的税务部门开具的，委托人收到符合要求的发票后方可支付监理费。</w:t>
      </w:r>
    </w:p>
    <w:p w14:paraId="7059E59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4.5 监理人在监理期间应严格遵守国家、省、市有关防火、爆破和监理安全以及文明监理、深夜监理、环卫城管等规定，建立规章制度和防护措施。否则，由此造成的经济和法律责任，均由监理人负责。</w:t>
      </w:r>
    </w:p>
    <w:p w14:paraId="7698C4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4.6 监理人应按安全监理的要求，采取严格科学的安全措施，确保监理安全和第三者的安全，承担由于自身安全措施不力所造成的事故责任和发生的费用。</w:t>
      </w:r>
    </w:p>
    <w:p w14:paraId="204D2C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4.7 工程竣工验收后，监理人应向委托人提供符合现行《建设工程监理规范》（GB/t50319-2013）、《韶关市城市建设档案管理办法》及韶关市城市建设档案馆的要求（质量、数量），编制成册的监理档案资料（制作标准和相关要求按韶关市城市建设档案馆的有关规定执行），并承担档案涉及的所有费用。</w:t>
      </w:r>
    </w:p>
    <w:p w14:paraId="6663526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4.8 监理人须服从委托人及政府工程质量监督部门对监理工程全方位的监督，监理资料应及时报送委托人审查备案。</w:t>
      </w:r>
    </w:p>
    <w:p w14:paraId="569318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4.9 监理人在施工过程中若发生</w:t>
      </w:r>
      <w:r>
        <w:rPr>
          <w:rFonts w:hint="eastAsia" w:ascii="Times New Roman"/>
          <w:snapToGrid w:val="0"/>
          <w:color w:val="auto"/>
          <w:kern w:val="0"/>
          <w:highlight w:val="none"/>
          <w:lang w:val="en-US" w:eastAsia="zh-CN"/>
        </w:rPr>
        <w:t>工程量变更时</w:t>
      </w:r>
      <w:r>
        <w:rPr>
          <w:rFonts w:hint="eastAsia" w:ascii="Times New Roman"/>
          <w:snapToGrid w:val="0"/>
          <w:color w:val="auto"/>
          <w:kern w:val="0"/>
          <w:highlight w:val="none"/>
        </w:rPr>
        <w:t>，按委托人</w:t>
      </w:r>
      <w:r>
        <w:rPr>
          <w:rFonts w:hint="eastAsia" w:ascii="Times New Roman"/>
          <w:snapToGrid w:val="0"/>
          <w:color w:val="auto"/>
          <w:kern w:val="0"/>
          <w:highlight w:val="none"/>
          <w:lang w:val="en-US" w:eastAsia="zh-CN"/>
        </w:rPr>
        <w:t>变更</w:t>
      </w:r>
      <w:r>
        <w:rPr>
          <w:rFonts w:hint="eastAsia" w:ascii="Times New Roman"/>
          <w:snapToGrid w:val="0"/>
          <w:color w:val="auto"/>
          <w:kern w:val="0"/>
          <w:highlight w:val="none"/>
        </w:rPr>
        <w:t>管理办法执行。</w:t>
      </w:r>
    </w:p>
    <w:p w14:paraId="779166C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4.10 招标文件、招标答疑书、投标文件和中标通知书是委托人与监理人双方签订的施工监理合同的主要组成部分，并与合同一样，具有相同的法律效力。如中标通知书发出后，发现监理人的投标文件中有与招标文件所述内容及要求不符的，按招标文件执行。</w:t>
      </w:r>
    </w:p>
    <w:p w14:paraId="22312BA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4.11 投标报价应充分考虑在施工中由于委托人造成停工或工期延误等因素所产生的相关费用，委托人不予另计费；停工发生后，若可复工时，监理人应在收到委托人发出的复工通知书的当日通知施工单位复工，并安排现场监理人员及时到场进行现场监理。</w:t>
      </w:r>
    </w:p>
    <w:p w14:paraId="30C1797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4.12 监理人若在韶关市无固定服务场所和固定专业负责人的，则在合同签订后尽快完成驻韶固定办公场所办理和安排固定项目负责人及其他相关监理人员驻韶办公。</w:t>
      </w:r>
    </w:p>
    <w:p w14:paraId="0394F5B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4.13 监理人拟派驻监理机构组成人员数量须符合《广东省建设厅转发建设部关于印发&lt;房屋建筑工程施工旁站监理管理办法（试行）&gt;的通知》（粤建管（2002）97号文》关于工程项目监理人数配置要求。同时，监理人派驻到工程所在地进行监理服务的监理人员，应能够胜任监理合同约定的监理服务工作。发包人有权以书面形式要求监理人更换不能按照监理合同的约定进行监理服务的派驻人员，若监理人拒不执行或无法在15个工作日内完成更换，则每发生一次扣除签约合同价的</w:t>
      </w:r>
      <w:r>
        <w:rPr>
          <w:rFonts w:hint="eastAsia" w:ascii="Times New Roman"/>
          <w:snapToGrid w:val="0"/>
          <w:color w:val="auto"/>
          <w:kern w:val="0"/>
          <w:highlight w:val="none"/>
          <w:lang w:val="en-US" w:eastAsia="zh-CN"/>
        </w:rPr>
        <w:t>3</w:t>
      </w:r>
      <w:r>
        <w:rPr>
          <w:rFonts w:hint="eastAsia" w:ascii="Times New Roman"/>
          <w:snapToGrid w:val="0"/>
          <w:color w:val="auto"/>
          <w:kern w:val="0"/>
          <w:highlight w:val="none"/>
        </w:rPr>
        <w:t>%作为违约金。</w:t>
      </w:r>
    </w:p>
    <w:p w14:paraId="6A113065">
      <w:pPr>
        <w:wordWrap w:val="0"/>
        <w:adjustRightInd w:val="0"/>
        <w:snapToGrid w:val="0"/>
        <w:spacing w:line="440" w:lineRule="exact"/>
        <w:ind w:firstLine="560"/>
        <w:rPr>
          <w:rFonts w:hint="eastAsia" w:hAnsi="宋体"/>
          <w:color w:val="auto"/>
          <w:highlight w:val="none"/>
        </w:rPr>
      </w:pPr>
      <w:r>
        <w:rPr>
          <w:rFonts w:hint="eastAsia" w:ascii="Times New Roman"/>
          <w:snapToGrid w:val="0"/>
          <w:color w:val="auto"/>
          <w:kern w:val="0"/>
          <w:highlight w:val="none"/>
        </w:rPr>
        <w:t>4.14</w:t>
      </w:r>
      <w:r>
        <w:rPr>
          <w:rFonts w:hint="eastAsia" w:hAnsi="宋体"/>
          <w:color w:val="auto"/>
          <w:highlight w:val="none"/>
        </w:rPr>
        <w:t>监理人必须保证严格遵守有关法律法规及廉政规定。如监理人及其工作人员违反本承诺规定，给发包人造成经济损失的，依法给予赔偿。</w:t>
      </w:r>
    </w:p>
    <w:p w14:paraId="4CA087E1">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ascii="Times New Roman" w:hAnsi="Times New Roman" w:eastAsia="宋体" w:cs="Times New Roman"/>
          <w:snapToGrid w:val="0"/>
          <w:color w:val="auto"/>
          <w:kern w:val="0"/>
          <w:sz w:val="24"/>
          <w:highlight w:val="none"/>
          <w:lang w:val="en-US" w:eastAsia="zh-CN" w:bidi="ar-SA"/>
        </w:rPr>
        <w:t>4.15</w:t>
      </w:r>
      <w:r>
        <w:rPr>
          <w:rFonts w:hint="eastAsia"/>
          <w:color w:val="auto"/>
          <w:highlight w:val="none"/>
          <w:lang w:val="en-US" w:eastAsia="zh-CN"/>
        </w:rPr>
        <w:t>项目总监理工程师或项目总监理工程师代表每月驻现场不少于28 天，未经招标人书面同意，每少1天，视为监理人发生监理不良行为一次，承担般违约责任一次，监理人向委托人交纳违约金200元。</w:t>
      </w:r>
    </w:p>
    <w:p w14:paraId="66FF935F">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213" w:name="_Toc8777"/>
      <w:bookmarkStart w:id="214" w:name="_Toc8823"/>
      <w:bookmarkStart w:id="215" w:name="_Toc29596"/>
      <w:bookmarkStart w:id="216" w:name="_Toc27702"/>
      <w:bookmarkStart w:id="217" w:name="_Toc17944"/>
      <w:bookmarkStart w:id="218" w:name="_Toc3987"/>
      <w:bookmarkStart w:id="219" w:name="_Toc26193"/>
      <w:r>
        <w:rPr>
          <w:rFonts w:hint="eastAsia" w:hAnsi="宋体" w:cs="宋体"/>
          <w:b/>
          <w:bCs/>
          <w:snapToGrid w:val="0"/>
          <w:color w:val="auto"/>
          <w:kern w:val="0"/>
          <w:szCs w:val="24"/>
          <w:highlight w:val="none"/>
        </w:rPr>
        <w:t>5．</w:t>
      </w:r>
      <w:r>
        <w:rPr>
          <w:rFonts w:hint="eastAsia" w:hAnsi="宋体" w:cs="宋体"/>
          <w:b/>
          <w:bCs/>
          <w:snapToGrid w:val="0"/>
          <w:color w:val="auto"/>
          <w:kern w:val="0"/>
          <w:szCs w:val="24"/>
          <w:highlight w:val="none"/>
          <w:lang w:val="en-US" w:eastAsia="zh-CN"/>
        </w:rPr>
        <w:t>监理服务费的</w:t>
      </w:r>
      <w:r>
        <w:rPr>
          <w:rFonts w:hint="eastAsia" w:hAnsi="宋体" w:cs="宋体"/>
          <w:b/>
          <w:bCs/>
          <w:snapToGrid w:val="0"/>
          <w:color w:val="auto"/>
          <w:kern w:val="0"/>
          <w:szCs w:val="24"/>
          <w:highlight w:val="none"/>
        </w:rPr>
        <w:t>支付</w:t>
      </w:r>
      <w:bookmarkEnd w:id="213"/>
      <w:bookmarkEnd w:id="214"/>
      <w:bookmarkEnd w:id="215"/>
      <w:bookmarkEnd w:id="216"/>
      <w:bookmarkEnd w:id="217"/>
      <w:bookmarkEnd w:id="218"/>
      <w:bookmarkEnd w:id="219"/>
    </w:p>
    <w:p w14:paraId="6B1617B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napToGrid w:val="0"/>
          <w:color w:val="auto"/>
          <w:kern w:val="0"/>
          <w:szCs w:val="24"/>
          <w:highlight w:val="none"/>
        </w:rPr>
      </w:pPr>
      <w:bookmarkStart w:id="220" w:name="_Toc26599"/>
      <w:bookmarkStart w:id="221" w:name="_Toc624"/>
      <w:bookmarkStart w:id="222" w:name="_Toc13619"/>
      <w:bookmarkStart w:id="223" w:name="_Toc9024"/>
      <w:r>
        <w:rPr>
          <w:rFonts w:hint="eastAsia" w:hAnsi="宋体" w:cs="宋体"/>
          <w:b/>
          <w:bCs/>
          <w:snapToGrid w:val="0"/>
          <w:color w:val="auto"/>
          <w:kern w:val="0"/>
          <w:szCs w:val="24"/>
          <w:highlight w:val="none"/>
        </w:rPr>
        <w:t>5.1</w:t>
      </w:r>
      <w:r>
        <w:rPr>
          <w:rFonts w:hint="eastAsia" w:hAnsi="宋体" w:cs="宋体"/>
          <w:snapToGrid w:val="0"/>
          <w:color w:val="auto"/>
          <w:kern w:val="0"/>
          <w:szCs w:val="24"/>
          <w:highlight w:val="none"/>
        </w:rPr>
        <w:t xml:space="preserve"> 支付货币</w:t>
      </w:r>
      <w:bookmarkEnd w:id="220"/>
      <w:bookmarkEnd w:id="221"/>
      <w:bookmarkEnd w:id="222"/>
      <w:bookmarkEnd w:id="223"/>
    </w:p>
    <w:p w14:paraId="7BF9314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酬金均以人民币支付。</w:t>
      </w:r>
    </w:p>
    <w:p w14:paraId="386EB35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24" w:name="_Toc3949"/>
      <w:bookmarkStart w:id="225" w:name="_Toc7275"/>
      <w:bookmarkStart w:id="226" w:name="_Toc10949"/>
      <w:bookmarkStart w:id="227" w:name="_Toc22466"/>
      <w:r>
        <w:rPr>
          <w:rFonts w:hint="eastAsia" w:hAnsi="宋体" w:cs="宋体"/>
          <w:b/>
          <w:bCs/>
          <w:snapToGrid w:val="0"/>
          <w:color w:val="auto"/>
          <w:kern w:val="0"/>
          <w:szCs w:val="24"/>
          <w:highlight w:val="none"/>
        </w:rPr>
        <w:t>5.2</w:t>
      </w:r>
      <w:r>
        <w:rPr>
          <w:rFonts w:hint="eastAsia" w:hAnsi="宋体" w:cs="宋体"/>
          <w:snapToGrid w:val="0"/>
          <w:color w:val="auto"/>
          <w:kern w:val="0"/>
          <w:szCs w:val="24"/>
          <w:highlight w:val="none"/>
        </w:rPr>
        <w:t xml:space="preserve"> 支付申请</w:t>
      </w:r>
      <w:bookmarkEnd w:id="224"/>
      <w:bookmarkEnd w:id="225"/>
      <w:bookmarkEnd w:id="226"/>
      <w:bookmarkEnd w:id="227"/>
    </w:p>
    <w:p w14:paraId="3940F8C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监理人应在本合同约定的每次应付款时间的7天前，向委托人提交支付申请书。支付申请书应当说明当期应付款总额，并列出当期应支付的款项及其金额。</w:t>
      </w:r>
    </w:p>
    <w:p w14:paraId="1080AE34">
      <w:pPr>
        <w:wordWrap w:val="0"/>
        <w:autoSpaceDE/>
        <w:autoSpaceDN/>
        <w:snapToGrid w:val="0"/>
        <w:spacing w:line="440" w:lineRule="exact"/>
        <w:ind w:firstLine="480"/>
        <w:jc w:val="both"/>
        <w:outlineLvl w:val="9"/>
        <w:rPr>
          <w:rFonts w:hint="eastAsia" w:ascii="Times New Roman"/>
          <w:b/>
          <w:snapToGrid w:val="0"/>
          <w:color w:val="auto"/>
          <w:szCs w:val="22"/>
          <w:highlight w:val="none"/>
        </w:rPr>
      </w:pPr>
      <w:bookmarkStart w:id="228" w:name="_Toc17883"/>
      <w:bookmarkStart w:id="229" w:name="_Toc10664"/>
      <w:bookmarkStart w:id="230" w:name="_Toc6801"/>
      <w:bookmarkStart w:id="231" w:name="_Toc25652"/>
      <w:r>
        <w:rPr>
          <w:rFonts w:hint="eastAsia" w:hAnsi="宋体" w:cs="宋体"/>
          <w:b/>
          <w:bCs/>
          <w:snapToGrid w:val="0"/>
          <w:color w:val="auto"/>
          <w:kern w:val="0"/>
          <w:szCs w:val="24"/>
          <w:highlight w:val="none"/>
        </w:rPr>
        <w:t xml:space="preserve">5.3 </w:t>
      </w:r>
      <w:bookmarkEnd w:id="228"/>
      <w:bookmarkEnd w:id="229"/>
      <w:bookmarkEnd w:id="230"/>
      <w:bookmarkEnd w:id="231"/>
      <w:r>
        <w:rPr>
          <w:rFonts w:hint="eastAsia" w:ascii="Times New Roman"/>
          <w:b/>
          <w:snapToGrid w:val="0"/>
          <w:color w:val="auto"/>
          <w:szCs w:val="22"/>
          <w:highlight w:val="none"/>
        </w:rPr>
        <w:t>监理人的服务内容</w:t>
      </w:r>
    </w:p>
    <w:p w14:paraId="167DB3B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5.1工程施工阶段服务内容</w:t>
      </w:r>
    </w:p>
    <w:p w14:paraId="2311810A">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本工程施工阶段工作，具体包括施工前期准备阶段，施工阶段，竣工验收阶段和工程保修阶段的监理工作。</w:t>
      </w:r>
    </w:p>
    <w:p w14:paraId="012A8D0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5.1.1参与审阅施工图纸。</w:t>
      </w:r>
    </w:p>
    <w:p w14:paraId="7AD82EA2">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5.1.2协助招标人审核各项工程和设备质量，提出审核意见，并协助起草合同、完善合同条款。</w:t>
      </w:r>
    </w:p>
    <w:p w14:paraId="50AA25CE">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5.1.3协助招标人办理开工手续。</w:t>
      </w:r>
    </w:p>
    <w:p w14:paraId="319DDA2D">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5.1.4组织相关单位进行设计交底和施工图会审，负责做好会议记录和图纸会审记录。</w:t>
      </w:r>
    </w:p>
    <w:p w14:paraId="5E57D7FB">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5.1.5现场的移交：对现场的原始场地进行测量，作出书面记录，并在开工之前及时向施工单位移交，其次是测量放线定位的移交。</w:t>
      </w:r>
    </w:p>
    <w:p w14:paraId="7BED7C3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5.1.6审查施工单位提出的施工组织设计、施工技术方案、施工进度计划、施工质量保证体系和施工安全保证体系。</w:t>
      </w:r>
    </w:p>
    <w:p w14:paraId="207E88DE">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5.1.7督促、检查施工单位严格执行工程承包合同和国家工程技术规范、标准，协调招标人和施工单位之间的关系。</w:t>
      </w:r>
    </w:p>
    <w:p w14:paraId="49AFA721">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5.1.8审核施工单位提供的材料、设备、构配件和实际的数量及质量，按照规范和质监站的要求，对相关的材料进行见证取样复验。</w:t>
      </w:r>
    </w:p>
    <w:p w14:paraId="583E1735">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5.1.9根据施工单位提交的施工进度计划协助招标人督促现场施工进度；审核经质量验收合格的工程量，协助招标人进行工程竣工验收工作。</w:t>
      </w:r>
    </w:p>
    <w:p w14:paraId="11E6858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5.1.10结合工程特点，审批施工单位报送的施工总进度计划；审批施工单位编制季月度施工计划；分阶段协调施工进度计划，及时提出调整意见，督促施工单位实施进度计划，在实际控制中，对实际工期不断检查，发现偏离进度计划及时督促承包方采取措施，做到有效的动态控制。</w:t>
      </w:r>
    </w:p>
    <w:p w14:paraId="7DDE3BA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5.1.11督促施工单位严格按现行规范、规程、强制性质量控制标准和设计要求施工、控制工程质量。</w:t>
      </w:r>
    </w:p>
    <w:p w14:paraId="7F954DF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5.1.12在实施过程中，监理采取程序报验检查、平行检查、旁站检查、巡视检查、定期与不定期检查等各种手段，按照规范和施工组织设计的要求，克服施工过程中的质量通病。</w:t>
      </w:r>
    </w:p>
    <w:p w14:paraId="237A5C2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5.1.13督促、检查施工单位落实施工安全保证措施。</w:t>
      </w:r>
    </w:p>
    <w:p w14:paraId="37DED99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5.1.14协调参建各方之间的争议和冲突，协调各专业施工单位之间的关系，协调各专业施工作业的交接。</w:t>
      </w:r>
    </w:p>
    <w:p w14:paraId="625DE74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5.1.15组织分项工程和隐蔽工程的检查、验收，签发工程验收凭证。</w:t>
      </w:r>
    </w:p>
    <w:p w14:paraId="22C2FD4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5.1.16督促承建商整理合同文件和技术档案资料。</w:t>
      </w:r>
    </w:p>
    <w:p w14:paraId="15A13B6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5.1.17组织招标人、施工单位、设计单位进行竣工预验收。</w:t>
      </w:r>
    </w:p>
    <w:p w14:paraId="72FF635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5.1.18提出工程质量评估报告。</w:t>
      </w:r>
    </w:p>
    <w:p w14:paraId="7DA4C85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5.1.19检查工程状况，如发生质量事故，则参与事故的分析和处理，并鉴定质量责任。</w:t>
      </w:r>
    </w:p>
    <w:p w14:paraId="10F7523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5.1.20督促施工单位在工程竣工验收后，整理工程交工资料和竣工图纸。</w:t>
      </w:r>
    </w:p>
    <w:p w14:paraId="78AB5C6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5.1.21督促完善签署工程保修协议，督促施工单位回访。</w:t>
      </w:r>
    </w:p>
    <w:p w14:paraId="1819574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5.1.22督促施工单位及时完成未完工程尾项，协助招标人督促施工单位按照国家有关规定和保修协议开展维修工作，维修工程出现的缺陷，保证维修工作顺利进行。</w:t>
      </w:r>
    </w:p>
    <w:p w14:paraId="0EDDE03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olor w:val="auto"/>
          <w:highlight w:val="none"/>
        </w:rPr>
        <w:t>5.1.23保修期间如出现工程质量问题，接招标人通知后参与调查、分析，确定发生工程质量问题的原因责任，共同研究修补措施，并负责监督责任单位修补工作。</w:t>
      </w:r>
    </w:p>
    <w:p w14:paraId="295521EB">
      <w:pPr>
        <w:pStyle w:val="4"/>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232" w:name="_Toc8398"/>
      <w:bookmarkStart w:id="233" w:name="_Toc12317"/>
      <w:bookmarkStart w:id="234" w:name="_Toc5107"/>
      <w:bookmarkStart w:id="235" w:name="_Toc878"/>
      <w:bookmarkStart w:id="236" w:name="_Toc11091"/>
      <w:bookmarkStart w:id="237" w:name="_Toc16162"/>
      <w:bookmarkStart w:id="238" w:name="_Toc31452"/>
      <w:r>
        <w:rPr>
          <w:rFonts w:hint="eastAsia" w:hAnsi="宋体" w:cs="宋体"/>
          <w:b/>
          <w:bCs/>
          <w:snapToGrid w:val="0"/>
          <w:color w:val="auto"/>
          <w:kern w:val="0"/>
          <w:szCs w:val="24"/>
          <w:highlight w:val="none"/>
        </w:rPr>
        <w:t>6．</w:t>
      </w:r>
      <w:bookmarkEnd w:id="232"/>
      <w:bookmarkEnd w:id="233"/>
      <w:bookmarkEnd w:id="234"/>
      <w:bookmarkEnd w:id="235"/>
      <w:bookmarkEnd w:id="236"/>
      <w:r>
        <w:rPr>
          <w:rFonts w:hint="eastAsia" w:ascii="Times New Roman"/>
          <w:b/>
          <w:snapToGrid w:val="0"/>
          <w:color w:val="auto"/>
          <w:szCs w:val="22"/>
          <w:highlight w:val="none"/>
        </w:rPr>
        <w:t>监理人违约及违约责任</w:t>
      </w:r>
      <w:bookmarkEnd w:id="237"/>
      <w:bookmarkEnd w:id="238"/>
    </w:p>
    <w:p w14:paraId="2FAB8060">
      <w:pPr>
        <w:pStyle w:val="132"/>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通常情况下，监理人不能按合同履行其义务和职责，因工作过失或渎职而造成了工程的经济和工期损失，为监理人违约，监理人应当向委托人赔偿经济损失，并承担相关的行政、法律责任。在本监理合同中，双方约定将监理人违约范围适当扩大，增加两种视为监理人违约的情况，一是监理人未按约定履行其义务工作时，即使未造成损失，视为监理人违约；二是监理目标未能达标，无论主要原因是什么，视为监理人违约。所有的违约金在当期的监理服务费扣除。本附件将监理人违约分为监理不良行为、监理过失、监理渎职及监理不达标四大情形造成的违约，这四种违约情形及违约责任的承担作如下规定： </w:t>
      </w:r>
    </w:p>
    <w:p w14:paraId="40D5E07B">
      <w:pPr>
        <w:pStyle w:val="65"/>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6.1监理不良行为违约</w:t>
      </w:r>
    </w:p>
    <w:p w14:paraId="26EE7AB6">
      <w:pPr>
        <w:pStyle w:val="65"/>
        <w:spacing w:line="460" w:lineRule="exact"/>
        <w:rPr>
          <w:rFonts w:hint="eastAsia" w:hAnsi="宋体"/>
          <w:color w:val="auto"/>
          <w:sz w:val="24"/>
          <w:highlight w:val="none"/>
        </w:rPr>
      </w:pPr>
      <w:r>
        <w:rPr>
          <w:rFonts w:hint="eastAsia" w:hAnsi="宋体"/>
          <w:color w:val="auto"/>
          <w:sz w:val="24"/>
          <w:highlight w:val="none"/>
        </w:rPr>
        <w:t xml:space="preserve">    6.1.1监理不良行为违约的认定</w:t>
      </w:r>
    </w:p>
    <w:p w14:paraId="64B2C5C7">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一切不按相关法规规定和要求履行义务工作的行为均可视为监理不良行为。监理不良行为特征主要体现是：1、项目监理架构未按相关法规及投标文件承诺规定组建，监理人员未完全到位和未按规定在岗的情形；2、相关法律、法规、地方规范性文件、监理规范、本项目相关合同文件规定及委托人指明的监理人的义务工作，监理人却未能执行或执行不及时；3、委托人指出或发现监理人在实施监理行为过程中明显的签证错误、审批错误及指令错误。</w:t>
      </w:r>
    </w:p>
    <w:p w14:paraId="47D58650">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监理人的不良行为一旦被发现，由委托人管理人员在“监理行为记录档案”作记录，无论是否造成损失，即构成监理人违约。若该行为已造成实际损失，按本附件界定的监理过失违约规定处理。</w:t>
      </w:r>
    </w:p>
    <w:p w14:paraId="75D8593E">
      <w:pPr>
        <w:pStyle w:val="65"/>
        <w:spacing w:line="460" w:lineRule="exact"/>
        <w:ind w:firstLine="482" w:firstLineChars="200"/>
        <w:rPr>
          <w:rFonts w:hint="eastAsia" w:hAnsi="宋体"/>
          <w:b/>
          <w:color w:val="auto"/>
          <w:sz w:val="24"/>
          <w:highlight w:val="none"/>
        </w:rPr>
      </w:pPr>
      <w:r>
        <w:rPr>
          <w:rFonts w:hint="eastAsia" w:hAnsi="宋体"/>
          <w:b/>
          <w:color w:val="auto"/>
          <w:sz w:val="24"/>
          <w:highlight w:val="none"/>
        </w:rPr>
        <w:t>所有监理不良行为违约发生的违约金均从监理人进度款中扣除，监理服务费结算以扣除违约金总数后的金额为准。</w:t>
      </w:r>
    </w:p>
    <w:p w14:paraId="66B1E3D3">
      <w:pPr>
        <w:pStyle w:val="65"/>
        <w:spacing w:line="460" w:lineRule="exact"/>
        <w:rPr>
          <w:rFonts w:hint="eastAsia" w:hAnsi="宋体"/>
          <w:color w:val="auto"/>
          <w:sz w:val="24"/>
          <w:highlight w:val="none"/>
        </w:rPr>
      </w:pPr>
      <w:r>
        <w:rPr>
          <w:rFonts w:hint="eastAsia" w:hAnsi="宋体"/>
          <w:color w:val="auto"/>
          <w:sz w:val="24"/>
          <w:highlight w:val="none"/>
        </w:rPr>
        <w:t xml:space="preserve">    6.1.2 监理不良行为违约的责任承担</w:t>
      </w:r>
    </w:p>
    <w:p w14:paraId="570472B2">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监理人发生监理不良行为一次，承担一般违约责任一次，监理人向委托人交纳违约金</w:t>
      </w:r>
      <w:r>
        <w:rPr>
          <w:rFonts w:hint="eastAsia" w:hAnsi="宋体"/>
          <w:color w:val="auto"/>
          <w:sz w:val="24"/>
          <w:highlight w:val="none"/>
          <w:lang w:val="en-US" w:eastAsia="zh-CN"/>
        </w:rPr>
        <w:t>500</w:t>
      </w:r>
      <w:r>
        <w:rPr>
          <w:rFonts w:hint="eastAsia" w:hAnsi="宋体"/>
          <w:color w:val="auto"/>
          <w:sz w:val="24"/>
          <w:highlight w:val="none"/>
        </w:rPr>
        <w:t>元。</w:t>
      </w:r>
    </w:p>
    <w:p w14:paraId="7FDC0DEF">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6.1.2.1 总监每月驻现场不少于</w:t>
      </w:r>
      <w:r>
        <w:rPr>
          <w:rFonts w:hint="eastAsia" w:hAnsi="宋体"/>
          <w:color w:val="auto"/>
          <w:sz w:val="24"/>
          <w:highlight w:val="none"/>
          <w:lang w:val="en-US" w:eastAsia="zh-CN"/>
        </w:rPr>
        <w:t>5</w:t>
      </w:r>
      <w:r>
        <w:rPr>
          <w:rFonts w:hint="eastAsia" w:hAnsi="宋体"/>
          <w:color w:val="auto"/>
          <w:sz w:val="24"/>
          <w:highlight w:val="none"/>
        </w:rPr>
        <w:t>天，未经招标人书面同意，每少1天，视为监理人发生监理不良行为一次，承担一般违约责任一次，监理人向委托人交纳违约金</w:t>
      </w:r>
      <w:r>
        <w:rPr>
          <w:rFonts w:hint="eastAsia" w:hAnsi="宋体"/>
          <w:color w:val="auto"/>
          <w:sz w:val="24"/>
          <w:highlight w:val="none"/>
          <w:lang w:val="en-US" w:eastAsia="zh-CN"/>
        </w:rPr>
        <w:t>300</w:t>
      </w:r>
      <w:r>
        <w:rPr>
          <w:rFonts w:hint="eastAsia" w:hAnsi="宋体"/>
          <w:color w:val="auto"/>
          <w:sz w:val="24"/>
          <w:highlight w:val="none"/>
        </w:rPr>
        <w:t>元。</w:t>
      </w:r>
    </w:p>
    <w:p w14:paraId="3509ED2A">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6.1.2.2  总监或总监代表如果无故缺席例会或招标人组织的会议，每次交纳违约金2000元。</w:t>
      </w:r>
    </w:p>
    <w:p w14:paraId="4C28DC13">
      <w:pPr>
        <w:pStyle w:val="65"/>
        <w:spacing w:line="460" w:lineRule="exact"/>
        <w:ind w:firstLine="480" w:firstLineChars="200"/>
        <w:rPr>
          <w:rFonts w:hint="eastAsia" w:hAnsi="宋体"/>
          <w:b/>
          <w:bCs/>
          <w:color w:val="auto"/>
          <w:sz w:val="24"/>
          <w:highlight w:val="none"/>
          <w:u w:val="single"/>
        </w:rPr>
      </w:pPr>
      <w:r>
        <w:rPr>
          <w:rFonts w:hint="eastAsia" w:hAnsi="宋体"/>
          <w:color w:val="auto"/>
          <w:sz w:val="24"/>
          <w:highlight w:val="none"/>
        </w:rPr>
        <w:t xml:space="preserve">6.1.2.3 </w:t>
      </w:r>
      <w:r>
        <w:rPr>
          <w:rFonts w:hint="eastAsia" w:hAnsi="宋体"/>
          <w:b/>
          <w:bCs/>
          <w:color w:val="auto"/>
          <w:sz w:val="24"/>
          <w:highlight w:val="none"/>
          <w:u w:val="single"/>
        </w:rPr>
        <w:t>其他监理人员必须按配备要求在现场驻场监理，离开项目现场必须经委托人书面同意，如委托人发现监理人员非正常离岗，监理人向委托人每人次交纳违约金</w:t>
      </w:r>
      <w:r>
        <w:rPr>
          <w:rFonts w:hint="eastAsia" w:hAnsi="宋体"/>
          <w:b/>
          <w:bCs/>
          <w:color w:val="auto"/>
          <w:sz w:val="24"/>
          <w:highlight w:val="none"/>
          <w:u w:val="single"/>
          <w:lang w:val="en-US" w:eastAsia="zh-CN"/>
        </w:rPr>
        <w:t>500</w:t>
      </w:r>
      <w:r>
        <w:rPr>
          <w:rFonts w:hint="eastAsia" w:hAnsi="宋体"/>
          <w:b/>
          <w:bCs/>
          <w:color w:val="auto"/>
          <w:sz w:val="24"/>
          <w:highlight w:val="none"/>
          <w:u w:val="single"/>
        </w:rPr>
        <w:t>元。</w:t>
      </w:r>
    </w:p>
    <w:p w14:paraId="40A07E9B">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6.1.2.4 不按规定委派专业人员，不按时、准时参加各项验收和抽查的，不及时签署检查、验收记录的，一次向建设（委托）单位交纳违约金¥</w:t>
      </w:r>
      <w:r>
        <w:rPr>
          <w:rFonts w:hint="eastAsia" w:hAnsi="宋体"/>
          <w:color w:val="auto"/>
          <w:sz w:val="24"/>
          <w:highlight w:val="none"/>
          <w:lang w:val="en-US" w:eastAsia="zh-CN"/>
        </w:rPr>
        <w:t>500</w:t>
      </w:r>
      <w:r>
        <w:rPr>
          <w:rFonts w:hint="eastAsia" w:hAnsi="宋体"/>
          <w:color w:val="auto"/>
          <w:sz w:val="24"/>
          <w:highlight w:val="none"/>
        </w:rPr>
        <w:t>元/次、项。</w:t>
      </w:r>
    </w:p>
    <w:p w14:paraId="00A919FE">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6.1.2.5 不按规定委派相关人员参加项目竣工验收的，一次向建设（委托）单位交纳违约金¥</w:t>
      </w:r>
      <w:r>
        <w:rPr>
          <w:rFonts w:hint="eastAsia" w:hAnsi="宋体"/>
          <w:color w:val="auto"/>
          <w:sz w:val="24"/>
          <w:highlight w:val="none"/>
          <w:lang w:val="en-US" w:eastAsia="zh-CN"/>
        </w:rPr>
        <w:t>5000</w:t>
      </w:r>
      <w:r>
        <w:rPr>
          <w:rFonts w:hint="eastAsia" w:hAnsi="宋体"/>
          <w:color w:val="auto"/>
          <w:sz w:val="24"/>
          <w:highlight w:val="none"/>
        </w:rPr>
        <w:t>元/项，不签署意见的交纳违约金¥</w:t>
      </w:r>
      <w:r>
        <w:rPr>
          <w:rFonts w:hint="eastAsia" w:hAnsi="宋体"/>
          <w:color w:val="auto"/>
          <w:sz w:val="24"/>
          <w:highlight w:val="none"/>
          <w:lang w:val="en-US" w:eastAsia="zh-CN"/>
        </w:rPr>
        <w:t>1000</w:t>
      </w:r>
      <w:r>
        <w:rPr>
          <w:rFonts w:hint="eastAsia" w:hAnsi="宋体"/>
          <w:color w:val="auto"/>
          <w:sz w:val="24"/>
          <w:highlight w:val="none"/>
        </w:rPr>
        <w:t>元；</w:t>
      </w:r>
    </w:p>
    <w:p w14:paraId="7F533DF8">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6.1.2.6 不按时交纳资料的，交纳违约金¥</w:t>
      </w:r>
      <w:r>
        <w:rPr>
          <w:rFonts w:hint="eastAsia" w:hAnsi="宋体"/>
          <w:color w:val="auto"/>
          <w:sz w:val="24"/>
          <w:highlight w:val="none"/>
          <w:lang w:val="en-US" w:eastAsia="zh-CN"/>
        </w:rPr>
        <w:t>5</w:t>
      </w:r>
      <w:r>
        <w:rPr>
          <w:rFonts w:hint="eastAsia" w:hAnsi="宋体"/>
          <w:color w:val="auto"/>
          <w:sz w:val="24"/>
          <w:highlight w:val="none"/>
        </w:rPr>
        <w:t>万元，造成损失的，承担相应责任；</w:t>
      </w:r>
    </w:p>
    <w:p w14:paraId="779688EC">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6.1.2.7 同一问题未能按时整改，每重复一次监理人向委托人缴纳违约金</w:t>
      </w:r>
      <w:r>
        <w:rPr>
          <w:rFonts w:hint="eastAsia" w:hAnsi="宋体"/>
          <w:color w:val="auto"/>
          <w:sz w:val="24"/>
          <w:highlight w:val="none"/>
          <w:lang w:val="en-US" w:eastAsia="zh-CN"/>
        </w:rPr>
        <w:t>200</w:t>
      </w:r>
      <w:r>
        <w:rPr>
          <w:rFonts w:hint="eastAsia" w:hAnsi="宋体"/>
          <w:color w:val="auto"/>
          <w:sz w:val="24"/>
          <w:highlight w:val="none"/>
        </w:rPr>
        <w:t>元。</w:t>
      </w:r>
    </w:p>
    <w:p w14:paraId="1B0FB72B">
      <w:pPr>
        <w:pStyle w:val="65"/>
        <w:spacing w:line="460" w:lineRule="exact"/>
        <w:ind w:firstLine="482" w:firstLineChars="200"/>
        <w:rPr>
          <w:rFonts w:hint="eastAsia" w:hAnsi="宋体"/>
          <w:color w:val="auto"/>
          <w:sz w:val="24"/>
          <w:highlight w:val="none"/>
        </w:rPr>
      </w:pPr>
      <w:r>
        <w:rPr>
          <w:rFonts w:hint="eastAsia" w:hAnsi="宋体"/>
          <w:b/>
          <w:bCs/>
          <w:color w:val="auto"/>
          <w:sz w:val="24"/>
          <w:highlight w:val="none"/>
        </w:rPr>
        <w:t>6.2 监理过失事件违约</w:t>
      </w:r>
    </w:p>
    <w:p w14:paraId="32F6D492">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6.2.1 监理过失事件违约的认定</w:t>
      </w:r>
    </w:p>
    <w:p w14:paraId="1A54557B">
      <w:pPr>
        <w:pStyle w:val="65"/>
        <w:spacing w:line="460" w:lineRule="exact"/>
        <w:rPr>
          <w:rFonts w:hint="eastAsia" w:hAnsi="宋体"/>
          <w:color w:val="auto"/>
          <w:sz w:val="24"/>
          <w:highlight w:val="none"/>
        </w:rPr>
      </w:pPr>
      <w:r>
        <w:rPr>
          <w:rFonts w:hint="eastAsia" w:hAnsi="宋体"/>
          <w:color w:val="auto"/>
          <w:sz w:val="24"/>
          <w:highlight w:val="none"/>
        </w:rPr>
        <w:t xml:space="preserve">    工程建设过程中，如发生以下情况：①委托人发现勘察（或设计或施工）中存在问题，而监理单位未发现的；②监理单位发现勘察（或设计或施工）中存在的问题，但未督促勘察（或设计或施工）单位整改或整改不到位的（以监理单位发出的整改通知和勘察（或设计或施工）单位回复及监理复查意见为准）；③监理单位三次及以上发出整改通知勘察（或设计或施工）单位未能给予响应的，但监理单位未能采取果断措施的；以上三种情况一旦委托人向监理单位发出整改通知，即认定为监理人监理过失事件违约，每发出一份整改通知即认定为监理过失事件违约一次。并由委托人管理人员在“监理行为记录档案”作记录。</w:t>
      </w:r>
    </w:p>
    <w:p w14:paraId="57136A0A">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6.2.2 监理过失事件违约的责任承担</w:t>
      </w:r>
    </w:p>
    <w:p w14:paraId="294B43C7">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6.2.2.1 监理人发生监理过失事件违约一次，承担严重违约责任一次，监理人向委托人交纳违约金</w:t>
      </w:r>
      <w:r>
        <w:rPr>
          <w:rFonts w:hint="eastAsia" w:hAnsi="宋体"/>
          <w:color w:val="auto"/>
          <w:sz w:val="24"/>
          <w:highlight w:val="none"/>
          <w:lang w:val="en-US" w:eastAsia="zh-CN"/>
        </w:rPr>
        <w:t>1000</w:t>
      </w:r>
      <w:r>
        <w:rPr>
          <w:rFonts w:hint="eastAsia" w:hAnsi="宋体"/>
          <w:color w:val="auto"/>
          <w:sz w:val="24"/>
          <w:highlight w:val="none"/>
        </w:rPr>
        <w:t>元。</w:t>
      </w:r>
    </w:p>
    <w:p w14:paraId="0E4E3FC4">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6.2.2.2 如因监理人的原因而造成的经济损失，按如下规定向委托人赔偿： </w:t>
      </w:r>
    </w:p>
    <w:p w14:paraId="499CCC9B">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（1）</w:t>
      </w:r>
      <w:r>
        <w:rPr>
          <w:rFonts w:hint="eastAsia" w:ascii="宋体" w:hAnsi="宋体" w:eastAsia="宋体" w:cs="宋体"/>
          <w:color w:val="auto"/>
          <w:sz w:val="24"/>
          <w:highlight w:val="none"/>
        </w:rPr>
        <w:t>根据损失额（或工程变更引起增加额）与本工程签订的施工合同金额的比例，按相应比例双倍扣减监理酬金；</w:t>
      </w:r>
      <w:r>
        <w:rPr>
          <w:rFonts w:hint="eastAsia" w:ascii="宋体" w:hAnsi="宋体" w:eastAsia="宋体" w:cs="宋体"/>
          <w:color w:val="auto"/>
          <w:sz w:val="24"/>
          <w:highlight w:val="none"/>
          <w:lang w:val="en-US" w:eastAsia="zh-CN"/>
        </w:rPr>
        <w:t>因监理单位履职不到位引起的累计工程变更调整费用总额超过项目施工合同价(暂列金、预留金除外)的10%以上(含)，由项目建设单位按照合同扣减其30%的委托费用；超过项目施工合同价(暂列金、预留金除外)的20%以上(含),全额扣减相关费用，并由相关部门在市场诚信管理、市场准入资质管理等方面依法给予处理并进行通报。</w:t>
      </w:r>
    </w:p>
    <w:p w14:paraId="15E547A5">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2）因监理人责任导致工期延误，其中分项工期延误日数占该项总工期的30%时，则委托人有权扣除该分项工程监理酬金的60%；分项工期延误日数达到该项总工期的50%时，则委托人有权单方解除合同。因监理人责任导致工程竣工拖延的，依据拖延的日数，监理人应每日按监理酬金总额的1%向委托人支付违约金。由于监理人责任导致工期延误，致使委托人要承担赔偿第三方责任的，监理人必须承担赔偿委托人由此遭受的实际损失中的50%。</w:t>
      </w:r>
    </w:p>
    <w:p w14:paraId="34467435">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6.2.2.3 监理人发生监理过失违约后，当委托人认为监理人无正当理由而又未履行监理义务时，有权部分解除合同或完全解除合同。</w:t>
      </w:r>
    </w:p>
    <w:p w14:paraId="0316EAAD">
      <w:pPr>
        <w:pStyle w:val="65"/>
        <w:spacing w:line="460" w:lineRule="exact"/>
        <w:rPr>
          <w:rFonts w:hint="eastAsia" w:hAnsi="宋体"/>
          <w:b/>
          <w:bCs/>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6.3 监理渎职事件违约</w:t>
      </w:r>
    </w:p>
    <w:p w14:paraId="141FA06B">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6.3.1 监理渎职事件违约的认定</w:t>
      </w:r>
    </w:p>
    <w:p w14:paraId="717DA5B5">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不按监理合同履行职责，滥用监理职权，或与其他人故意串通，行为恶劣造成严重社会影响的，无论是否造成损失，一经发现并认定为监理渎职违约，并由委托人管理人员在“监理行为记录档案”作记录。</w:t>
      </w:r>
    </w:p>
    <w:p w14:paraId="667AA1D3">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 6.3.2监理渎职事件违约的责任承担</w:t>
      </w:r>
    </w:p>
    <w:p w14:paraId="56249DD1">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6.3.2.1 监理人发生监理渎职违约一次，承担非常严重违约责任一次，扣除监理人违约金</w:t>
      </w:r>
      <w:r>
        <w:rPr>
          <w:rFonts w:hint="eastAsia" w:hAnsi="宋体"/>
          <w:color w:val="auto"/>
          <w:sz w:val="24"/>
          <w:highlight w:val="none"/>
          <w:lang w:val="en-US" w:eastAsia="zh-CN"/>
        </w:rPr>
        <w:t>1000</w:t>
      </w:r>
      <w:r>
        <w:rPr>
          <w:rFonts w:hint="eastAsia" w:hAnsi="宋体"/>
          <w:color w:val="auto"/>
          <w:sz w:val="24"/>
          <w:highlight w:val="none"/>
        </w:rPr>
        <w:t>元。</w:t>
      </w:r>
    </w:p>
    <w:p w14:paraId="6BA85A70">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6.3.2.2 委托人勒令监理人更换监理人员，直至解除合同（合同解除办法同上）。</w:t>
      </w:r>
    </w:p>
    <w:p w14:paraId="134A9175">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6.3.2.3 如监理人的原因造成委托人或工程损失的，监理人承担全部赔偿责任。</w:t>
      </w:r>
    </w:p>
    <w:p w14:paraId="318F3568">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6.3.2.4 监理人必须加强对监理人员职业操守、廉政建设的培训和教育，本项目监理人员利用职业身份“吃、拿、卡、要”或有其他违反职业操守及廉政建设相关规定的，一经查实，监理人应立即清退该监理人员，并承担1次非常严重违约责任，扣除监理人违约金¥</w:t>
      </w:r>
      <w:r>
        <w:rPr>
          <w:rFonts w:hint="eastAsia" w:hAnsi="宋体"/>
          <w:color w:val="auto"/>
          <w:sz w:val="24"/>
          <w:highlight w:val="none"/>
          <w:lang w:val="en-US" w:eastAsia="zh-CN"/>
        </w:rPr>
        <w:t>5000</w:t>
      </w:r>
      <w:r>
        <w:rPr>
          <w:rFonts w:hint="eastAsia" w:hAnsi="宋体"/>
          <w:color w:val="auto"/>
          <w:sz w:val="24"/>
          <w:highlight w:val="none"/>
        </w:rPr>
        <w:t>元。如监理人违背了以下7款的任何情况，视为非常严重的违约，直接解除合同，不做费用补偿，且对已完成的监理服务，不再支付监理费用，并通报建设行政主管部门：</w:t>
      </w:r>
    </w:p>
    <w:p w14:paraId="677CAEB7">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1）禁止向委托人及承包人推销材料、设备，或以倾向性、排他性变相推销；</w:t>
      </w:r>
    </w:p>
    <w:p w14:paraId="7330B46C">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2）禁止与承包人串通，对不合格材料、产品、工程进行包庇及验收；</w:t>
      </w:r>
    </w:p>
    <w:p w14:paraId="478DF63A">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3）禁止与承包人串通，对材料用量、工程量进行虚假签认；</w:t>
      </w:r>
    </w:p>
    <w:p w14:paraId="55CE4397">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4）禁止与承包人串通，不合理提高施工难度及增加材料用量，以增大施工费用，获取不正当收益。</w:t>
      </w:r>
    </w:p>
    <w:p w14:paraId="5BE7D934">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5）禁止接受承包人的请吃送礼或变相受礼；</w:t>
      </w:r>
    </w:p>
    <w:p w14:paraId="4958A281">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6）禁止向承包人介绍分包或推销材料、设备等；</w:t>
      </w:r>
    </w:p>
    <w:p w14:paraId="63E59BA2">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7）禁止故意刁难承包人以谋取私利，损害委托人的合法利益。</w:t>
      </w:r>
    </w:p>
    <w:p w14:paraId="22A09CB1">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6.3.2.5 如监理人在投标时根据招标文件《综合评分表》“人员配置”作出了增加人员的承诺，而开工后，实际上没有增加，经发包人要求后，在10天内仍未能配齐增加的造价工程师和专业工程师，则视为非常严重的违约，直接解除合同。</w:t>
      </w:r>
    </w:p>
    <w:p w14:paraId="0C33A9D2">
      <w:pPr>
        <w:pStyle w:val="65"/>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6.4 监理不达标造成的违约</w:t>
      </w:r>
    </w:p>
    <w:p w14:paraId="101F443B">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6.4.1 监理不达标违约的认定</w:t>
      </w:r>
    </w:p>
    <w:p w14:paraId="1771CB90">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工程竣工结算后，监理协议书第三项监理目标的任何一项目标的不达标，均视为监理人的监理目标违约。</w:t>
      </w:r>
    </w:p>
    <w:p w14:paraId="6DD59B5C">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6.4.2 监理目标违约的责任承担</w:t>
      </w:r>
    </w:p>
    <w:p w14:paraId="2EA8D557">
      <w:pPr>
        <w:pStyle w:val="65"/>
        <w:spacing w:line="460" w:lineRule="exact"/>
        <w:rPr>
          <w:rFonts w:hint="eastAsia" w:hAnsi="宋体"/>
          <w:color w:val="auto"/>
          <w:sz w:val="24"/>
          <w:highlight w:val="none"/>
        </w:rPr>
      </w:pPr>
      <w:r>
        <w:rPr>
          <w:rFonts w:hint="eastAsia" w:hAnsi="宋体"/>
          <w:color w:val="auto"/>
          <w:sz w:val="24"/>
          <w:highlight w:val="none"/>
        </w:rPr>
        <w:t xml:space="preserve">    6.4.2.1 质量控制不达标：工程竣工验收质量未达到施工合同等级要求的，不管任何原因，结算扣减监理合同价款的</w:t>
      </w:r>
      <w:r>
        <w:rPr>
          <w:rFonts w:hint="eastAsia" w:hAnsi="宋体"/>
          <w:color w:val="auto"/>
          <w:sz w:val="24"/>
          <w:highlight w:val="none"/>
          <w:lang w:val="en-US" w:eastAsia="zh-CN"/>
        </w:rPr>
        <w:t>1</w:t>
      </w:r>
      <w:r>
        <w:rPr>
          <w:rFonts w:hint="eastAsia" w:hAnsi="宋体"/>
          <w:color w:val="auto"/>
          <w:sz w:val="24"/>
          <w:highlight w:val="none"/>
        </w:rPr>
        <w:t>％。</w:t>
      </w:r>
    </w:p>
    <w:p w14:paraId="1EFA036F">
      <w:pPr>
        <w:pStyle w:val="65"/>
        <w:spacing w:line="460" w:lineRule="exact"/>
        <w:ind w:firstLine="480"/>
        <w:rPr>
          <w:rFonts w:hint="eastAsia" w:hAnsi="宋体"/>
          <w:color w:val="auto"/>
          <w:sz w:val="24"/>
          <w:highlight w:val="none"/>
        </w:rPr>
      </w:pPr>
      <w:r>
        <w:rPr>
          <w:rFonts w:hint="eastAsia" w:hAnsi="宋体"/>
          <w:color w:val="auto"/>
          <w:sz w:val="24"/>
          <w:highlight w:val="none"/>
        </w:rPr>
        <w:t>6.4.2.2 投资控制不达标：由监理单位编制投资控制计划和投资控制措施，报建设单位审核，若监理单位未能落实控制措施，出现投资增加，工程建安费结算价突破投资控制值的，每突破1％，结算扣减监理合同价款的1％。</w:t>
      </w:r>
    </w:p>
    <w:p w14:paraId="1B05263D">
      <w:pPr>
        <w:pStyle w:val="65"/>
        <w:spacing w:line="460" w:lineRule="exact"/>
        <w:ind w:firstLine="480"/>
        <w:rPr>
          <w:rFonts w:hint="eastAsia" w:hAnsi="宋体"/>
          <w:color w:val="auto"/>
          <w:sz w:val="24"/>
          <w:highlight w:val="none"/>
        </w:rPr>
      </w:pPr>
      <w:r>
        <w:rPr>
          <w:rFonts w:hint="eastAsia" w:hAnsi="宋体"/>
          <w:color w:val="auto"/>
          <w:sz w:val="24"/>
          <w:highlight w:val="none"/>
        </w:rPr>
        <w:t>6.4.2.3 进度控制不达标：工程竣工验收通过日延误的，委托人视监理人的责任情况结算扣减监理合同价款的1％－3％。</w:t>
      </w:r>
    </w:p>
    <w:p w14:paraId="47EB0213">
      <w:pPr>
        <w:pStyle w:val="65"/>
        <w:spacing w:line="460" w:lineRule="exact"/>
        <w:rPr>
          <w:rFonts w:hint="eastAsia" w:hAnsi="宋体"/>
          <w:color w:val="auto"/>
          <w:sz w:val="24"/>
          <w:highlight w:val="none"/>
        </w:rPr>
      </w:pPr>
      <w:r>
        <w:rPr>
          <w:rFonts w:hint="eastAsia" w:hAnsi="宋体"/>
          <w:color w:val="auto"/>
          <w:sz w:val="24"/>
          <w:highlight w:val="none"/>
        </w:rPr>
        <w:t xml:space="preserve">    6.4.2.4 安全管理不达标：工程发生一般安全生产事故，或被上级主管部门通报批评、被新闻媒体曝光的，结算扣减监理合同价款的1％；发生较大以上安全质量事故（按国家及合同有关规定界定）的，结算扣减监理合同价款的3％。情节严重的，委托人有权部分或全部解除合同。</w:t>
      </w:r>
    </w:p>
    <w:p w14:paraId="7FAF4CC2">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6.4.2.5 监理人应保证每季度进度计量（价）数据的准确性，如发生计量（价）误差＞5%，则视为监理人违约一次，扣除监理人违约金</w:t>
      </w:r>
      <w:r>
        <w:rPr>
          <w:rFonts w:hint="eastAsia" w:hAnsi="宋体"/>
          <w:color w:val="auto"/>
          <w:sz w:val="24"/>
          <w:highlight w:val="none"/>
          <w:lang w:val="en-US" w:eastAsia="zh-CN"/>
        </w:rPr>
        <w:t>500</w:t>
      </w:r>
      <w:r>
        <w:rPr>
          <w:rFonts w:hint="eastAsia" w:hAnsi="宋体"/>
          <w:color w:val="auto"/>
          <w:sz w:val="24"/>
          <w:highlight w:val="none"/>
        </w:rPr>
        <w:t>元//次。</w:t>
      </w:r>
    </w:p>
    <w:p w14:paraId="7BE26912">
      <w:pPr>
        <w:pStyle w:val="65"/>
        <w:spacing w:line="460" w:lineRule="exact"/>
        <w:ind w:firstLine="600" w:firstLineChars="250"/>
        <w:rPr>
          <w:rFonts w:hint="eastAsia" w:hAnsi="宋体"/>
          <w:color w:val="auto"/>
          <w:sz w:val="24"/>
          <w:highlight w:val="none"/>
        </w:rPr>
      </w:pPr>
      <w:r>
        <w:rPr>
          <w:rFonts w:hint="eastAsia" w:hAnsi="宋体"/>
          <w:color w:val="auto"/>
          <w:sz w:val="24"/>
          <w:highlight w:val="none"/>
        </w:rPr>
        <w:t>6.4.2.6 对监理人上述违约处罚，不免除追究当事人和监理人的法律责任和相关赔偿责任。</w:t>
      </w:r>
    </w:p>
    <w:p w14:paraId="5719897F">
      <w:pPr>
        <w:pStyle w:val="65"/>
        <w:spacing w:line="460" w:lineRule="exact"/>
        <w:rPr>
          <w:rFonts w:hint="eastAsia" w:hAnsi="宋体"/>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6.5 监理违约的处理程序</w:t>
      </w:r>
    </w:p>
    <w:p w14:paraId="6E748AA5">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6.5.1 由委托人管理人员在“监理行为记录档案”中将监理人的具体违约情况记录，并将记录内容书面告知监理人。</w:t>
      </w:r>
    </w:p>
    <w:p w14:paraId="12C07D29">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6.5.2 委托人不定期将有关监理人的违约情况以记录、通知、会议纪要等书面形式通知监理人，指明其未能履约的内容和委托人要求其承担违约责任的等级。</w:t>
      </w:r>
    </w:p>
    <w:p w14:paraId="2852DF01">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6.5.3 监理人收到书面处理通知后，如有足够证据证明不应由其承担违约责任的，应在收到违约处理决定后3天内以书面形式向委托人提出异议并附上有关证据，委托人在收到监理人的异议后15天内审核完毕且作出书面决定并通知监理人。否则书面通知则作为处理决定。</w:t>
      </w:r>
    </w:p>
    <w:p w14:paraId="3E03E0DD">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6.5.4 委托人将进一步将监理人执行国家强制性规范、标准和履行合同、招投标文件义务的情况（包括但不限于由委托人组织的考核、考评通报、违约责任处理决定等）再报当地建设行政主管部门并在媒体上公开披露。</w:t>
      </w:r>
    </w:p>
    <w:p w14:paraId="7BA36212">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6.5.5 部分解除合同：委托人向监理人发出部分解除合同的通知后，合同部分解除即生效，监理人必须在3日内停止被解除部分的工作，5日内配合委托人完成现场工作和有关资料的移交，所交接资料必须完整。监理人无特殊原因未在规定期限内完成移交和撤出，或交接资料不完整的，委托人有权处理其留在现场的材料、设备和其他物件，处理费用由监理人承担，委托人有权视情况全部解除合同。因监理人拒交或延误交接现场工作和有关资料而引致委托人工期延误及其他方面的损失，委托人有权要求监理人赔偿有关损失。委托人在发出部分解除合同的通知后，委托人即可委托新的监理人承接该部分工程，监理人不得影响或阻碍新的监理人办理进场手续和相关工作。</w:t>
      </w:r>
    </w:p>
    <w:p w14:paraId="51D4C68F">
      <w:pPr>
        <w:pStyle w:val="65"/>
        <w:spacing w:line="460" w:lineRule="exact"/>
        <w:ind w:firstLine="480" w:firstLineChars="200"/>
        <w:rPr>
          <w:rFonts w:hint="eastAsia" w:hAnsi="宋体"/>
          <w:color w:val="auto"/>
          <w:sz w:val="24"/>
          <w:highlight w:val="none"/>
        </w:rPr>
      </w:pPr>
      <w:r>
        <w:rPr>
          <w:rFonts w:hint="eastAsia" w:hAnsi="宋体"/>
          <w:color w:val="auto"/>
          <w:sz w:val="24"/>
          <w:highlight w:val="none"/>
        </w:rPr>
        <w:t>6.5.6 完全解除合同：委托人向监理人发出解除合同的通知后，合同即解除，监理人必须在3日内停止全部工作，5日内配合委托人完成现场工作和有关资料的移交，并于完成交接工作当日内离场。监理人应保证所移交的资料齐全完整，监理人无特殊原因未在规定期限内完成移交和离场或所移交的资料不完整的，委托人有权处理其留在现场的材料、设备和其他物件，处理费用由监理人承担，如果引致委托人工期延误和其他方面的损失，委托人将要求监理人赔偿有关损失。委托人在发出解除合同的通知后，委托人即可委托新的监理人承接该工程，监理人不得影响或阻碍新的监理人办理进场手续和相关工作。</w:t>
      </w:r>
    </w:p>
    <w:p w14:paraId="4BE14420">
      <w:pPr>
        <w:pStyle w:val="4"/>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239" w:name="_Toc14391"/>
      <w:bookmarkStart w:id="240" w:name="_Toc22285"/>
      <w:bookmarkStart w:id="241" w:name="_Toc18555"/>
      <w:bookmarkStart w:id="242" w:name="_Toc21519"/>
      <w:r>
        <w:rPr>
          <w:rFonts w:hint="eastAsia" w:ascii="Times New Roman"/>
          <w:b/>
          <w:snapToGrid w:val="0"/>
          <w:color w:val="auto"/>
          <w:szCs w:val="22"/>
          <w:highlight w:val="none"/>
        </w:rPr>
        <w:t>7. 工程质量、造价、进度控制及安全生产管理</w:t>
      </w:r>
      <w:bookmarkEnd w:id="239"/>
      <w:bookmarkEnd w:id="240"/>
      <w:bookmarkEnd w:id="241"/>
      <w:bookmarkEnd w:id="242"/>
    </w:p>
    <w:p w14:paraId="052B44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 工程质量控制：</w:t>
      </w:r>
    </w:p>
    <w:p w14:paraId="17E18D6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 工程开工前，项目监理机构应审查施工单位现场的质量管理组织机构、管理制度及专职管理人员和特种作业人员的资格。</w:t>
      </w:r>
    </w:p>
    <w:p w14:paraId="455E7DB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 总监理工程师应组织专业监理工程师审查施工单位报审的施工方案，符合要求后应予以签认。施工方案审查应包括下列基本内容：</w:t>
      </w:r>
    </w:p>
    <w:p w14:paraId="12AD25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572728C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（2）工程质量保证措施应符合有关标准。</w:t>
      </w:r>
    </w:p>
    <w:p w14:paraId="5FD6D4F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7.1.3 施工方案报审表应按相应规范的要求填写。</w:t>
      </w:r>
    </w:p>
    <w:p w14:paraId="76AAFF2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7.1.4 专业监理工程师应审查施工单位报送的新材料、新工艺、新技术、新设备的质量认证材料和相关验收标准的适用性，必要时，应要求施工单位组织专题论证，审查合格后报总监理工程师签认。</w:t>
      </w:r>
    </w:p>
    <w:p w14:paraId="3D8D68E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7.1.5 专业监理工程师应检查、复核施工单位报送的施工控制测量成果及保护措施，签署意见。专业监理工程师应对施工单位在施工过程中报送的施工测量放线成果进行查验。施工控制测量成果及保护措施的检查、复核，应包括下列内容：</w:t>
      </w:r>
    </w:p>
    <w:p w14:paraId="62243F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（1）施工单位测量人员的资格证书及测量设备检定证书。</w:t>
      </w:r>
    </w:p>
    <w:p w14:paraId="753C0AC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（2）施工平面控制网、高程控制网和临时水准点的测量成果及控制桩的保护措施。</w:t>
      </w:r>
    </w:p>
    <w:p w14:paraId="796848B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7.1.6 施工控制测量成果报验表应按相应规范的要求填写。</w:t>
      </w:r>
    </w:p>
    <w:p w14:paraId="2BC25C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7.1.7 专业监理工程师应检查施工单位为工程提供服务的试验室。</w:t>
      </w:r>
    </w:p>
    <w:p w14:paraId="4A8D2A7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试验室的检查应包括下列内容：</w:t>
      </w:r>
    </w:p>
    <w:p w14:paraId="3F1D69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（1）试验室的资质等级及试验范围。</w:t>
      </w:r>
    </w:p>
    <w:p w14:paraId="083C22E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（2）法定计量部门对试验设备出具的计量检定证明。</w:t>
      </w:r>
    </w:p>
    <w:p w14:paraId="6188EF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（3）试验室管理制度。</w:t>
      </w:r>
    </w:p>
    <w:p w14:paraId="7CDC8E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（4）试验人员资格证书。</w:t>
      </w:r>
    </w:p>
    <w:p w14:paraId="175389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7.1.8 施工单位的试验室报审表应按相应规范的要求填写。</w:t>
      </w:r>
    </w:p>
    <w:p w14:paraId="08372CD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7.1.9 项目监理机构应审查施工单位报送的用于工程的材料、构配件、设备的质量证明文件，并应按有关规定、建设工程监理合同约定，对用于工程的材料进行见证取样、平行检验。项目监理机构对已进场经检验不合格的工程材料、构配件、设备，应要求施工单位限期将其撤出施工现场。工程材料、构配件、设备报审表应按相应规范的要求填写。</w:t>
      </w:r>
    </w:p>
    <w:p w14:paraId="7181CE0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7.1.10 专业监理工程师应审查施工单位定期提交影响工程质量的计量设备的检查和检定报告。</w:t>
      </w:r>
    </w:p>
    <w:p w14:paraId="0A2DFDB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7.1.11 项目监理机构应根据工程特点和施工单位报送的施工组织设计，确定旁站的关键部位、关键工序，安排监理人员进行旁站，并应及时记录旁站情况。旁站记录应按相应规范的要求填写。</w:t>
      </w:r>
    </w:p>
    <w:p w14:paraId="2B9D76A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7.1.12 项目监理机构应安排监理人员对工程施工质量进行巡视。巡视应包括下列主要内容：</w:t>
      </w:r>
    </w:p>
    <w:p w14:paraId="61D012E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（1）施工单位是否按工程设计文件、工程建设标准和批准的施工组织设计、(专项)施工方案施工。</w:t>
      </w:r>
    </w:p>
    <w:p w14:paraId="52B664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（2）使用的工程材料、构配件和设备是否合格。</w:t>
      </w:r>
    </w:p>
    <w:p w14:paraId="42E824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（3）施工现场管理人员，特别是施工质量管理人员是否到位。</w:t>
      </w:r>
    </w:p>
    <w:p w14:paraId="13E44C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（4）特种作业人员是否持证上岗。</w:t>
      </w:r>
    </w:p>
    <w:p w14:paraId="04FF7AB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7.1.13 项目监理机构应根据工程特点、专业要求，以及建设工程监理合同约定，对施工质量进行平行检验。</w:t>
      </w:r>
    </w:p>
    <w:p w14:paraId="5848EDA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7.1.14 项目监理机构应对施工单位报验的隐蔽工程、检验批、分项工程和分部工程进行验收，对验收合格的应给予签认；对验收不合格的应拒绝签认，同时应要求施工单位在指定的时间内整改并重新报验。对已同意覆盖的工程隐蔽部位质量有疑问的，或发现施工单位私自覆盖工程隐蔽部位的，项目监理机构应要求施工单位对该隐蔽部位进行钻孔探测、剥离或其他方法进行重新检验。隐蔽工程、检验批、分项工程报验表及分部工程报验表应按相应规范的要求填写。</w:t>
      </w:r>
    </w:p>
    <w:p w14:paraId="50897D6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7.1.15 项目监理机构发现施工存在质量问题的，或施工单位采用不适当的施工工艺，或施工不当，造成工程质量不合格的，应及时签发监理通知单，要求施工单位整改。整改完毕后，项目监理机构应根据施工单位报送的监理通知回复单对整改情况进行复查，提出复查意见。监理通知单及监理通知回复单应按相应规范的要求填写。</w:t>
      </w:r>
    </w:p>
    <w:p w14:paraId="3C86B2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7.1.16 对需要返工处理或加固补强的质量缺陷，项目监理机构应要求施工单位报送经设计等相关单位认可的处理方案，并应对质量缺陷的处理过程进行跟踪检查，同时应对处理结果进行验收。</w:t>
      </w:r>
    </w:p>
    <w:p w14:paraId="474DB2E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7.1.17 对需要返工处理或加固补强的质量事故，项目监理机构应要求施工单位报送质量事故调查报告和经设计等相关单位认可的处理方案，并应对质量事故的处理过程进行跟踪检查，同时应对处理结果进行验收。项目监理机构应及时向建设单位提交质量事故书面报告，并应将完整的质量事故处理记录整理归档。</w:t>
      </w:r>
    </w:p>
    <w:p w14:paraId="23CA89A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7.1.18 项目监理机构应审查施工单位提交的单位工程竣工验收报审表及竣工资料，组织工程竣工预验收。存在问题的，应要求施工单位及时整改；合格的，总监理工程师应签认单位工程竣工验收报审表。单位工程竣工验收报审表应按相应规范的要求填写。</w:t>
      </w:r>
    </w:p>
    <w:p w14:paraId="745CCB0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7.1.19 工程竣工预验收合格后，项目监理机构应编写工程质量评估报告，并应经总监理工程师和工程监理单位技术负责人审核签字后报建设单位。</w:t>
      </w:r>
    </w:p>
    <w:p w14:paraId="7D710A5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7.1.20 项目监理机构应参加由建设单位组织的竣工验收，对验收中提出的整改问题，应督促施工单位及时整改。工程质量符合要求的，总监理工程师应在工程竣工验收报告中签署意见。</w:t>
      </w:r>
    </w:p>
    <w:p w14:paraId="74C6A59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7.1.21 保修期满后，项目监理机构应参与保修期满质量复检，对复检中发现的问题提出整改意见并督促施工单位整改；整改合格后，总监理工程师在复检报告中签署意见。</w:t>
      </w:r>
    </w:p>
    <w:p w14:paraId="0A757B4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7.1.22 项目监理机构受招标人的委托对工程项目实施进行监督与管理，必须按照国家和广东省的有关施工技术规范及现行标准，保证工程达到合格标准，若因中标人原因，工程在竣工验收或分部工程验收时没有达到此标准，项目监理机构按监理按合同价款的</w:t>
      </w:r>
      <w:r>
        <w:rPr>
          <w:rFonts w:hint="eastAsia" w:ascii="Times New Roman"/>
          <w:snapToGrid w:val="0"/>
          <w:color w:val="auto"/>
          <w:kern w:val="0"/>
          <w:highlight w:val="none"/>
          <w:u w:val="single"/>
        </w:rPr>
        <w:t>3%</w:t>
      </w:r>
      <w:r>
        <w:rPr>
          <w:rFonts w:hint="eastAsia" w:ascii="Times New Roman"/>
          <w:snapToGrid w:val="0"/>
          <w:color w:val="auto"/>
          <w:kern w:val="0"/>
          <w:highlight w:val="none"/>
        </w:rPr>
        <w:t>向招标人返纳质量违约金，并无条件免费监理服务至工程质量达到合格止。</w:t>
      </w:r>
    </w:p>
    <w:p w14:paraId="3BCC4A52">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7.2 工程造价控制：</w:t>
      </w:r>
    </w:p>
    <w:p w14:paraId="09D5150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7.2.1 项目监理机构应按下列程序进行工程计量和付款签证：</w:t>
      </w:r>
    </w:p>
    <w:p w14:paraId="7BBE9D5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（1）专业监理工程师对施工单位在工程款支付报审表中提交的工程量和支付金额进行复核，确定实际完成的工程量，提出到期应支付给施工单位的金额，并提出相应的支持性材料。</w:t>
      </w:r>
    </w:p>
    <w:p w14:paraId="5DDC942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w:t>
      </w:r>
    </w:p>
    <w:p w14:paraId="10CB130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（3）总监理工程师根据建设单位的审批意见，向施工单位签发工程款支付证书。</w:t>
      </w:r>
    </w:p>
    <w:p w14:paraId="398555D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工程款支付报审表及工程款支付证书应按相应规范的要求填写。</w:t>
      </w:r>
    </w:p>
    <w:p w14:paraId="4F46741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7.2.2项目监理机构应编制月完成工程量统计表，对实际完成量与计划完成量进行比较分析，发现偏差的，应提出调整建议，并应在监理月报中向建设单位报告。</w:t>
      </w:r>
    </w:p>
    <w:p w14:paraId="7F9C80F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7.2.3 项目监理机构应按下列程序进行竣工结算款审核：</w:t>
      </w:r>
    </w:p>
    <w:p w14:paraId="0440067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（1）专业监理工程师审查施工单位提交的竣工结算款支付申请，提出审查意见。</w:t>
      </w:r>
    </w:p>
    <w:p w14:paraId="60E9BF7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同时抄送施工单位，并就工程竣工结算事宜与建设单位、施工单位协商；达成一致意见的，根据建设单位审批意见向施工单位签发竣工结算款支付证书；不能达成一致意见的，应按施工合同约定处理。工程竣工结算款支付报审表及竣工结算款支付证书应按相应规范的要求填写。</w:t>
      </w:r>
    </w:p>
    <w:p w14:paraId="2BE3A9F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7.2.4项目监理单位应按《关于进一步加强政府投资项目工程变更管理的通知》规定的标准：因</w:t>
      </w:r>
      <w:r>
        <w:rPr>
          <w:rFonts w:hint="eastAsia" w:ascii="Times New Roman"/>
          <w:snapToGrid w:val="0"/>
          <w:color w:val="auto"/>
          <w:kern w:val="0"/>
          <w:highlight w:val="none"/>
          <w:lang w:val="en-US" w:eastAsia="zh-CN"/>
        </w:rPr>
        <w:t>承包人</w:t>
      </w:r>
      <w:r>
        <w:rPr>
          <w:rFonts w:hint="eastAsia" w:ascii="Times New Roman"/>
          <w:snapToGrid w:val="0"/>
          <w:color w:val="auto"/>
          <w:kern w:val="0"/>
          <w:highlight w:val="none"/>
        </w:rPr>
        <w:t>履职不到位引起的累计工程变更调整费用总额超过项目施工合同价(暂列金、预留金除外)的10%以上(含)，由项目建设单位按照合同扣减其30%的委托费用;超过项目施工合同价(暂列金、预留金除外)的20%以上(含)，全额扣减相关费用，并由相关部门在市场诚信管理、市场准入、资质管理等方面依法给予处理并进行通报。</w:t>
      </w:r>
    </w:p>
    <w:p w14:paraId="731AD45B">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7.3 工程进度控制：</w:t>
      </w:r>
    </w:p>
    <w:p w14:paraId="3E1AF6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7.3.1 项目监理机构应审查施工单位报审的施工总进度计划和阶段性施工进度计划，提出审查意见，并应由总监理工程师审核后报建设单位。</w:t>
      </w:r>
    </w:p>
    <w:p w14:paraId="2D59DBC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施工进度计划审查应包括下列基本内容：</w:t>
      </w:r>
    </w:p>
    <w:p w14:paraId="7E8FAB1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（1）施工进度计划应符合施工合同中工期的约定。</w:t>
      </w:r>
    </w:p>
    <w:p w14:paraId="00569D9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（2）施工进度计划中主要工程项目无遗漏，应满足分批投入试运、分批动用的需要，阶段性施工进度计划应满足总进度控制目标的要求。</w:t>
      </w:r>
    </w:p>
    <w:p w14:paraId="3C861E5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（3）施工顺序的安排应符合施工工艺要求。</w:t>
      </w:r>
    </w:p>
    <w:p w14:paraId="0BC42DF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（4）施工人员、工程材料、施工机械等资源供应计划应满足施工进度计划的需要。</w:t>
      </w:r>
    </w:p>
    <w:p w14:paraId="093B1C0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（5）施工进度计划应符合建设单位提供的资金、施工图纸、施工场地、物资等施工条件。</w:t>
      </w:r>
    </w:p>
    <w:p w14:paraId="0496196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施工进度计划报审表应按相应规范的要求填写。</w:t>
      </w:r>
    </w:p>
    <w:p w14:paraId="32ACB63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7.3.2项目监理机构应检查施工进度计划的实施情况，发现实际进度严重滞后于计划进度且影响合同工期时，应签发监理通知单，要求施工单位采取调整措施加快施工进度。总监理工程师应向建设单位报告工期延误风险。</w:t>
      </w:r>
    </w:p>
    <w:p w14:paraId="36DEF7B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7.3.3 项目监理机构应比较分析工程施工实际进度与计划进度，预测实际进度对工程总工期的影响，并应在监理月报中向建设单位报告工程实际进展情况。</w:t>
      </w:r>
    </w:p>
    <w:p w14:paraId="5ABDE768">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7.4 工程安全生产管理：</w:t>
      </w:r>
    </w:p>
    <w:p w14:paraId="15D9AE4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7.4.1 项目监理机构应根据法律法规、工程建设强制性标准，履行建设工程安全生产管理的监理职责，并应将安全生产管理的监理工作内容、方法和措施纳入监理规划及监理实施细则。</w:t>
      </w:r>
    </w:p>
    <w:p w14:paraId="643B3E7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7.4.2 项目监理机构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14:paraId="49A0F99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7.4.3 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p w14:paraId="7F5790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专项施工方案审查应包括下列基本内容：</w:t>
      </w:r>
    </w:p>
    <w:p w14:paraId="489ED48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202BF9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（2）安全技术措施应符合工程建设强制性标准。</w:t>
      </w:r>
    </w:p>
    <w:p w14:paraId="15D6135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专项施工方案报审表应按相应规范的要求填写。</w:t>
      </w:r>
    </w:p>
    <w:p w14:paraId="02665E5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7.4.4项目监理机构应巡视检查危险性较大的分部分项工程专项施工方案实施情况。发现未按专项施工方案实施时，应签发监理通知单，要求施工单位按专项施工方案实施。</w:t>
      </w:r>
    </w:p>
    <w:p w14:paraId="149AB1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7.4.5 项目监理机构在实施监理过程中，发现工程存在安全事故隐患时，应签发监理通知单，要求施工单位整改；情况严重时，应签发工程暂停令，并应及时报告建设单位。施工单位拒不整改或不停止施工时，项目监理机构应及时向有关主管部门报送监理报告。</w:t>
      </w:r>
    </w:p>
    <w:p w14:paraId="3CBF63E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ascii="Times New Roman"/>
          <w:snapToGrid w:val="0"/>
          <w:color w:val="auto"/>
          <w:kern w:val="0"/>
          <w:highlight w:val="none"/>
        </w:rPr>
        <w:t>监理报告应按相应规范的要求填写。</w:t>
      </w:r>
    </w:p>
    <w:p w14:paraId="06BFFCA1">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D4094DE">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016FEEB7">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70262FEF">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DB14F96">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3AE2E313">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786DB6C7">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7590FF88">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058DE22D">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2868DD67">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2608F9EE">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1148CF41">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E82C505">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bookmarkEnd w:id="181"/>
    <w:p w14:paraId="00DFB3FB">
      <w:pPr>
        <w:pStyle w:val="3"/>
        <w:tabs>
          <w:tab w:val="left" w:pos="885"/>
        </w:tabs>
        <w:wordWrap w:val="0"/>
        <w:autoSpaceDE/>
        <w:autoSpaceDN/>
        <w:snapToGrid w:val="0"/>
        <w:spacing w:line="440" w:lineRule="exact"/>
        <w:ind w:left="885" w:hanging="885"/>
        <w:jc w:val="center"/>
        <w:rPr>
          <w:rFonts w:ascii="Times New Roman"/>
          <w:b/>
          <w:snapToGrid w:val="0"/>
          <w:color w:val="auto"/>
          <w:sz w:val="32"/>
          <w:szCs w:val="22"/>
          <w:highlight w:val="none"/>
        </w:rPr>
      </w:pPr>
      <w:bookmarkStart w:id="243" w:name="_Toc12650"/>
      <w:bookmarkStart w:id="244" w:name="_Toc21170"/>
      <w:bookmarkStart w:id="245" w:name="_Toc21669"/>
      <w:bookmarkStart w:id="246" w:name="_Hlt69698796"/>
      <w:r>
        <w:rPr>
          <w:rFonts w:hint="eastAsia" w:ascii="Times New Roman"/>
          <w:b/>
          <w:snapToGrid w:val="0"/>
          <w:color w:val="auto"/>
          <w:sz w:val="32"/>
          <w:szCs w:val="22"/>
          <w:highlight w:val="none"/>
        </w:rPr>
        <w:t>第四章</w:t>
      </w:r>
      <w:bookmarkStart w:id="247" w:name="_Hlt87793853"/>
      <w:bookmarkEnd w:id="247"/>
      <w:r>
        <w:rPr>
          <w:rFonts w:hint="eastAsia" w:ascii="Times New Roman"/>
          <w:b/>
          <w:snapToGrid w:val="0"/>
          <w:color w:val="auto"/>
          <w:sz w:val="32"/>
          <w:szCs w:val="22"/>
          <w:highlight w:val="none"/>
        </w:rPr>
        <w:t xml:space="preserve"> 技术要求</w:t>
      </w:r>
      <w:bookmarkEnd w:id="243"/>
      <w:bookmarkEnd w:id="244"/>
      <w:bookmarkEnd w:id="245"/>
    </w:p>
    <w:bookmarkEnd w:id="246"/>
    <w:p w14:paraId="69F644B1">
      <w:pPr>
        <w:wordWrap w:val="0"/>
        <w:adjustRightInd w:val="0"/>
        <w:snapToGrid w:val="0"/>
        <w:spacing w:line="440" w:lineRule="exact"/>
        <w:rPr>
          <w:rFonts w:hint="eastAsia" w:hAnsi="宋体" w:cs="宋体"/>
          <w:bCs/>
          <w:snapToGrid w:val="0"/>
          <w:color w:val="auto"/>
          <w:kern w:val="0"/>
          <w:highlight w:val="none"/>
        </w:rPr>
      </w:pPr>
      <w:bookmarkStart w:id="248" w:name="_Hlt68774758"/>
      <w:bookmarkEnd w:id="248"/>
      <w:bookmarkStart w:id="249" w:name="_Hlt87793346"/>
      <w:bookmarkEnd w:id="249"/>
      <w:bookmarkStart w:id="250" w:name="_Hlt66104926"/>
      <w:bookmarkEnd w:id="250"/>
      <w:bookmarkStart w:id="251" w:name="_Hlt69358207"/>
      <w:bookmarkEnd w:id="251"/>
      <w:bookmarkStart w:id="252" w:name="_Hlt69116854"/>
      <w:bookmarkEnd w:id="252"/>
      <w:bookmarkStart w:id="253" w:name="_Hlt75685840"/>
      <w:bookmarkEnd w:id="253"/>
      <w:bookmarkStart w:id="254" w:name="_Hlt69265216"/>
      <w:bookmarkEnd w:id="254"/>
      <w:bookmarkStart w:id="255" w:name="_Hlt80411122"/>
      <w:bookmarkEnd w:id="255"/>
      <w:bookmarkStart w:id="256" w:name="_Hlt69359335"/>
      <w:bookmarkEnd w:id="256"/>
      <w:bookmarkStart w:id="257" w:name="_Hlt87793370"/>
      <w:bookmarkEnd w:id="257"/>
      <w:bookmarkStart w:id="258" w:name="_Hlt69357851"/>
      <w:bookmarkEnd w:id="258"/>
      <w:bookmarkStart w:id="259" w:name="_Toc7515"/>
      <w:bookmarkStart w:id="260" w:name="_Toc2392"/>
    </w:p>
    <w:bookmarkEnd w:id="259"/>
    <w:bookmarkEnd w:id="260"/>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261" w:name="_Hlt66848640"/>
      <w:bookmarkEnd w:id="261"/>
      <w:bookmarkStart w:id="262" w:name="_Hlt69338190"/>
      <w:bookmarkEnd w:id="262"/>
      <w:bookmarkStart w:id="263" w:name="_Hlt69635247"/>
      <w:bookmarkEnd w:id="263"/>
      <w:bookmarkStart w:id="264" w:name="_Hlt69358336"/>
      <w:bookmarkEnd w:id="264"/>
      <w:bookmarkStart w:id="265" w:name="_Hlt69116863"/>
      <w:bookmarkEnd w:id="265"/>
      <w:bookmarkStart w:id="266" w:name="_Hlt69265207"/>
      <w:bookmarkEnd w:id="266"/>
      <w:bookmarkStart w:id="267" w:name="_Toc22126"/>
      <w:bookmarkStart w:id="268" w:name="_Toc29899"/>
      <w:bookmarkStart w:id="269" w:name="_Toc29213"/>
      <w:bookmarkStart w:id="270" w:name="_Toc25992"/>
      <w:bookmarkStart w:id="271" w:name="_Toc16011"/>
      <w:bookmarkStart w:id="272" w:name="_Hlt69698785"/>
      <w:r>
        <w:rPr>
          <w:rFonts w:hint="eastAsia" w:ascii="宋体" w:hAnsi="宋体" w:eastAsia="宋体" w:cs="宋体"/>
          <w:b/>
          <w:snapToGrid w:val="0"/>
          <w:color w:val="auto"/>
          <w:kern w:val="0"/>
          <w:highlight w:val="none"/>
        </w:rPr>
        <w:t>1．房屋建筑工程建设项目</w:t>
      </w:r>
      <w:bookmarkEnd w:id="267"/>
      <w:bookmarkEnd w:id="268"/>
      <w:bookmarkEnd w:id="269"/>
      <w:bookmarkEnd w:id="270"/>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bookmarkStart w:id="273" w:name="_Hlt69358458"/>
      <w:bookmarkEnd w:id="273"/>
      <w:bookmarkStart w:id="274" w:name="_Hlt69359243"/>
      <w:bookmarkEnd w:id="274"/>
      <w:bookmarkStart w:id="275" w:name="_Hlt69359086"/>
      <w:bookmarkEnd w:id="275"/>
      <w:bookmarkStart w:id="276" w:name="_Hlt78709799"/>
      <w:bookmarkEnd w:id="276"/>
      <w:bookmarkStart w:id="277" w:name="_Hlt69359245"/>
      <w:bookmarkEnd w:id="277"/>
      <w:bookmarkStart w:id="278" w:name="_Hlt69116858"/>
      <w:bookmarkEnd w:id="278"/>
      <w:bookmarkStart w:id="279" w:name="_Hlt69635252"/>
      <w:bookmarkEnd w:id="279"/>
      <w:r>
        <w:rPr>
          <w:rFonts w:hint="eastAsia" w:ascii="宋体" w:hAnsi="宋体" w:eastAsia="宋体" w:cs="宋体"/>
          <w:b w:val="0"/>
          <w:bCs/>
          <w:caps w:val="0"/>
          <w:smallCaps w:val="0"/>
          <w:snapToGrid w:val="0"/>
          <w:color w:val="auto"/>
          <w:spacing w:val="0"/>
          <w:kern w:val="0"/>
          <w:highlight w:val="none"/>
          <w:lang w:eastAsia="zh-CN"/>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bookmarkStart w:id="280" w:name="_Hlt78795211"/>
      <w:bookmarkEnd w:id="280"/>
      <w:r>
        <w:rPr>
          <w:rFonts w:hint="eastAsia" w:ascii="宋体" w:hAnsi="宋体" w:eastAsia="宋体" w:cs="宋体"/>
          <w:b w:val="0"/>
          <w:bCs/>
          <w:caps w:val="0"/>
          <w:smallCaps w:val="0"/>
          <w:snapToGrid w:val="0"/>
          <w:color w:val="auto"/>
          <w:spacing w:val="0"/>
          <w:kern w:val="0"/>
          <w:highlight w:val="none"/>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14</w:t>
      </w:r>
      <w:r>
        <w:rPr>
          <w:rFonts w:hint="eastAsia" w:ascii="宋体" w:hAnsi="宋体" w:eastAsia="宋体" w:cs="宋体"/>
          <w:b w:val="0"/>
          <w:bCs/>
          <w:caps w:val="0"/>
          <w:smallCaps w:val="0"/>
          <w:snapToGrid w:val="0"/>
          <w:color w:val="auto"/>
          <w:spacing w:val="0"/>
          <w:kern w:val="0"/>
          <w:highlight w:val="none"/>
          <w:lang w:eastAsia="zh-CN"/>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15</w:t>
      </w:r>
      <w:r>
        <w:rPr>
          <w:rFonts w:hint="eastAsia" w:ascii="宋体" w:hAnsi="宋体" w:eastAsia="宋体" w:cs="宋体"/>
          <w:b w:val="0"/>
          <w:bCs/>
          <w:caps w:val="0"/>
          <w:smallCaps w:val="0"/>
          <w:snapToGrid w:val="0"/>
          <w:color w:val="auto"/>
          <w:spacing w:val="0"/>
          <w:kern w:val="0"/>
          <w:highlight w:val="none"/>
          <w:lang w:eastAsia="zh-CN"/>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（16）《广东省建筑节能与绿色建筑工程施工质量验收规范》</w:t>
      </w:r>
    </w:p>
    <w:p w14:paraId="45654C5C">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Cs/>
          <w:snapToGrid w:val="0"/>
          <w:color w:val="auto"/>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其他现行国家</w:t>
      </w:r>
      <w:r>
        <w:rPr>
          <w:rFonts w:hint="eastAsia" w:ascii="宋体" w:hAnsi="宋体" w:eastAsia="宋体" w:cs="宋体"/>
          <w:b w:val="0"/>
          <w:bCs/>
          <w:caps w:val="0"/>
          <w:smallCaps w:val="0"/>
          <w:snapToGrid w:val="0"/>
          <w:color w:val="auto"/>
          <w:spacing w:val="0"/>
          <w:kern w:val="0"/>
          <w:highlight w:val="none"/>
          <w:lang w:eastAsia="zh-CN"/>
        </w:rPr>
        <w:t>、广东省关于房建工程的</w:t>
      </w:r>
      <w:r>
        <w:rPr>
          <w:rFonts w:hint="eastAsia" w:ascii="宋体" w:hAnsi="宋体" w:eastAsia="宋体" w:cs="宋体"/>
          <w:b w:val="0"/>
          <w:bCs/>
          <w:caps w:val="0"/>
          <w:smallCaps w:val="0"/>
          <w:snapToGrid w:val="0"/>
          <w:color w:val="auto"/>
          <w:spacing w:val="0"/>
          <w:kern w:val="0"/>
          <w:highlight w:val="none"/>
        </w:rPr>
        <w:t>施工</w:t>
      </w:r>
      <w:r>
        <w:rPr>
          <w:rFonts w:hint="eastAsia" w:ascii="宋体" w:hAnsi="宋体" w:eastAsia="宋体" w:cs="宋体"/>
          <w:b w:val="0"/>
          <w:bCs/>
          <w:caps w:val="0"/>
          <w:smallCaps w:val="0"/>
          <w:snapToGrid w:val="0"/>
          <w:color w:val="auto"/>
          <w:spacing w:val="0"/>
          <w:kern w:val="0"/>
          <w:highlight w:val="none"/>
          <w:lang w:eastAsia="zh-CN"/>
        </w:rPr>
        <w:t>及验收</w:t>
      </w:r>
      <w:r>
        <w:rPr>
          <w:rFonts w:hint="eastAsia" w:ascii="宋体" w:hAnsi="宋体" w:eastAsia="宋体" w:cs="宋体"/>
          <w:b w:val="0"/>
          <w:bCs/>
          <w:caps w:val="0"/>
          <w:smallCaps w:val="0"/>
          <w:snapToGrid w:val="0"/>
          <w:color w:val="auto"/>
          <w:spacing w:val="0"/>
          <w:kern w:val="0"/>
          <w:highlight w:val="none"/>
        </w:rPr>
        <w:t>规范</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w:t>
      </w:r>
      <w:r>
        <w:rPr>
          <w:rFonts w:hint="eastAsia" w:ascii="宋体" w:hAnsi="宋体" w:eastAsia="宋体" w:cs="宋体"/>
          <w:b w:val="0"/>
          <w:bCs/>
          <w:caps w:val="0"/>
          <w:smallCaps w:val="0"/>
          <w:snapToGrid w:val="0"/>
          <w:color w:val="auto"/>
          <w:spacing w:val="0"/>
          <w:kern w:val="0"/>
          <w:highlight w:val="none"/>
        </w:rPr>
        <w:t>标准。</w:t>
      </w: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auto"/>
          <w:kern w:val="0"/>
          <w:highlight w:val="none"/>
        </w:rPr>
      </w:pPr>
      <w:bookmarkStart w:id="281" w:name="_Toc16196"/>
      <w:bookmarkStart w:id="282" w:name="_Toc3631"/>
      <w:bookmarkStart w:id="283" w:name="_Toc2706"/>
      <w:bookmarkStart w:id="284" w:name="_Toc23789"/>
      <w:r>
        <w:rPr>
          <w:rFonts w:hint="eastAsia" w:ascii="宋体" w:hAnsi="宋体" w:eastAsia="宋体" w:cs="宋体"/>
          <w:b/>
          <w:snapToGrid w:val="0"/>
          <w:color w:val="auto"/>
          <w:kern w:val="0"/>
          <w:highlight w:val="none"/>
        </w:rPr>
        <w:t>2．市政基础设施工程建设项目</w:t>
      </w:r>
      <w:bookmarkEnd w:id="281"/>
      <w:bookmarkEnd w:id="282"/>
      <w:bookmarkEnd w:id="283"/>
      <w:bookmarkEnd w:id="284"/>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auto"/>
          <w:kern w:val="0"/>
          <w:szCs w:val="28"/>
          <w:highlight w:val="none"/>
        </w:rPr>
      </w:pPr>
      <w:r>
        <w:rPr>
          <w:rFonts w:hint="eastAsia" w:ascii="宋体" w:hAnsi="宋体" w:eastAsia="宋体" w:cs="宋体"/>
          <w:b w:val="0"/>
          <w:bCs/>
          <w:snapToGrid w:val="0"/>
          <w:color w:val="auto"/>
          <w:kern w:val="0"/>
          <w:highlight w:val="none"/>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lang w:val="en-US" w:eastAsia="zh-CN"/>
        </w:rPr>
        <w:t>1</w:t>
      </w: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rPr>
        <w:t>《公路路基施工技术规范》</w:t>
      </w:r>
      <w:r>
        <w:rPr>
          <w:rFonts w:hint="eastAsia" w:ascii="宋体" w:hAnsi="宋体" w:eastAsia="宋体" w:cs="宋体"/>
          <w:b w:val="0"/>
          <w:bCs/>
          <w:caps w:val="0"/>
          <w:smallCaps w:val="0"/>
          <w:snapToGrid w:val="0"/>
          <w:color w:val="auto"/>
          <w:spacing w:val="0"/>
          <w:kern w:val="0"/>
          <w:highlight w:val="none"/>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《广东省</w:t>
      </w:r>
      <w:r>
        <w:rPr>
          <w:rFonts w:hint="eastAsia" w:ascii="宋体" w:hAnsi="宋体" w:eastAsia="宋体" w:cs="宋体"/>
          <w:b w:val="0"/>
          <w:bCs/>
          <w:caps w:val="0"/>
          <w:smallCaps w:val="0"/>
          <w:snapToGrid w:val="0"/>
          <w:color w:val="auto"/>
          <w:spacing w:val="0"/>
          <w:kern w:val="0"/>
          <w:highlight w:val="none"/>
          <w:lang w:eastAsia="zh-CN"/>
        </w:rPr>
        <w:t>市政</w:t>
      </w:r>
      <w:r>
        <w:rPr>
          <w:rFonts w:hint="eastAsia" w:ascii="宋体" w:hAnsi="宋体" w:eastAsia="宋体" w:cs="宋体"/>
          <w:b w:val="0"/>
          <w:bCs/>
          <w:caps w:val="0"/>
          <w:smallCaps w:val="0"/>
          <w:snapToGrid w:val="0"/>
          <w:color w:val="auto"/>
          <w:spacing w:val="0"/>
          <w:kern w:val="0"/>
          <w:highlight w:val="none"/>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85" w:name="_Toc8840"/>
      <w:bookmarkStart w:id="286" w:name="_Toc20464"/>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i w:val="0"/>
          <w:iCs w:val="0"/>
          <w:color w:val="auto"/>
          <w:kern w:val="0"/>
          <w:szCs w:val="21"/>
          <w:highlight w:val="none"/>
        </w:rPr>
        <w:t>《城市道路照明设计标准》（CJJ45-2015）；</w:t>
      </w:r>
      <w:bookmarkEnd w:id="285"/>
      <w:bookmarkEnd w:id="286"/>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szCs w:val="21"/>
          <w:highlight w:val="none"/>
        </w:rPr>
      </w:pPr>
      <w:bookmarkStart w:id="287" w:name="_Toc8828"/>
      <w:bookmarkStart w:id="288" w:name="_Toc12769"/>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12</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《低压配电设计规范》（GB50054-2011）；</w:t>
      </w:r>
      <w:bookmarkEnd w:id="287"/>
      <w:bookmarkEnd w:id="288"/>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89" w:name="_Toc17054"/>
      <w:bookmarkStart w:id="290" w:name="_Toc5338"/>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13</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《城市道路照明工程施工及验收规程》（CJJ89-2012）；</w:t>
      </w:r>
      <w:bookmarkEnd w:id="289"/>
      <w:bookmarkEnd w:id="290"/>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lang w:val="en-US" w:eastAsia="zh-CN"/>
        </w:rPr>
      </w:pPr>
      <w:bookmarkStart w:id="291" w:name="_Toc17302"/>
      <w:bookmarkStart w:id="292" w:name="_Toc15704"/>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14</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LED道路照明工程技术规范</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DB44/T 1898-2016</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bookmarkEnd w:id="291"/>
      <w:bookmarkEnd w:id="292"/>
    </w:p>
    <w:p w14:paraId="0F08A875">
      <w:pPr>
        <w:pStyle w:val="153"/>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15</w:t>
      </w:r>
      <w:r>
        <w:rPr>
          <w:rFonts w:hint="eastAsia" w:ascii="宋体" w:hAnsi="宋体" w:eastAsia="宋体" w:cs="宋体"/>
          <w:b w:val="0"/>
          <w:bCs/>
          <w:i w:val="0"/>
          <w:iCs w:val="0"/>
          <w:color w:val="auto"/>
          <w:kern w:val="0"/>
          <w:szCs w:val="21"/>
          <w:highlight w:val="none"/>
          <w:lang w:eastAsia="zh-CN"/>
        </w:rPr>
        <w:t>）《灯具第</w:t>
      </w:r>
      <w:r>
        <w:rPr>
          <w:rFonts w:hint="eastAsia" w:ascii="宋体" w:hAnsi="宋体" w:eastAsia="宋体" w:cs="宋体"/>
          <w:b w:val="0"/>
          <w:bCs/>
          <w:i w:val="0"/>
          <w:iCs w:val="0"/>
          <w:color w:val="auto"/>
          <w:kern w:val="0"/>
          <w:szCs w:val="21"/>
          <w:highlight w:val="none"/>
          <w:lang w:val="en-US" w:eastAsia="zh-CN"/>
        </w:rPr>
        <w:t>1部分：一般要求与试验</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GB7000.1-2015</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16</w:t>
      </w:r>
      <w:r>
        <w:rPr>
          <w:rFonts w:hint="eastAsia" w:ascii="宋体" w:hAnsi="宋体" w:eastAsia="宋体" w:cs="宋体"/>
          <w:b w:val="0"/>
          <w:bCs/>
          <w:i w:val="0"/>
          <w:iCs w:val="0"/>
          <w:color w:val="auto"/>
          <w:kern w:val="0"/>
          <w:szCs w:val="21"/>
          <w:highlight w:val="none"/>
          <w:lang w:eastAsia="zh-CN"/>
        </w:rPr>
        <w:t>）《电缆工程电缆设计标准》（</w:t>
      </w:r>
      <w:r>
        <w:rPr>
          <w:rFonts w:hint="eastAsia" w:ascii="宋体" w:hAnsi="宋体" w:eastAsia="宋体" w:cs="宋体"/>
          <w:b w:val="0"/>
          <w:bCs/>
          <w:i w:val="0"/>
          <w:iCs w:val="0"/>
          <w:color w:val="auto"/>
          <w:kern w:val="0"/>
          <w:szCs w:val="21"/>
          <w:highlight w:val="none"/>
          <w:lang w:val="en-US" w:eastAsia="zh-CN"/>
        </w:rPr>
        <w:t>GB50217-2018</w:t>
      </w:r>
      <w:r>
        <w:rPr>
          <w:rFonts w:hint="eastAsia" w:ascii="宋体" w:hAnsi="宋体" w:eastAsia="宋体" w:cs="宋体"/>
          <w:b w:val="0"/>
          <w:bCs/>
          <w:i w:val="0"/>
          <w:iCs w:val="0"/>
          <w:color w:val="auto"/>
          <w:kern w:val="0"/>
          <w:szCs w:val="21"/>
          <w:highlight w:val="none"/>
          <w:lang w:eastAsia="zh-CN"/>
        </w:rPr>
        <w:t>）；</w:t>
      </w:r>
    </w:p>
    <w:p w14:paraId="2BD737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snapToGrid w:val="0"/>
          <w:color w:val="auto"/>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）其他现行国家、广东省关于市政工程的技术及验收规范、</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规程、标准。</w:t>
      </w: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293" w:name="_Toc5246"/>
      <w:bookmarkStart w:id="294" w:name="_Toc20571"/>
      <w:r>
        <w:rPr>
          <w:rFonts w:hint="eastAsia" w:ascii="宋体" w:hAnsi="宋体" w:eastAsia="宋体" w:cs="宋体"/>
          <w:b/>
          <w:snapToGrid w:val="0"/>
          <w:color w:val="auto"/>
          <w:kern w:val="0"/>
          <w:highlight w:val="none"/>
        </w:rPr>
        <w:t>3．备查要求</w:t>
      </w:r>
      <w:bookmarkEnd w:id="293"/>
      <w:bookmarkEnd w:id="294"/>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auto"/>
          <w:kern w:val="0"/>
          <w:highlight w:val="none"/>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auto"/>
          <w:kern w:val="0"/>
          <w:highlight w:val="none"/>
        </w:rPr>
        <w:t>监理人必须在施工现场准备至少一套上述规范，委托人可随时检</w:t>
      </w:r>
      <w:r>
        <w:rPr>
          <w:rFonts w:hint="eastAsia" w:ascii="宋体" w:hAnsi="宋体" w:eastAsia="宋体" w:cs="宋体"/>
          <w:bCs/>
          <w:snapToGrid w:val="0"/>
          <w:color w:val="auto"/>
          <w:kern w:val="0"/>
          <w:highlight w:val="none"/>
        </w:rPr>
        <w:t>查监理人的上述规范，并监督监理人按规范要求执行。</w:t>
      </w:r>
      <w:bookmarkStart w:id="295" w:name="_Hlt69670335"/>
      <w:bookmarkEnd w:id="295"/>
    </w:p>
    <w:p w14:paraId="2C01AB53">
      <w:pPr>
        <w:pStyle w:val="3"/>
        <w:wordWrap w:val="0"/>
        <w:autoSpaceDE/>
        <w:autoSpaceDN/>
        <w:snapToGrid w:val="0"/>
        <w:spacing w:line="440" w:lineRule="exact"/>
        <w:jc w:val="center"/>
        <w:rPr>
          <w:rFonts w:ascii="Times New Roman"/>
          <w:b/>
          <w:snapToGrid w:val="0"/>
          <w:color w:val="auto"/>
          <w:sz w:val="32"/>
          <w:szCs w:val="22"/>
          <w:highlight w:val="none"/>
        </w:rPr>
      </w:pPr>
      <w:bookmarkStart w:id="296" w:name="_Toc23308"/>
      <w:r>
        <w:rPr>
          <w:rFonts w:hint="eastAsia" w:ascii="Times New Roman"/>
          <w:b/>
          <w:snapToGrid w:val="0"/>
          <w:color w:val="auto"/>
          <w:sz w:val="32"/>
          <w:szCs w:val="22"/>
          <w:highlight w:val="none"/>
        </w:rPr>
        <w:t xml:space="preserve">第五章 </w:t>
      </w:r>
      <w:bookmarkStart w:id="297" w:name="_Hlt75747044"/>
      <w:bookmarkEnd w:id="297"/>
      <w:r>
        <w:rPr>
          <w:rFonts w:hint="eastAsia" w:ascii="Times New Roman"/>
          <w:b/>
          <w:snapToGrid w:val="0"/>
          <w:color w:val="auto"/>
          <w:sz w:val="32"/>
          <w:szCs w:val="22"/>
          <w:highlight w:val="none"/>
        </w:rPr>
        <w:t>投标文件格式</w:t>
      </w:r>
      <w:bookmarkEnd w:id="271"/>
      <w:bookmarkEnd w:id="296"/>
    </w:p>
    <w:bookmarkEnd w:id="272"/>
    <w:p w14:paraId="7A6D8682">
      <w:pPr>
        <w:pStyle w:val="71"/>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auto"/>
          <w:highlight w:val="none"/>
        </w:rPr>
      </w:pPr>
      <w:bookmarkStart w:id="298" w:name="_附件一：投标函"/>
      <w:bookmarkEnd w:id="298"/>
      <w:bookmarkStart w:id="299" w:name="_附件四：工期承诺书"/>
      <w:bookmarkEnd w:id="299"/>
      <w:bookmarkStart w:id="300" w:name="_附件五：综合评审合理低价法"/>
      <w:bookmarkEnd w:id="300"/>
      <w:bookmarkStart w:id="301" w:name="_附件二：近三年度主要施工项目（竣工及在建）一览表"/>
      <w:bookmarkEnd w:id="301"/>
      <w:bookmarkStart w:id="302" w:name="_附件二：工期承诺书"/>
      <w:bookmarkEnd w:id="302"/>
      <w:bookmarkStart w:id="303" w:name="_附件一：对招标文件条款自愿接受承诺书"/>
      <w:bookmarkEnd w:id="303"/>
      <w:bookmarkStart w:id="304" w:name="_Hlt66847557"/>
      <w:bookmarkStart w:id="305" w:name="_Toc200338097"/>
      <w:bookmarkStart w:id="306" w:name="_Toc66849200"/>
      <w:bookmarkStart w:id="307" w:name="_Toc137621693"/>
    </w:p>
    <w:p w14:paraId="605BD047">
      <w:pPr>
        <w:pStyle w:val="71"/>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auto"/>
          <w:highlight w:val="none"/>
        </w:rPr>
      </w:pPr>
      <w:bookmarkStart w:id="308" w:name="_Toc63"/>
      <w:bookmarkStart w:id="309" w:name="_Toc3155"/>
      <w:r>
        <w:rPr>
          <w:rFonts w:hint="eastAsia" w:ascii="Times New Roman"/>
          <w:b/>
          <w:snapToGrid w:val="0"/>
          <w:color w:val="auto"/>
          <w:highlight w:val="none"/>
        </w:rPr>
        <w:t>格式一 封面</w:t>
      </w:r>
      <w:bookmarkEnd w:id="308"/>
      <w:bookmarkEnd w:id="309"/>
    </w:p>
    <w:p w14:paraId="5DF40F53">
      <w:pPr>
        <w:pStyle w:val="72"/>
        <w:widowControl w:val="0"/>
        <w:wordWrap w:val="0"/>
        <w:adjustRightInd w:val="0"/>
        <w:snapToGrid w:val="0"/>
        <w:spacing w:line="240" w:lineRule="auto"/>
        <w:rPr>
          <w:rFonts w:ascii="Times New Roman"/>
          <w:b/>
          <w:snapToGrid w:val="0"/>
          <w:color w:val="auto"/>
          <w:sz w:val="24"/>
          <w:highlight w:val="none"/>
        </w:rPr>
      </w:pPr>
    </w:p>
    <w:p w14:paraId="6FBB4A80">
      <w:pPr>
        <w:pStyle w:val="72"/>
        <w:widowControl w:val="0"/>
        <w:wordWrap w:val="0"/>
        <w:adjustRightInd w:val="0"/>
        <w:snapToGrid w:val="0"/>
        <w:spacing w:line="240" w:lineRule="auto"/>
        <w:jc w:val="right"/>
        <w:rPr>
          <w:rFonts w:ascii="Times New Roman"/>
          <w:b/>
          <w:snapToGrid w:val="0"/>
          <w:color w:val="auto"/>
          <w:sz w:val="24"/>
          <w:highlight w:val="none"/>
        </w:rPr>
      </w:pPr>
    </w:p>
    <w:p w14:paraId="59746A92">
      <w:pPr>
        <w:pStyle w:val="72"/>
        <w:widowControl w:val="0"/>
        <w:wordWrap w:val="0"/>
        <w:adjustRightInd w:val="0"/>
        <w:snapToGrid w:val="0"/>
        <w:spacing w:line="240" w:lineRule="auto"/>
        <w:rPr>
          <w:rFonts w:ascii="Times New Roman"/>
          <w:b/>
          <w:snapToGrid w:val="0"/>
          <w:color w:val="auto"/>
          <w:sz w:val="24"/>
          <w:highlight w:val="none"/>
        </w:rPr>
      </w:pPr>
    </w:p>
    <w:p w14:paraId="0294BCEE">
      <w:pPr>
        <w:pStyle w:val="72"/>
        <w:widowControl w:val="0"/>
        <w:wordWrap w:val="0"/>
        <w:adjustRightInd w:val="0"/>
        <w:snapToGrid w:val="0"/>
        <w:spacing w:line="240" w:lineRule="auto"/>
        <w:rPr>
          <w:rFonts w:ascii="Times New Roman"/>
          <w:b/>
          <w:snapToGrid w:val="0"/>
          <w:color w:val="auto"/>
          <w:sz w:val="24"/>
          <w:highlight w:val="none"/>
        </w:rPr>
      </w:pPr>
    </w:p>
    <w:p w14:paraId="7513099E">
      <w:pPr>
        <w:pStyle w:val="72"/>
        <w:widowControl w:val="0"/>
        <w:wordWrap w:val="0"/>
        <w:adjustRightInd w:val="0"/>
        <w:snapToGrid w:val="0"/>
        <w:spacing w:line="240" w:lineRule="auto"/>
        <w:rPr>
          <w:rFonts w:ascii="Times New Roman"/>
          <w:b/>
          <w:snapToGrid w:val="0"/>
          <w:color w:val="auto"/>
          <w:sz w:val="24"/>
          <w:highlight w:val="none"/>
        </w:rPr>
      </w:pPr>
    </w:p>
    <w:p w14:paraId="4875FFE9">
      <w:pPr>
        <w:pStyle w:val="72"/>
        <w:widowControl w:val="0"/>
        <w:wordWrap w:val="0"/>
        <w:adjustRightInd w:val="0"/>
        <w:snapToGrid w:val="0"/>
        <w:spacing w:line="240" w:lineRule="auto"/>
        <w:rPr>
          <w:rFonts w:ascii="Times New Roman"/>
          <w:b/>
          <w:snapToGrid w:val="0"/>
          <w:color w:val="auto"/>
          <w:sz w:val="24"/>
          <w:highlight w:val="none"/>
        </w:rPr>
      </w:pPr>
    </w:p>
    <w:p w14:paraId="2D9D39D4">
      <w:pPr>
        <w:pStyle w:val="72"/>
        <w:widowControl w:val="0"/>
        <w:wordWrap w:val="0"/>
        <w:adjustRightInd w:val="0"/>
        <w:snapToGrid w:val="0"/>
        <w:spacing w:line="240" w:lineRule="auto"/>
        <w:rPr>
          <w:rFonts w:ascii="Times New Roman"/>
          <w:b/>
          <w:snapToGrid w:val="0"/>
          <w:color w:val="auto"/>
          <w:sz w:val="24"/>
          <w:highlight w:val="none"/>
        </w:rPr>
      </w:pPr>
    </w:p>
    <w:p w14:paraId="5F4307BB">
      <w:pPr>
        <w:pStyle w:val="72"/>
        <w:widowControl w:val="0"/>
        <w:wordWrap w:val="0"/>
        <w:adjustRightInd w:val="0"/>
        <w:snapToGrid w:val="0"/>
        <w:spacing w:line="240" w:lineRule="auto"/>
        <w:rPr>
          <w:rFonts w:ascii="Times New Roman"/>
          <w:b/>
          <w:snapToGrid w:val="0"/>
          <w:color w:val="auto"/>
          <w:sz w:val="24"/>
          <w:highlight w:val="none"/>
        </w:rPr>
      </w:pPr>
    </w:p>
    <w:p w14:paraId="0005A7BA">
      <w:pPr>
        <w:pStyle w:val="72"/>
        <w:widowControl w:val="0"/>
        <w:wordWrap w:val="0"/>
        <w:adjustRightInd w:val="0"/>
        <w:snapToGrid w:val="0"/>
        <w:spacing w:line="240" w:lineRule="auto"/>
        <w:rPr>
          <w:rFonts w:ascii="Times New Roman"/>
          <w:b/>
          <w:snapToGrid w:val="0"/>
          <w:color w:val="auto"/>
          <w:sz w:val="24"/>
          <w:highlight w:val="none"/>
        </w:rPr>
      </w:pPr>
    </w:p>
    <w:p w14:paraId="38D03B0C">
      <w:pPr>
        <w:pStyle w:val="72"/>
        <w:widowControl w:val="0"/>
        <w:wordWrap w:val="0"/>
        <w:adjustRightInd w:val="0"/>
        <w:snapToGrid w:val="0"/>
        <w:spacing w:line="240" w:lineRule="auto"/>
        <w:rPr>
          <w:rFonts w:ascii="Times New Roman"/>
          <w:b/>
          <w:snapToGrid w:val="0"/>
          <w:color w:val="auto"/>
          <w:sz w:val="24"/>
          <w:highlight w:val="none"/>
        </w:rPr>
      </w:pPr>
    </w:p>
    <w:p w14:paraId="01F56212">
      <w:pPr>
        <w:pStyle w:val="72"/>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Cs/>
          <w:snapToGrid w:val="0"/>
          <w:color w:val="auto"/>
          <w:sz w:val="48"/>
          <w:szCs w:val="48"/>
          <w:highlight w:val="none"/>
          <w:u w:val="single"/>
        </w:rPr>
        <w:t xml:space="preserve">             </w:t>
      </w:r>
      <w:r>
        <w:rPr>
          <w:rFonts w:hint="eastAsia" w:ascii="Times New Roman"/>
          <w:b/>
          <w:snapToGrid w:val="0"/>
          <w:color w:val="auto"/>
          <w:sz w:val="48"/>
          <w:szCs w:val="48"/>
          <w:highlight w:val="none"/>
        </w:rPr>
        <w:t>（项目名称）招标</w:t>
      </w:r>
    </w:p>
    <w:p w14:paraId="3BD1E3C7">
      <w:pPr>
        <w:pStyle w:val="72"/>
        <w:widowControl w:val="0"/>
        <w:wordWrap w:val="0"/>
        <w:adjustRightInd w:val="0"/>
        <w:snapToGrid w:val="0"/>
        <w:spacing w:line="240" w:lineRule="auto"/>
        <w:ind w:firstLine="0"/>
        <w:jc w:val="center"/>
        <w:rPr>
          <w:rFonts w:ascii="Times New Roman"/>
          <w:b/>
          <w:snapToGrid w:val="0"/>
          <w:color w:val="auto"/>
          <w:sz w:val="32"/>
          <w:highlight w:val="none"/>
        </w:rPr>
      </w:pPr>
    </w:p>
    <w:p w14:paraId="3D2A6112">
      <w:pPr>
        <w:pStyle w:val="72"/>
        <w:widowControl w:val="0"/>
        <w:wordWrap w:val="0"/>
        <w:adjustRightInd w:val="0"/>
        <w:snapToGrid w:val="0"/>
        <w:spacing w:line="240" w:lineRule="auto"/>
        <w:ind w:firstLine="0"/>
        <w:jc w:val="center"/>
        <w:rPr>
          <w:rFonts w:ascii="Times New Roman"/>
          <w:b/>
          <w:snapToGrid w:val="0"/>
          <w:color w:val="auto"/>
          <w:sz w:val="72"/>
          <w:highlight w:val="none"/>
        </w:rPr>
      </w:pPr>
      <w:r>
        <w:rPr>
          <w:rFonts w:hint="eastAsia" w:ascii="Times New Roman"/>
          <w:b/>
          <w:snapToGrid w:val="0"/>
          <w:color w:val="auto"/>
          <w:sz w:val="72"/>
          <w:highlight w:val="none"/>
        </w:rPr>
        <w:t>投  标  文  件</w:t>
      </w:r>
    </w:p>
    <w:p w14:paraId="5A4D8E98">
      <w:pPr>
        <w:pStyle w:val="72"/>
        <w:widowControl w:val="0"/>
        <w:wordWrap w:val="0"/>
        <w:adjustRightInd w:val="0"/>
        <w:snapToGrid w:val="0"/>
        <w:spacing w:line="240" w:lineRule="auto"/>
        <w:ind w:firstLine="0"/>
        <w:jc w:val="center"/>
        <w:rPr>
          <w:rFonts w:ascii="Times New Roman"/>
          <w:b/>
          <w:snapToGrid w:val="0"/>
          <w:color w:val="auto"/>
          <w:sz w:val="32"/>
          <w:highlight w:val="none"/>
        </w:rPr>
      </w:pPr>
    </w:p>
    <w:p w14:paraId="189B292E">
      <w:pPr>
        <w:pStyle w:val="72"/>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
          <w:snapToGrid w:val="0"/>
          <w:color w:val="auto"/>
          <w:sz w:val="48"/>
          <w:szCs w:val="48"/>
          <w:highlight w:val="none"/>
        </w:rPr>
        <w:t>（商务标书／监理大纲／</w:t>
      </w:r>
      <w:r>
        <w:rPr>
          <w:rFonts w:hint="eastAsia" w:ascii="Times New Roman"/>
          <w:b/>
          <w:snapToGrid w:val="0"/>
          <w:color w:val="auto"/>
          <w:sz w:val="48"/>
          <w:szCs w:val="48"/>
          <w:highlight w:val="none"/>
          <w:lang w:val="en-US" w:eastAsia="zh-CN"/>
        </w:rPr>
        <w:t>定标文件</w:t>
      </w:r>
      <w:r>
        <w:rPr>
          <w:rFonts w:hint="eastAsia" w:ascii="Times New Roman"/>
          <w:b/>
          <w:snapToGrid w:val="0"/>
          <w:color w:val="auto"/>
          <w:sz w:val="48"/>
          <w:szCs w:val="48"/>
          <w:highlight w:val="none"/>
        </w:rPr>
        <w:t>）</w:t>
      </w:r>
    </w:p>
    <w:p w14:paraId="21D0A39E">
      <w:pPr>
        <w:pStyle w:val="72"/>
        <w:widowControl w:val="0"/>
        <w:wordWrap w:val="0"/>
        <w:adjustRightInd w:val="0"/>
        <w:snapToGrid w:val="0"/>
        <w:spacing w:line="240" w:lineRule="auto"/>
        <w:rPr>
          <w:rFonts w:ascii="Times New Roman"/>
          <w:b/>
          <w:snapToGrid w:val="0"/>
          <w:color w:val="auto"/>
          <w:highlight w:val="none"/>
        </w:rPr>
      </w:pPr>
    </w:p>
    <w:p w14:paraId="47BA86B9">
      <w:pPr>
        <w:pStyle w:val="72"/>
        <w:widowControl w:val="0"/>
        <w:wordWrap w:val="0"/>
        <w:adjustRightInd w:val="0"/>
        <w:snapToGrid w:val="0"/>
        <w:spacing w:line="240" w:lineRule="auto"/>
        <w:rPr>
          <w:rFonts w:ascii="Times New Roman"/>
          <w:b/>
          <w:snapToGrid w:val="0"/>
          <w:color w:val="auto"/>
          <w:sz w:val="32"/>
          <w:highlight w:val="none"/>
        </w:rPr>
      </w:pPr>
    </w:p>
    <w:p w14:paraId="65C3F1D5">
      <w:pPr>
        <w:pStyle w:val="72"/>
        <w:widowControl w:val="0"/>
        <w:wordWrap w:val="0"/>
        <w:adjustRightInd w:val="0"/>
        <w:snapToGrid w:val="0"/>
        <w:spacing w:line="240" w:lineRule="auto"/>
        <w:rPr>
          <w:rFonts w:ascii="Times New Roman"/>
          <w:b/>
          <w:snapToGrid w:val="0"/>
          <w:color w:val="auto"/>
          <w:sz w:val="32"/>
          <w:highlight w:val="none"/>
        </w:rPr>
      </w:pPr>
    </w:p>
    <w:p w14:paraId="04CF17A0">
      <w:pPr>
        <w:pStyle w:val="72"/>
        <w:widowControl w:val="0"/>
        <w:wordWrap w:val="0"/>
        <w:adjustRightInd w:val="0"/>
        <w:snapToGrid w:val="0"/>
        <w:spacing w:line="240" w:lineRule="auto"/>
        <w:rPr>
          <w:rFonts w:ascii="Times New Roman"/>
          <w:b/>
          <w:snapToGrid w:val="0"/>
          <w:color w:val="auto"/>
          <w:sz w:val="32"/>
          <w:highlight w:val="none"/>
        </w:rPr>
      </w:pPr>
    </w:p>
    <w:p w14:paraId="70B9E93C">
      <w:pPr>
        <w:pStyle w:val="72"/>
        <w:widowControl w:val="0"/>
        <w:wordWrap w:val="0"/>
        <w:adjustRightInd w:val="0"/>
        <w:snapToGrid w:val="0"/>
        <w:spacing w:line="240" w:lineRule="auto"/>
        <w:rPr>
          <w:rFonts w:ascii="Times New Roman"/>
          <w:b/>
          <w:snapToGrid w:val="0"/>
          <w:color w:val="auto"/>
          <w:sz w:val="32"/>
          <w:highlight w:val="none"/>
        </w:rPr>
      </w:pPr>
    </w:p>
    <w:p w14:paraId="1ECCE2FB">
      <w:pPr>
        <w:pStyle w:val="72"/>
        <w:widowControl w:val="0"/>
        <w:wordWrap w:val="0"/>
        <w:adjustRightInd w:val="0"/>
        <w:snapToGrid w:val="0"/>
        <w:spacing w:line="240" w:lineRule="auto"/>
        <w:rPr>
          <w:rFonts w:ascii="Times New Roman"/>
          <w:b/>
          <w:snapToGrid w:val="0"/>
          <w:color w:val="auto"/>
          <w:sz w:val="32"/>
          <w:highlight w:val="none"/>
        </w:rPr>
      </w:pPr>
    </w:p>
    <w:p w14:paraId="1EB2808C">
      <w:pPr>
        <w:pStyle w:val="72"/>
        <w:widowControl w:val="0"/>
        <w:wordWrap w:val="0"/>
        <w:adjustRightInd w:val="0"/>
        <w:snapToGrid w:val="0"/>
        <w:spacing w:line="240" w:lineRule="auto"/>
        <w:rPr>
          <w:rFonts w:ascii="Times New Roman"/>
          <w:b/>
          <w:snapToGrid w:val="0"/>
          <w:color w:val="auto"/>
          <w:sz w:val="32"/>
          <w:highlight w:val="none"/>
        </w:rPr>
      </w:pPr>
    </w:p>
    <w:p w14:paraId="759F596E">
      <w:pPr>
        <w:pStyle w:val="72"/>
        <w:widowControl w:val="0"/>
        <w:wordWrap w:val="0"/>
        <w:adjustRightInd w:val="0"/>
        <w:snapToGrid w:val="0"/>
        <w:spacing w:line="240" w:lineRule="auto"/>
        <w:rPr>
          <w:rFonts w:ascii="Times New Roman"/>
          <w:b/>
          <w:snapToGrid w:val="0"/>
          <w:color w:val="auto"/>
          <w:sz w:val="32"/>
          <w:highlight w:val="none"/>
        </w:rPr>
      </w:pPr>
    </w:p>
    <w:p w14:paraId="146D5E17">
      <w:pPr>
        <w:pStyle w:val="72"/>
        <w:widowControl w:val="0"/>
        <w:wordWrap w:val="0"/>
        <w:adjustRightInd w:val="0"/>
        <w:snapToGrid w:val="0"/>
        <w:spacing w:line="240" w:lineRule="auto"/>
        <w:rPr>
          <w:rFonts w:ascii="Times New Roman"/>
          <w:b/>
          <w:snapToGrid w:val="0"/>
          <w:color w:val="auto"/>
          <w:sz w:val="32"/>
          <w:highlight w:val="none"/>
        </w:rPr>
      </w:pPr>
    </w:p>
    <w:p w14:paraId="6742C860">
      <w:pPr>
        <w:pStyle w:val="72"/>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投标人：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（盖单位章）</w:t>
      </w:r>
    </w:p>
    <w:p w14:paraId="4DAF0F5D">
      <w:pPr>
        <w:pStyle w:val="72"/>
        <w:widowControl w:val="0"/>
        <w:wordWrap w:val="0"/>
        <w:adjustRightInd w:val="0"/>
        <w:snapToGrid w:val="0"/>
        <w:spacing w:line="240" w:lineRule="auto"/>
        <w:ind w:firstLine="0"/>
        <w:jc w:val="center"/>
        <w:rPr>
          <w:rFonts w:ascii="Times New Roman"/>
          <w:bCs/>
          <w:snapToGrid w:val="0"/>
          <w:color w:val="auto"/>
          <w:sz w:val="32"/>
          <w:highlight w:val="none"/>
        </w:rPr>
      </w:pPr>
    </w:p>
    <w:p w14:paraId="0642C6A2">
      <w:pPr>
        <w:pStyle w:val="72"/>
        <w:widowControl w:val="0"/>
        <w:wordWrap w:val="0"/>
        <w:adjustRightInd w:val="0"/>
        <w:snapToGrid w:val="0"/>
        <w:spacing w:line="240" w:lineRule="auto"/>
        <w:ind w:firstLine="0"/>
        <w:jc w:val="center"/>
        <w:rPr>
          <w:rFonts w:ascii="Times New Roman"/>
          <w:bCs/>
          <w:snapToGrid w:val="0"/>
          <w:color w:val="auto"/>
          <w:sz w:val="32"/>
          <w:highlight w:val="none"/>
        </w:rPr>
      </w:pPr>
    </w:p>
    <w:p w14:paraId="60435907">
      <w:pPr>
        <w:pStyle w:val="72"/>
        <w:widowControl w:val="0"/>
        <w:wordWrap w:val="0"/>
        <w:adjustRightInd w:val="0"/>
        <w:snapToGrid w:val="0"/>
        <w:spacing w:line="240" w:lineRule="auto"/>
        <w:ind w:firstLine="0"/>
        <w:jc w:val="center"/>
        <w:rPr>
          <w:rFonts w:ascii="Times New Roman"/>
          <w:bCs/>
          <w:snapToGrid w:val="0"/>
          <w:color w:val="auto"/>
          <w:sz w:val="32"/>
          <w:highlight w:val="none"/>
        </w:rPr>
      </w:pPr>
    </w:p>
    <w:p w14:paraId="6A449385">
      <w:pPr>
        <w:pStyle w:val="72"/>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法定代表人或其委托代理人：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（签字或盖章）</w:t>
      </w:r>
    </w:p>
    <w:p w14:paraId="234CEA92">
      <w:pPr>
        <w:pStyle w:val="72"/>
        <w:widowControl w:val="0"/>
        <w:wordWrap w:val="0"/>
        <w:adjustRightInd w:val="0"/>
        <w:snapToGrid w:val="0"/>
        <w:spacing w:line="240" w:lineRule="auto"/>
        <w:ind w:firstLine="0"/>
        <w:jc w:val="center"/>
        <w:rPr>
          <w:rFonts w:ascii="Times New Roman"/>
          <w:bCs/>
          <w:snapToGrid w:val="0"/>
          <w:color w:val="auto"/>
          <w:sz w:val="32"/>
          <w:highlight w:val="none"/>
        </w:rPr>
      </w:pPr>
    </w:p>
    <w:p w14:paraId="565FD46B">
      <w:pPr>
        <w:pStyle w:val="72"/>
        <w:widowControl w:val="0"/>
        <w:wordWrap w:val="0"/>
        <w:adjustRightInd w:val="0"/>
        <w:snapToGrid w:val="0"/>
        <w:spacing w:line="240" w:lineRule="auto"/>
        <w:ind w:firstLine="0"/>
        <w:jc w:val="center"/>
        <w:rPr>
          <w:rFonts w:ascii="Times New Roman"/>
          <w:bCs/>
          <w:snapToGrid w:val="0"/>
          <w:color w:val="auto"/>
          <w:sz w:val="32"/>
          <w:highlight w:val="none"/>
          <w:u w:val="single"/>
        </w:rPr>
      </w:pPr>
    </w:p>
    <w:p w14:paraId="1A771D3C">
      <w:pPr>
        <w:pStyle w:val="72"/>
        <w:widowControl w:val="0"/>
        <w:wordWrap w:val="0"/>
        <w:adjustRightInd w:val="0"/>
        <w:snapToGrid w:val="0"/>
        <w:spacing w:line="240" w:lineRule="auto"/>
        <w:ind w:firstLine="0"/>
        <w:jc w:val="center"/>
        <w:rPr>
          <w:rFonts w:ascii="Times New Roman"/>
          <w:b/>
          <w:snapToGrid w:val="0"/>
          <w:color w:val="auto"/>
          <w:highlight w:val="none"/>
        </w:rPr>
      </w:pP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年</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月</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日</w:t>
      </w:r>
    </w:p>
    <w:p w14:paraId="2B7C22CA">
      <w:pPr>
        <w:pStyle w:val="72"/>
        <w:widowControl w:val="0"/>
        <w:wordWrap w:val="0"/>
        <w:adjustRightInd w:val="0"/>
        <w:snapToGrid w:val="0"/>
        <w:rPr>
          <w:rFonts w:ascii="Times New Roman"/>
          <w:b/>
          <w:snapToGrid w:val="0"/>
          <w:color w:val="auto"/>
          <w:highlight w:val="none"/>
        </w:rPr>
      </w:pPr>
    </w:p>
    <w:p w14:paraId="60968DD1">
      <w:pPr>
        <w:pStyle w:val="72"/>
        <w:widowControl w:val="0"/>
        <w:wordWrap w:val="0"/>
        <w:adjustRightInd w:val="0"/>
        <w:snapToGrid w:val="0"/>
        <w:rPr>
          <w:rFonts w:ascii="Times New Roman"/>
          <w:b/>
          <w:snapToGrid w:val="0"/>
          <w:color w:val="auto"/>
          <w:highlight w:val="none"/>
        </w:rPr>
      </w:pPr>
    </w:p>
    <w:p w14:paraId="20B8FB5C">
      <w:pPr>
        <w:pStyle w:val="72"/>
        <w:widowControl w:val="0"/>
        <w:wordWrap w:val="0"/>
        <w:adjustRightInd w:val="0"/>
        <w:snapToGrid w:val="0"/>
        <w:rPr>
          <w:rFonts w:ascii="Times New Roman"/>
          <w:b/>
          <w:snapToGrid w:val="0"/>
          <w:color w:val="auto"/>
          <w:highlight w:val="none"/>
        </w:rPr>
        <w:sectPr>
          <w:endnotePr>
            <w:numFmt w:val="decimal"/>
          </w:endnotePr>
          <w:pgSz w:w="11906" w:h="16838"/>
          <w:pgMar w:top="1417" w:right="1417" w:bottom="1417" w:left="1417" w:header="850" w:footer="992" w:gutter="0"/>
          <w:cols w:space="0" w:num="1"/>
          <w:docGrid w:linePitch="327" w:charSpace="0"/>
        </w:sectPr>
      </w:pPr>
    </w:p>
    <w:p w14:paraId="15A266C5">
      <w:pPr>
        <w:pStyle w:val="4"/>
        <w:wordWrap w:val="0"/>
        <w:autoSpaceDE/>
        <w:autoSpaceDN/>
        <w:snapToGrid w:val="0"/>
        <w:spacing w:line="440" w:lineRule="exact"/>
        <w:rPr>
          <w:rFonts w:ascii="Times New Roman"/>
          <w:b/>
          <w:snapToGrid w:val="0"/>
          <w:color w:val="auto"/>
          <w:highlight w:val="none"/>
        </w:rPr>
      </w:pPr>
      <w:bookmarkStart w:id="310" w:name="_Toc25707"/>
      <w:bookmarkStart w:id="311" w:name="_Toc21838"/>
      <w:bookmarkStart w:id="312" w:name="_Toc106418843"/>
      <w:bookmarkStart w:id="313" w:name="_Toc104711098"/>
      <w:r>
        <w:rPr>
          <w:rFonts w:hint="eastAsia" w:ascii="Times New Roman"/>
          <w:b/>
          <w:snapToGrid w:val="0"/>
          <w:color w:val="auto"/>
          <w:highlight w:val="none"/>
        </w:rPr>
        <w:t>格式</w:t>
      </w:r>
      <w:bookmarkStart w:id="314" w:name="_Hlt97526007"/>
      <w:bookmarkEnd w:id="314"/>
      <w:r>
        <w:rPr>
          <w:rFonts w:hint="eastAsia" w:ascii="Times New Roman"/>
          <w:b/>
          <w:snapToGrid w:val="0"/>
          <w:color w:val="auto"/>
          <w:highlight w:val="none"/>
        </w:rPr>
        <w:t>二 投标函</w:t>
      </w:r>
      <w:bookmarkEnd w:id="310"/>
      <w:bookmarkEnd w:id="311"/>
    </w:p>
    <w:p w14:paraId="47DFBF08">
      <w:pPr>
        <w:wordWrap w:val="0"/>
        <w:adjustRightInd w:val="0"/>
        <w:snapToGrid w:val="0"/>
        <w:spacing w:before="260" w:after="260" w:line="440" w:lineRule="exact"/>
        <w:jc w:val="center"/>
        <w:rPr>
          <w:rFonts w:ascii="Times New Roman"/>
          <w:b/>
          <w:snapToGrid w:val="0"/>
          <w:color w:val="auto"/>
          <w:kern w:val="0"/>
          <w:highlight w:val="none"/>
        </w:rPr>
      </w:pPr>
      <w:r>
        <w:rPr>
          <w:rFonts w:hint="eastAsia" w:ascii="Times New Roman"/>
          <w:b/>
          <w:snapToGrid w:val="0"/>
          <w:color w:val="auto"/>
          <w:kern w:val="0"/>
          <w:sz w:val="30"/>
          <w:highlight w:val="none"/>
        </w:rPr>
        <w:t>投</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标</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函</w:t>
      </w:r>
      <w:bookmarkEnd w:id="312"/>
      <w:bookmarkEnd w:id="313"/>
    </w:p>
    <w:p w14:paraId="7699421D">
      <w:pPr>
        <w:wordWrap w:val="0"/>
        <w:adjustRightInd w:val="0"/>
        <w:snapToGrid w:val="0"/>
        <w:spacing w:line="440" w:lineRule="exact"/>
        <w:jc w:val="center"/>
        <w:rPr>
          <w:rFonts w:ascii="Times New Roman"/>
          <w:b/>
          <w:snapToGrid w:val="0"/>
          <w:color w:val="auto"/>
          <w:kern w:val="0"/>
          <w:highlight w:val="none"/>
        </w:rPr>
      </w:pPr>
    </w:p>
    <w:p w14:paraId="6A37BA44">
      <w:pPr>
        <w:wordWrap w:val="0"/>
        <w:adjustRightInd w:val="0"/>
        <w:snapToGrid w:val="0"/>
        <w:spacing w:line="440" w:lineRule="exact"/>
        <w:rPr>
          <w:rFonts w:ascii="Times New Roman"/>
          <w:snapToGrid w:val="0"/>
          <w:color w:val="auto"/>
          <w:kern w:val="0"/>
          <w:highlight w:val="none"/>
        </w:rPr>
      </w:pPr>
      <w:r>
        <w:rPr>
          <w:rFonts w:hint="eastAsia" w:ascii="Times New Roman"/>
          <w:snapToGrid w:val="0"/>
          <w:color w:val="auto"/>
          <w:kern w:val="0"/>
          <w:highlight w:val="none"/>
        </w:rPr>
        <w:t>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（招标人名称）</w:t>
      </w:r>
    </w:p>
    <w:p w14:paraId="72F2551D">
      <w:pPr>
        <w:wordWrap w:val="0"/>
        <w:adjustRightInd w:val="0"/>
        <w:snapToGrid w:val="0"/>
        <w:spacing w:line="500" w:lineRule="exact"/>
        <w:ind w:firstLine="570"/>
        <w:rPr>
          <w:rFonts w:hAnsi="宋体" w:cs="宋体"/>
          <w:snapToGrid w:val="0"/>
          <w:color w:val="auto"/>
          <w:kern w:val="0"/>
          <w:highlight w:val="none"/>
          <w:u w:val="single"/>
        </w:rPr>
      </w:pPr>
      <w:r>
        <w:rPr>
          <w:rFonts w:hint="eastAsia" w:hAnsi="宋体" w:cs="宋体"/>
          <w:snapToGrid w:val="0"/>
          <w:color w:val="auto"/>
          <w:kern w:val="0"/>
          <w:highlight w:val="none"/>
        </w:rPr>
        <w:t xml:space="preserve">1. </w:t>
      </w:r>
      <w:r>
        <w:rPr>
          <w:rFonts w:hint="eastAsia" w:hAnsi="宋体" w:cs="宋体"/>
          <w:snapToGrid w:val="0"/>
          <w:color w:val="auto"/>
          <w:kern w:val="0"/>
          <w:szCs w:val="22"/>
          <w:highlight w:val="none"/>
        </w:rPr>
        <w:t>我方在仔细研究</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（项目名称）（以下简称“本项目”）监理招标文件的全部内容后，结合自身资质、能力和特点，愿意接受招标文件的全部内容和条件。兹以人民币（大写）：</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 xml:space="preserve">（小写）：（¥ </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）的投标总价（其中，增值税税率为</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）竞投本项目监理及相关服务</w:t>
      </w:r>
      <w:r>
        <w:rPr>
          <w:rFonts w:hint="eastAsia" w:hAnsi="宋体" w:cs="宋体"/>
          <w:snapToGrid w:val="0"/>
          <w:color w:val="auto"/>
          <w:kern w:val="0"/>
          <w:szCs w:val="22"/>
          <w:highlight w:val="none"/>
          <w:lang w:eastAsia="zh-CN"/>
        </w:rPr>
        <w:t>，投标取费费率为</w:t>
      </w:r>
      <w:r>
        <w:rPr>
          <w:rFonts w:hint="eastAsia" w:hAnsi="宋体" w:cs="宋体"/>
          <w:snapToGrid w:val="0"/>
          <w:color w:val="auto"/>
          <w:kern w:val="0"/>
          <w:szCs w:val="22"/>
          <w:highlight w:val="none"/>
          <w:u w:val="single"/>
          <w:lang w:eastAsia="zh-CN"/>
        </w:rPr>
        <w:t xml:space="preserve">     </w:t>
      </w:r>
      <w:r>
        <w:rPr>
          <w:rFonts w:hint="eastAsia" w:hAnsi="宋体" w:cs="宋体"/>
          <w:snapToGrid w:val="0"/>
          <w:color w:val="auto"/>
          <w:kern w:val="0"/>
          <w:szCs w:val="22"/>
          <w:highlight w:val="none"/>
          <w:lang w:eastAsia="zh-CN"/>
        </w:rPr>
        <w:t>%</w:t>
      </w:r>
      <w:r>
        <w:rPr>
          <w:rFonts w:hint="eastAsia" w:hAnsi="宋体" w:cs="宋体"/>
          <w:snapToGrid w:val="0"/>
          <w:color w:val="auto"/>
          <w:kern w:val="0"/>
          <w:szCs w:val="22"/>
          <w:highlight w:val="none"/>
        </w:rPr>
        <w:t>。</w:t>
      </w:r>
    </w:p>
    <w:p w14:paraId="00F3B9EA">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2. 如果我方中标，我方保证按照委托人发出的开始监理通知中写明的日期开始本项目的</w:t>
      </w:r>
      <w:r>
        <w:rPr>
          <w:rFonts w:hint="eastAsia" w:hAnsi="宋体" w:cs="宋体"/>
          <w:snapToGrid w:val="0"/>
          <w:color w:val="auto"/>
          <w:kern w:val="0"/>
          <w:highlight w:val="none"/>
          <w:u w:val="single"/>
        </w:rPr>
        <w:t xml:space="preserve"> 监理及相关服务 </w:t>
      </w:r>
      <w:r>
        <w:rPr>
          <w:rFonts w:hint="eastAsia" w:hAnsi="宋体" w:cs="宋体"/>
          <w:snapToGrid w:val="0"/>
          <w:color w:val="auto"/>
          <w:kern w:val="0"/>
          <w:highlight w:val="none"/>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4．我方在此声明，我方不存在本项目招标文件第一章第三节第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auto"/>
          <w:kern w:val="0"/>
          <w:highlight w:val="none"/>
        </w:rPr>
      </w:pPr>
      <w:bookmarkStart w:id="315" w:name="_Hlt68771070"/>
      <w:bookmarkEnd w:id="315"/>
      <w:r>
        <w:rPr>
          <w:rFonts w:hint="eastAsia" w:hAnsi="宋体" w:cs="宋体"/>
          <w:snapToGrid w:val="0"/>
          <w:color w:val="auto"/>
          <w:kern w:val="0"/>
          <w:highlight w:val="none"/>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 xml:space="preserve">  </w:t>
      </w:r>
    </w:p>
    <w:p w14:paraId="428C057D">
      <w:pPr>
        <w:wordWrap w:val="0"/>
        <w:adjustRightInd w:val="0"/>
        <w:snapToGrid w:val="0"/>
        <w:spacing w:line="440" w:lineRule="exact"/>
        <w:rPr>
          <w:rFonts w:ascii="Times New Roman"/>
          <w:snapToGrid w:val="0"/>
          <w:color w:val="auto"/>
          <w:kern w:val="0"/>
          <w:highlight w:val="none"/>
        </w:rPr>
      </w:pPr>
    </w:p>
    <w:p w14:paraId="276EABA1">
      <w:pPr>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 xml:space="preserve">    投标人：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（盖单位章）</w:t>
      </w:r>
    </w:p>
    <w:p w14:paraId="4CA7B314">
      <w:pPr>
        <w:wordWrap w:val="0"/>
        <w:adjustRightInd w:val="0"/>
        <w:snapToGrid w:val="0"/>
        <w:spacing w:line="440" w:lineRule="exact"/>
        <w:jc w:val="right"/>
        <w:rPr>
          <w:rFonts w:ascii="Times New Roman"/>
          <w:snapToGrid w:val="0"/>
          <w:color w:val="auto"/>
          <w:kern w:val="0"/>
          <w:highlight w:val="none"/>
        </w:rPr>
      </w:pPr>
    </w:p>
    <w:p w14:paraId="387ED88C">
      <w:pPr>
        <w:wordWrap w:val="0"/>
        <w:adjustRightInd w:val="0"/>
        <w:snapToGrid w:val="0"/>
        <w:spacing w:line="440" w:lineRule="exact"/>
        <w:ind w:firstLine="480" w:firstLineChars="200"/>
        <w:jc w:val="right"/>
        <w:rPr>
          <w:rFonts w:ascii="Times New Roman"/>
          <w:snapToGrid w:val="0"/>
          <w:color w:val="auto"/>
          <w:kern w:val="0"/>
          <w:highlight w:val="none"/>
        </w:rPr>
      </w:pPr>
      <w:r>
        <w:rPr>
          <w:rFonts w:hint="eastAsia" w:ascii="Times New Roman"/>
          <w:snapToGrid w:val="0"/>
          <w:color w:val="auto"/>
          <w:kern w:val="0"/>
          <w:highlight w:val="none"/>
        </w:rPr>
        <w:t>法定代表人或其委托代理人：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（签字或盖章）</w:t>
      </w:r>
    </w:p>
    <w:p w14:paraId="54249B59">
      <w:pPr>
        <w:wordWrap w:val="0"/>
        <w:adjustRightInd w:val="0"/>
        <w:snapToGrid w:val="0"/>
        <w:spacing w:line="440" w:lineRule="exact"/>
        <w:ind w:firstLine="480" w:firstLineChars="200"/>
        <w:jc w:val="right"/>
        <w:rPr>
          <w:rFonts w:ascii="Times New Roman"/>
          <w:snapToGrid w:val="0"/>
          <w:color w:val="auto"/>
          <w:kern w:val="0"/>
          <w:highlight w:val="none"/>
        </w:rPr>
      </w:pPr>
    </w:p>
    <w:p w14:paraId="28DC9D94">
      <w:pPr>
        <w:wordWrap w:val="0"/>
        <w:adjustRightInd w:val="0"/>
        <w:snapToGrid w:val="0"/>
        <w:spacing w:line="440" w:lineRule="exact"/>
        <w:jc w:val="left"/>
        <w:rPr>
          <w:rFonts w:ascii="Times New Roman"/>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25B8347D">
      <w:pPr>
        <w:pStyle w:val="72"/>
        <w:widowControl w:val="0"/>
        <w:wordWrap w:val="0"/>
        <w:adjustRightInd w:val="0"/>
        <w:snapToGrid w:val="0"/>
        <w:spacing w:line="400" w:lineRule="exact"/>
        <w:ind w:firstLine="0"/>
        <w:outlineLvl w:val="1"/>
        <w:rPr>
          <w:rFonts w:hAnsi="宋体" w:cs="宋体"/>
          <w:b/>
          <w:snapToGrid w:val="0"/>
          <w:color w:val="auto"/>
          <w:sz w:val="24"/>
          <w:highlight w:val="none"/>
        </w:rPr>
      </w:pPr>
      <w:bookmarkStart w:id="316" w:name="_Toc30600"/>
      <w:r>
        <w:rPr>
          <w:rFonts w:hint="eastAsia" w:hAnsi="宋体" w:cs="宋体"/>
          <w:b/>
          <w:snapToGrid w:val="0"/>
          <w:color w:val="auto"/>
          <w:sz w:val="24"/>
          <w:highlight w:val="none"/>
        </w:rPr>
        <w:t>格式三 各项承诺一览表</w:t>
      </w:r>
      <w:bookmarkEnd w:id="316"/>
    </w:p>
    <w:p w14:paraId="20B05016">
      <w:pPr>
        <w:pStyle w:val="71"/>
        <w:keepNext w:val="0"/>
        <w:keepLines w:val="0"/>
        <w:widowControl w:val="0"/>
        <w:wordWrap w:val="0"/>
        <w:adjustRightInd w:val="0"/>
        <w:snapToGrid w:val="0"/>
        <w:spacing w:before="260" w:after="260" w:line="440" w:lineRule="exact"/>
        <w:ind w:firstLine="0"/>
        <w:outlineLvl w:val="9"/>
        <w:rPr>
          <w:rFonts w:hAnsi="宋体" w:cs="宋体"/>
          <w:b/>
          <w:snapToGrid w:val="0"/>
          <w:color w:val="auto"/>
          <w:highlight w:val="none"/>
        </w:rPr>
      </w:pPr>
      <w:bookmarkStart w:id="317" w:name="_Toc7685"/>
      <w:bookmarkStart w:id="318" w:name="_Toc18253"/>
      <w:bookmarkStart w:id="319" w:name="_Toc11270"/>
      <w:bookmarkStart w:id="320" w:name="_Toc24548"/>
      <w:bookmarkStart w:id="321" w:name="_Toc27092"/>
      <w:r>
        <w:rPr>
          <w:rFonts w:hint="eastAsia" w:hAnsi="宋体" w:cs="宋体"/>
          <w:b/>
          <w:snapToGrid w:val="0"/>
          <w:color w:val="auto"/>
          <w:sz w:val="30"/>
          <w:highlight w:val="none"/>
        </w:rPr>
        <w:t>各项承诺一览表</w:t>
      </w:r>
      <w:bookmarkEnd w:id="317"/>
      <w:bookmarkEnd w:id="318"/>
      <w:bookmarkEnd w:id="319"/>
      <w:bookmarkEnd w:id="320"/>
      <w:bookmarkEnd w:id="321"/>
    </w:p>
    <w:tbl>
      <w:tblPr>
        <w:tblStyle w:val="31"/>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716" w:type="dxa"/>
            <w:tcBorders>
              <w:tl2br w:val="nil"/>
              <w:tr2bl w:val="nil"/>
            </w:tcBorders>
            <w:vAlign w:val="center"/>
          </w:tcPr>
          <w:p w14:paraId="4B001337">
            <w:pPr>
              <w:pStyle w:val="73"/>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序号</w:t>
            </w:r>
          </w:p>
        </w:tc>
        <w:tc>
          <w:tcPr>
            <w:tcW w:w="1573" w:type="dxa"/>
            <w:tcBorders>
              <w:tl2br w:val="nil"/>
              <w:tr2bl w:val="nil"/>
            </w:tcBorders>
            <w:vAlign w:val="center"/>
          </w:tcPr>
          <w:p w14:paraId="0DD645C3">
            <w:pPr>
              <w:pStyle w:val="73"/>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承诺事项</w:t>
            </w:r>
          </w:p>
        </w:tc>
        <w:tc>
          <w:tcPr>
            <w:tcW w:w="2923" w:type="dxa"/>
            <w:tcBorders>
              <w:tl2br w:val="nil"/>
              <w:tr2bl w:val="nil"/>
            </w:tcBorders>
            <w:vAlign w:val="center"/>
          </w:tcPr>
          <w:p w14:paraId="286917BA">
            <w:pPr>
              <w:pStyle w:val="73"/>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承诺内容</w:t>
            </w:r>
          </w:p>
        </w:tc>
        <w:tc>
          <w:tcPr>
            <w:tcW w:w="4019" w:type="dxa"/>
            <w:tcBorders>
              <w:tl2br w:val="nil"/>
              <w:tr2bl w:val="nil"/>
            </w:tcBorders>
            <w:vAlign w:val="center"/>
          </w:tcPr>
          <w:p w14:paraId="5A051E55">
            <w:pPr>
              <w:pStyle w:val="73"/>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573" w:type="dxa"/>
            <w:tcBorders>
              <w:tl2br w:val="nil"/>
              <w:tr2bl w:val="nil"/>
            </w:tcBorders>
            <w:vAlign w:val="center"/>
          </w:tcPr>
          <w:p w14:paraId="746B30D1">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自愿接受招标</w:t>
            </w:r>
          </w:p>
          <w:p w14:paraId="71ED28BC">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文件条款的承诺</w:t>
            </w:r>
          </w:p>
        </w:tc>
        <w:tc>
          <w:tcPr>
            <w:tcW w:w="2923" w:type="dxa"/>
            <w:tcBorders>
              <w:tl2br w:val="nil"/>
              <w:tr2bl w:val="nil"/>
            </w:tcBorders>
            <w:vAlign w:val="center"/>
          </w:tcPr>
          <w:p w14:paraId="2D307866">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573" w:type="dxa"/>
            <w:tcBorders>
              <w:tl2br w:val="nil"/>
              <w:tr2bl w:val="nil"/>
            </w:tcBorders>
            <w:vAlign w:val="center"/>
          </w:tcPr>
          <w:p w14:paraId="4E13328C">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无禁止投标</w:t>
            </w:r>
          </w:p>
          <w:p w14:paraId="2E04458C">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情形的承诺</w:t>
            </w:r>
          </w:p>
        </w:tc>
        <w:tc>
          <w:tcPr>
            <w:tcW w:w="2923" w:type="dxa"/>
            <w:tcBorders>
              <w:tl2br w:val="nil"/>
              <w:tr2bl w:val="nil"/>
            </w:tcBorders>
            <w:vAlign w:val="center"/>
          </w:tcPr>
          <w:p w14:paraId="6A2783C9">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我方不存在招标文件第一章第三节第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w:t>
            </w:r>
          </w:p>
        </w:tc>
        <w:tc>
          <w:tcPr>
            <w:tcW w:w="4019" w:type="dxa"/>
            <w:tcBorders>
              <w:tl2br w:val="nil"/>
              <w:tr2bl w:val="nil"/>
            </w:tcBorders>
            <w:vAlign w:val="center"/>
          </w:tcPr>
          <w:p w14:paraId="60B01B1E">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如果我方有招标文件第一章第三节第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573" w:type="dxa"/>
            <w:tcBorders>
              <w:tl2br w:val="nil"/>
              <w:tr2bl w:val="nil"/>
            </w:tcBorders>
            <w:vAlign w:val="center"/>
          </w:tcPr>
          <w:p w14:paraId="7327796A">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自觉抵制围标</w:t>
            </w:r>
          </w:p>
          <w:p w14:paraId="6537DAA0">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串标和弄虚</w:t>
            </w:r>
          </w:p>
          <w:p w14:paraId="3A865B06">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作假行为的承诺</w:t>
            </w:r>
          </w:p>
        </w:tc>
        <w:tc>
          <w:tcPr>
            <w:tcW w:w="2923" w:type="dxa"/>
            <w:tcBorders>
              <w:tl2br w:val="nil"/>
              <w:tr2bl w:val="nil"/>
            </w:tcBorders>
            <w:vAlign w:val="center"/>
          </w:tcPr>
          <w:p w14:paraId="1074D0F2">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4</w:t>
            </w:r>
          </w:p>
        </w:tc>
        <w:tc>
          <w:tcPr>
            <w:tcW w:w="1573" w:type="dxa"/>
            <w:tcBorders>
              <w:tl2br w:val="nil"/>
              <w:tr2bl w:val="nil"/>
            </w:tcBorders>
            <w:vAlign w:val="center"/>
          </w:tcPr>
          <w:p w14:paraId="754EDB94">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总监理工程师</w:t>
            </w:r>
          </w:p>
          <w:p w14:paraId="4D5B47CB">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任职承诺</w:t>
            </w:r>
          </w:p>
        </w:tc>
        <w:tc>
          <w:tcPr>
            <w:tcW w:w="2923" w:type="dxa"/>
            <w:tcBorders>
              <w:tl2br w:val="nil"/>
              <w:tr2bl w:val="nil"/>
            </w:tcBorders>
            <w:vAlign w:val="center"/>
          </w:tcPr>
          <w:p w14:paraId="0015B20B">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5</w:t>
            </w:r>
          </w:p>
        </w:tc>
        <w:tc>
          <w:tcPr>
            <w:tcW w:w="1573" w:type="dxa"/>
            <w:tcBorders>
              <w:tl2br w:val="nil"/>
              <w:tr2bl w:val="nil"/>
            </w:tcBorders>
            <w:vAlign w:val="center"/>
          </w:tcPr>
          <w:p w14:paraId="003F6C1C">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56563611">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真实性承诺</w:t>
            </w:r>
          </w:p>
        </w:tc>
        <w:tc>
          <w:tcPr>
            <w:tcW w:w="2923" w:type="dxa"/>
            <w:tcBorders>
              <w:tl2br w:val="nil"/>
              <w:tr2bl w:val="nil"/>
            </w:tcBorders>
            <w:vAlign w:val="center"/>
          </w:tcPr>
          <w:p w14:paraId="3AAF78A2">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我方所递交投标文件的全部内容均为真实、有效、准确的。</w:t>
            </w:r>
          </w:p>
        </w:tc>
        <w:tc>
          <w:tcPr>
            <w:tcW w:w="4019" w:type="dxa"/>
            <w:tcBorders>
              <w:tl2br w:val="nil"/>
              <w:tr2bl w:val="nil"/>
            </w:tcBorders>
            <w:vAlign w:val="center"/>
          </w:tcPr>
          <w:p w14:paraId="537798B9">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6</w:t>
            </w:r>
          </w:p>
        </w:tc>
        <w:tc>
          <w:tcPr>
            <w:tcW w:w="1573" w:type="dxa"/>
            <w:tcBorders>
              <w:tl2br w:val="nil"/>
              <w:tr2bl w:val="nil"/>
            </w:tcBorders>
            <w:vAlign w:val="center"/>
          </w:tcPr>
          <w:p w14:paraId="4626B0C9">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3294E70E">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信息公开承诺</w:t>
            </w:r>
          </w:p>
        </w:tc>
        <w:tc>
          <w:tcPr>
            <w:tcW w:w="2923" w:type="dxa"/>
            <w:tcBorders>
              <w:tl2br w:val="nil"/>
              <w:tr2bl w:val="nil"/>
            </w:tcBorders>
            <w:vAlign w:val="center"/>
          </w:tcPr>
          <w:p w14:paraId="0BD5A69B">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left"/>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3"/>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hAnsi="宋体" w:eastAsia="宋体" w:cs="宋体"/>
                <w:snapToGrid w:val="0"/>
                <w:color w:val="auto"/>
                <w:kern w:val="0"/>
                <w:sz w:val="21"/>
                <w:szCs w:val="21"/>
                <w:highlight w:val="none"/>
                <w:lang w:eastAsia="zh-CN"/>
              </w:rPr>
            </w:pPr>
            <w:r>
              <w:rPr>
                <w:rFonts w:hint="eastAsia" w:hAnsi="宋体" w:cs="宋体"/>
                <w:snapToGrid w:val="0"/>
                <w:color w:val="auto"/>
                <w:kern w:val="0"/>
                <w:sz w:val="21"/>
                <w:szCs w:val="21"/>
                <w:highlight w:val="none"/>
                <w:lang w:val="en-US" w:eastAsia="zh-CN"/>
              </w:rPr>
              <w:t>7</w:t>
            </w:r>
          </w:p>
        </w:tc>
        <w:tc>
          <w:tcPr>
            <w:tcW w:w="1573" w:type="dxa"/>
            <w:tcBorders>
              <w:tl2br w:val="nil"/>
              <w:tr2bl w:val="nil"/>
            </w:tcBorders>
            <w:vAlign w:val="center"/>
          </w:tcPr>
          <w:p w14:paraId="7E0FB442">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按时签订合同</w:t>
            </w:r>
          </w:p>
          <w:p w14:paraId="3DA87571">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的承诺</w:t>
            </w:r>
          </w:p>
        </w:tc>
        <w:tc>
          <w:tcPr>
            <w:tcW w:w="2923" w:type="dxa"/>
            <w:tcBorders>
              <w:tl2br w:val="nil"/>
              <w:tr2bl w:val="nil"/>
            </w:tcBorders>
            <w:vAlign w:val="center"/>
          </w:tcPr>
          <w:p w14:paraId="108034DD">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6"/>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3"/>
        <w:wordWrap w:val="0"/>
        <w:adjustRightInd w:val="0"/>
        <w:snapToGrid w:val="0"/>
        <w:spacing w:line="420" w:lineRule="exact"/>
        <w:jc w:val="left"/>
        <w:rPr>
          <w:rFonts w:hAnsi="宋体" w:cs="宋体"/>
          <w:snapToGrid w:val="0"/>
          <w:color w:val="auto"/>
          <w:kern w:val="0"/>
          <w:highlight w:val="none"/>
        </w:rPr>
      </w:pPr>
    </w:p>
    <w:p w14:paraId="4B6FF6DB">
      <w:pPr>
        <w:pStyle w:val="73"/>
        <w:wordWrap w:val="0"/>
        <w:adjustRightInd w:val="0"/>
        <w:snapToGrid w:val="0"/>
        <w:spacing w:line="420" w:lineRule="exact"/>
        <w:jc w:val="left"/>
        <w:rPr>
          <w:rFonts w:hAnsi="宋体" w:cs="宋体"/>
          <w:snapToGrid w:val="0"/>
          <w:color w:val="auto"/>
          <w:kern w:val="0"/>
          <w:highlight w:val="none"/>
        </w:rPr>
      </w:pPr>
    </w:p>
    <w:p w14:paraId="148553C2">
      <w:pPr>
        <w:pStyle w:val="16"/>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投标人：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（盖单位章）</w:t>
      </w:r>
    </w:p>
    <w:p w14:paraId="28CA7502">
      <w:pPr>
        <w:pStyle w:val="16"/>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BE8168B">
      <w:pPr>
        <w:pStyle w:val="16"/>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172B28D">
      <w:pPr>
        <w:pStyle w:val="16"/>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法定代表人或其委托代理人：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（签字或盖章）</w:t>
      </w:r>
    </w:p>
    <w:p w14:paraId="40FD3ED2">
      <w:pPr>
        <w:pStyle w:val="16"/>
        <w:wordWrap w:val="0"/>
        <w:adjustRightInd w:val="0"/>
        <w:snapToGrid w:val="0"/>
        <w:spacing w:line="420" w:lineRule="exact"/>
        <w:ind w:firstLine="480" w:firstLineChars="200"/>
        <w:rPr>
          <w:rFonts w:hAnsi="宋体" w:cs="宋体"/>
          <w:snapToGrid w:val="0"/>
          <w:color w:val="auto"/>
          <w:kern w:val="0"/>
          <w:szCs w:val="24"/>
          <w:highlight w:val="none"/>
        </w:rPr>
      </w:pPr>
    </w:p>
    <w:p w14:paraId="498998F1">
      <w:pPr>
        <w:pStyle w:val="16"/>
        <w:wordWrap w:val="0"/>
        <w:adjustRightInd w:val="0"/>
        <w:snapToGrid w:val="0"/>
        <w:spacing w:line="420" w:lineRule="exact"/>
        <w:ind w:firstLine="480" w:firstLineChars="200"/>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日</w:t>
      </w:r>
    </w:p>
    <w:p w14:paraId="3E8D0F6D">
      <w:pPr>
        <w:wordWrap w:val="0"/>
        <w:adjustRightInd w:val="0"/>
        <w:snapToGrid w:val="0"/>
        <w:spacing w:line="420" w:lineRule="exact"/>
        <w:jc w:val="left"/>
        <w:rPr>
          <w:rFonts w:hAnsi="宋体" w:cs="宋体"/>
          <w:b/>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p>
    <w:p w14:paraId="1E8EBA5D">
      <w:pPr>
        <w:wordWrap w:val="0"/>
        <w:adjustRightInd w:val="0"/>
        <w:snapToGrid w:val="0"/>
        <w:spacing w:line="440" w:lineRule="exact"/>
        <w:outlineLvl w:val="1"/>
        <w:rPr>
          <w:rFonts w:hAnsi="宋体" w:cs="宋体"/>
          <w:b/>
          <w:bCs/>
          <w:snapToGrid w:val="0"/>
          <w:color w:val="auto"/>
          <w:kern w:val="0"/>
          <w:szCs w:val="24"/>
          <w:highlight w:val="none"/>
        </w:rPr>
      </w:pPr>
      <w:bookmarkStart w:id="322" w:name="_Toc3697"/>
      <w:r>
        <w:rPr>
          <w:rFonts w:hint="eastAsia" w:hAnsi="宋体" w:cs="宋体"/>
          <w:b/>
          <w:bCs/>
          <w:snapToGrid w:val="0"/>
          <w:color w:val="auto"/>
          <w:kern w:val="0"/>
          <w:szCs w:val="24"/>
          <w:highlight w:val="none"/>
        </w:rPr>
        <w:t>格式四 授权委托书</w:t>
      </w:r>
      <w:bookmarkEnd w:id="322"/>
    </w:p>
    <w:p w14:paraId="759A7BEF">
      <w:pPr>
        <w:wordWrap w:val="0"/>
        <w:adjustRightInd w:val="0"/>
        <w:snapToGrid w:val="0"/>
        <w:spacing w:line="440" w:lineRule="exact"/>
        <w:rPr>
          <w:rFonts w:hAnsi="宋体" w:cs="宋体"/>
          <w:b/>
          <w:bCs/>
          <w:snapToGrid w:val="0"/>
          <w:color w:val="auto"/>
          <w:kern w:val="0"/>
          <w:szCs w:val="24"/>
          <w:highlight w:val="none"/>
        </w:rPr>
      </w:pPr>
    </w:p>
    <w:p w14:paraId="1D02247C">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授权委托书</w:t>
      </w:r>
    </w:p>
    <w:p w14:paraId="2077EBE8">
      <w:pPr>
        <w:wordWrap w:val="0"/>
        <w:adjustRightInd w:val="0"/>
        <w:snapToGrid w:val="0"/>
        <w:spacing w:line="440" w:lineRule="exact"/>
        <w:rPr>
          <w:rFonts w:hAnsi="宋体" w:cs="宋体"/>
          <w:snapToGrid w:val="0"/>
          <w:color w:val="auto"/>
          <w:kern w:val="0"/>
          <w:szCs w:val="28"/>
          <w:highlight w:val="none"/>
        </w:rPr>
      </w:pPr>
    </w:p>
    <w:p w14:paraId="30754A5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本人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（投标人名称）的法定代表人，现委托</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（姓名）为我方代理人。代理人根据授权，以我方名义签署、澄清、说明、补正、递交、撤回、修改</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（项目名称）监理投标文件、签订合同和处理有关事宜，其法律后果由我方承担。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委托期限：至</w:t>
      </w:r>
      <w:r>
        <w:rPr>
          <w:rFonts w:hint="eastAsia" w:hAnsi="宋体" w:cs="宋体"/>
          <w:snapToGrid w:val="0"/>
          <w:color w:val="auto"/>
          <w:kern w:val="0"/>
          <w:szCs w:val="21"/>
          <w:highlight w:val="none"/>
          <w:u w:val="single"/>
        </w:rPr>
        <w:t xml:space="preserve">     年   月   日</w:t>
      </w:r>
      <w:r>
        <w:rPr>
          <w:rFonts w:hint="eastAsia" w:hAnsi="宋体" w:cs="宋体"/>
          <w:i/>
          <w:iCs/>
          <w:snapToGrid w:val="0"/>
          <w:color w:val="auto"/>
          <w:kern w:val="0"/>
          <w:szCs w:val="21"/>
          <w:highlight w:val="none"/>
          <w:u w:val="single"/>
        </w:rPr>
        <w:t>（不得短于招标文件规定的投标有效期）</w:t>
      </w:r>
      <w:r>
        <w:rPr>
          <w:rFonts w:hint="eastAsia" w:hAnsi="宋体" w:cs="宋体"/>
          <w:snapToGrid w:val="0"/>
          <w:color w:val="auto"/>
          <w:kern w:val="0"/>
          <w:szCs w:val="21"/>
          <w:highlight w:val="none"/>
        </w:rPr>
        <w:t xml:space="preserve"> 。</w:t>
      </w:r>
    </w:p>
    <w:p w14:paraId="58D1757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代理人无转委托权。</w:t>
      </w:r>
    </w:p>
    <w:p w14:paraId="1B59B3DA">
      <w:pPr>
        <w:wordWrap w:val="0"/>
        <w:adjustRightInd w:val="0"/>
        <w:snapToGrid w:val="0"/>
        <w:spacing w:line="440" w:lineRule="exact"/>
        <w:ind w:firstLine="480" w:firstLineChars="200"/>
        <w:rPr>
          <w:rFonts w:hAnsi="宋体" w:cs="宋体"/>
          <w:snapToGrid w:val="0"/>
          <w:color w:val="auto"/>
          <w:kern w:val="0"/>
          <w:szCs w:val="21"/>
          <w:highlight w:val="none"/>
        </w:rPr>
      </w:pPr>
    </w:p>
    <w:p w14:paraId="2168011B">
      <w:pPr>
        <w:wordWrap w:val="0"/>
        <w:adjustRightInd w:val="0"/>
        <w:snapToGrid w:val="0"/>
        <w:spacing w:line="440" w:lineRule="exact"/>
        <w:ind w:firstLine="480" w:firstLineChars="200"/>
        <w:rPr>
          <w:rFonts w:hAnsi="宋体" w:cs="宋体"/>
          <w:snapToGrid w:val="0"/>
          <w:color w:val="auto"/>
          <w:kern w:val="0"/>
          <w:szCs w:val="21"/>
          <w:highlight w:val="none"/>
        </w:rPr>
      </w:pPr>
    </w:p>
    <w:p w14:paraId="5D117B02">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投  标  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657F48EA">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5A982326">
      <w:pPr>
        <w:wordWrap w:val="0"/>
        <w:adjustRightInd w:val="0"/>
        <w:snapToGrid w:val="0"/>
        <w:spacing w:line="440" w:lineRule="exact"/>
        <w:ind w:firstLine="480" w:firstLineChars="200"/>
        <w:rPr>
          <w:rFonts w:hAnsi="宋体" w:cs="宋体"/>
          <w:snapToGrid w:val="0"/>
          <w:color w:val="auto"/>
          <w:kern w:val="0"/>
          <w:szCs w:val="21"/>
          <w:highlight w:val="none"/>
        </w:rPr>
      </w:pPr>
    </w:p>
    <w:p w14:paraId="47DE65D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6F4080A1">
      <w:pPr>
        <w:wordWrap w:val="0"/>
        <w:adjustRightInd w:val="0"/>
        <w:snapToGrid w:val="0"/>
        <w:spacing w:line="440" w:lineRule="exact"/>
        <w:ind w:firstLine="480" w:firstLineChars="200"/>
        <w:rPr>
          <w:rFonts w:hAnsi="宋体" w:cs="宋体"/>
          <w:snapToGrid w:val="0"/>
          <w:color w:val="auto"/>
          <w:kern w:val="0"/>
          <w:szCs w:val="21"/>
          <w:highlight w:val="none"/>
        </w:rPr>
      </w:pPr>
    </w:p>
    <w:p w14:paraId="636F605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委托代理人：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516C980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07FCA71E">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日</w:t>
      </w:r>
    </w:p>
    <w:p w14:paraId="764F8561">
      <w:pPr>
        <w:wordWrap w:val="0"/>
        <w:adjustRightInd w:val="0"/>
        <w:snapToGrid w:val="0"/>
        <w:spacing w:line="440" w:lineRule="exact"/>
        <w:ind w:firstLine="480" w:firstLineChars="200"/>
        <w:rPr>
          <w:rFonts w:hAnsi="宋体" w:cs="宋体"/>
          <w:snapToGrid w:val="0"/>
          <w:color w:val="auto"/>
          <w:kern w:val="0"/>
          <w:szCs w:val="21"/>
          <w:highlight w:val="none"/>
        </w:rPr>
      </w:pPr>
    </w:p>
    <w:p w14:paraId="79AD2214">
      <w:pPr>
        <w:wordWrap w:val="0"/>
        <w:adjustRightInd w:val="0"/>
        <w:snapToGrid w:val="0"/>
        <w:spacing w:line="440" w:lineRule="exact"/>
        <w:ind w:firstLine="480" w:firstLineChars="200"/>
        <w:rPr>
          <w:rFonts w:hAnsi="宋体" w:cs="宋体"/>
          <w:snapToGrid w:val="0"/>
          <w:color w:val="auto"/>
          <w:kern w:val="0"/>
          <w:szCs w:val="21"/>
          <w:highlight w:val="none"/>
        </w:rPr>
      </w:pPr>
    </w:p>
    <w:p w14:paraId="523F244E">
      <w:pPr>
        <w:wordWrap w:val="0"/>
        <w:adjustRightInd w:val="0"/>
        <w:snapToGrid w:val="0"/>
        <w:ind w:firstLine="6440" w:firstLineChars="2300"/>
        <w:rPr>
          <w:rFonts w:hAnsi="宋体" w:cs="宋体"/>
          <w:snapToGrid w:val="0"/>
          <w:color w:val="auto"/>
          <w:kern w:val="0"/>
          <w:szCs w:val="24"/>
          <w:highlight w:val="none"/>
        </w:rPr>
      </w:pPr>
      <w:r>
        <w:rPr>
          <w:rFonts w:hint="eastAsia" w:hAnsi="宋体" w:cs="宋体"/>
          <w:snapToGrid w:val="0"/>
          <w:color w:val="auto"/>
          <w:kern w:val="0"/>
          <w:sz w:val="28"/>
          <w:szCs w:val="28"/>
          <w:highlight w:val="none"/>
          <w:u w:val="singl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10"/>
        <w:wordWrap w:val="0"/>
        <w:adjustRightInd w:val="0"/>
        <w:snapToGrid w:val="0"/>
        <w:rPr>
          <w:rFonts w:hAnsi="宋体" w:cs="宋体"/>
          <w:snapToGrid w:val="0"/>
          <w:color w:val="auto"/>
          <w:kern w:val="0"/>
          <w:szCs w:val="24"/>
          <w:highlight w:val="none"/>
        </w:rPr>
      </w:pPr>
    </w:p>
    <w:p w14:paraId="3DEB4B42">
      <w:pPr>
        <w:bidi w:val="0"/>
        <w:rPr>
          <w:color w:val="auto"/>
          <w:highlight w:val="none"/>
        </w:rPr>
      </w:pPr>
    </w:p>
    <w:p w14:paraId="4EE63B06">
      <w:pPr>
        <w:wordWrap w:val="0"/>
        <w:adjustRightInd w:val="0"/>
        <w:snapToGrid w:val="0"/>
        <w:rPr>
          <w:rFonts w:hAnsi="宋体" w:cs="宋体"/>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p>
    <w:p w14:paraId="047810DC">
      <w:pPr>
        <w:wordWrap w:val="0"/>
        <w:adjustRightInd w:val="0"/>
        <w:snapToGrid w:val="0"/>
        <w:spacing w:line="440" w:lineRule="exact"/>
        <w:outlineLvl w:val="1"/>
        <w:rPr>
          <w:rFonts w:hAnsi="宋体" w:cs="宋体"/>
          <w:b/>
          <w:snapToGrid w:val="0"/>
          <w:color w:val="auto"/>
          <w:kern w:val="0"/>
          <w:highlight w:val="none"/>
        </w:rPr>
      </w:pPr>
      <w:bookmarkStart w:id="323" w:name="_Toc12713"/>
      <w:r>
        <w:rPr>
          <w:rFonts w:hint="eastAsia" w:hAnsi="宋体" w:cs="宋体"/>
          <w:b/>
          <w:snapToGrid w:val="0"/>
          <w:color w:val="auto"/>
          <w:kern w:val="0"/>
          <w:highlight w:val="none"/>
        </w:rPr>
        <w:t>格式五 法定代表人身份证明</w:t>
      </w:r>
      <w:bookmarkEnd w:id="323"/>
    </w:p>
    <w:p w14:paraId="6BB79DDB">
      <w:pPr>
        <w:wordWrap w:val="0"/>
        <w:adjustRightInd w:val="0"/>
        <w:snapToGrid w:val="0"/>
        <w:spacing w:line="440" w:lineRule="exact"/>
        <w:rPr>
          <w:rFonts w:hAnsi="宋体" w:cs="宋体"/>
          <w:b/>
          <w:snapToGrid w:val="0"/>
          <w:color w:val="auto"/>
          <w:kern w:val="0"/>
          <w:highlight w:val="none"/>
        </w:rPr>
      </w:pPr>
    </w:p>
    <w:p w14:paraId="16729C42">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法定代表人身份证明</w:t>
      </w:r>
    </w:p>
    <w:p w14:paraId="2FF4BF41">
      <w:pPr>
        <w:wordWrap w:val="0"/>
        <w:adjustRightInd w:val="0"/>
        <w:snapToGrid w:val="0"/>
        <w:spacing w:line="440" w:lineRule="exact"/>
        <w:rPr>
          <w:rFonts w:hAnsi="宋体" w:cs="宋体"/>
          <w:snapToGrid w:val="0"/>
          <w:color w:val="auto"/>
          <w:kern w:val="0"/>
          <w:szCs w:val="21"/>
          <w:highlight w:val="none"/>
        </w:rPr>
      </w:pPr>
    </w:p>
    <w:p w14:paraId="7DB8BCD1">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投标人名称：</w:t>
      </w:r>
      <w:r>
        <w:rPr>
          <w:rFonts w:hint="eastAsia" w:hAnsi="宋体" w:cs="宋体"/>
          <w:snapToGrid w:val="0"/>
          <w:color w:val="auto"/>
          <w:kern w:val="0"/>
          <w:szCs w:val="21"/>
          <w:highlight w:val="none"/>
          <w:u w:val="single"/>
        </w:rPr>
        <w:t xml:space="preserve">                  </w:t>
      </w:r>
    </w:p>
    <w:p w14:paraId="5F87A2BE">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姓名：</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性别：</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年龄：</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职务：</w:t>
      </w:r>
      <w:r>
        <w:rPr>
          <w:rFonts w:hint="eastAsia" w:hAnsi="宋体" w:cs="宋体"/>
          <w:snapToGrid w:val="0"/>
          <w:color w:val="auto"/>
          <w:kern w:val="0"/>
          <w:szCs w:val="21"/>
          <w:highlight w:val="none"/>
          <w:u w:val="single"/>
        </w:rPr>
        <w:t xml:space="preserve">           </w:t>
      </w:r>
    </w:p>
    <w:p w14:paraId="49E9994E">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w:t>
      </w:r>
    </w:p>
    <w:p w14:paraId="0EC840B0">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特此证明。</w:t>
      </w:r>
    </w:p>
    <w:p w14:paraId="6BD5A741">
      <w:pPr>
        <w:wordWrap w:val="0"/>
        <w:adjustRightInd w:val="0"/>
        <w:snapToGrid w:val="0"/>
        <w:spacing w:line="440" w:lineRule="exact"/>
        <w:rPr>
          <w:rFonts w:hAnsi="宋体" w:cs="宋体"/>
          <w:snapToGrid w:val="0"/>
          <w:color w:val="auto"/>
          <w:kern w:val="0"/>
          <w:szCs w:val="21"/>
          <w:highlight w:val="none"/>
        </w:rPr>
      </w:pPr>
    </w:p>
    <w:p w14:paraId="2E95E920">
      <w:pPr>
        <w:wordWrap w:val="0"/>
        <w:adjustRightInd w:val="0"/>
        <w:snapToGrid w:val="0"/>
        <w:spacing w:line="440" w:lineRule="exact"/>
        <w:rPr>
          <w:rFonts w:hAnsi="宋体" w:cs="宋体"/>
          <w:snapToGrid w:val="0"/>
          <w:color w:val="auto"/>
          <w:kern w:val="0"/>
          <w:szCs w:val="21"/>
          <w:highlight w:val="none"/>
        </w:rPr>
      </w:pPr>
    </w:p>
    <w:p w14:paraId="2BAF37F3">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投标人：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15931070">
      <w:pPr>
        <w:wordWrap w:val="0"/>
        <w:adjustRightInd w:val="0"/>
        <w:snapToGrid w:val="0"/>
        <w:spacing w:line="440" w:lineRule="exact"/>
        <w:jc w:val="right"/>
        <w:rPr>
          <w:rFonts w:hAnsi="宋体" w:cs="宋体"/>
          <w:snapToGrid w:val="0"/>
          <w:color w:val="auto"/>
          <w:kern w:val="0"/>
          <w:szCs w:val="21"/>
          <w:highlight w:val="none"/>
        </w:rPr>
      </w:pPr>
    </w:p>
    <w:p w14:paraId="4E9E006A">
      <w:pPr>
        <w:wordWrap w:val="0"/>
        <w:adjustRightInd w:val="0"/>
        <w:snapToGrid w:val="0"/>
        <w:spacing w:line="440" w:lineRule="exact"/>
        <w:jc w:val="right"/>
        <w:rPr>
          <w:rFonts w:hAnsi="宋体" w:cs="宋体"/>
          <w:snapToGrid w:val="0"/>
          <w:color w:val="auto"/>
          <w:kern w:val="0"/>
          <w:szCs w:val="21"/>
          <w:highlight w:val="none"/>
        </w:rPr>
      </w:pPr>
    </w:p>
    <w:p w14:paraId="6E1D2B4A">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7C11D6D8">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4649928B">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 xml:space="preserve">日       </w:t>
      </w:r>
    </w:p>
    <w:p w14:paraId="5AC0A295">
      <w:pPr>
        <w:wordWrap w:val="0"/>
        <w:adjustRightInd w:val="0"/>
        <w:snapToGrid w:val="0"/>
        <w:spacing w:line="440" w:lineRule="exact"/>
        <w:ind w:firstLine="240" w:firstLineChars="100"/>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76CD658E">
      <w:pPr>
        <w:wordWrap w:val="0"/>
        <w:adjustRightInd w:val="0"/>
        <w:snapToGrid w:val="0"/>
        <w:spacing w:line="440" w:lineRule="exact"/>
        <w:ind w:firstLine="240" w:firstLineChars="100"/>
        <w:rPr>
          <w:rFonts w:hAnsi="宋体" w:cs="宋体"/>
          <w:snapToGrid w:val="0"/>
          <w:color w:val="auto"/>
          <w:kern w:val="0"/>
          <w:szCs w:val="21"/>
          <w:highlight w:val="none"/>
        </w:rPr>
      </w:pPr>
    </w:p>
    <w:p w14:paraId="658B356B">
      <w:pPr>
        <w:wordWrap w:val="0"/>
        <w:adjustRightInd w:val="0"/>
        <w:snapToGrid w:val="0"/>
        <w:spacing w:line="440" w:lineRule="exact"/>
        <w:ind w:firstLine="240" w:firstLineChars="100"/>
        <w:rPr>
          <w:rFonts w:hAnsi="宋体" w:cs="宋体"/>
          <w:snapToGrid w:val="0"/>
          <w:color w:val="auto"/>
          <w:kern w:val="0"/>
          <w:szCs w:val="21"/>
          <w:highlight w:val="none"/>
        </w:rPr>
      </w:pPr>
    </w:p>
    <w:p w14:paraId="5B344952">
      <w:pPr>
        <w:wordWrap w:val="0"/>
        <w:adjustRightInd w:val="0"/>
        <w:snapToGrid w:val="0"/>
        <w:spacing w:line="440" w:lineRule="exact"/>
        <w:ind w:firstLine="720" w:firstLineChars="300"/>
        <w:rPr>
          <w:rFonts w:hAnsi="宋体" w:cs="宋体"/>
          <w:b/>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i/>
          <w:iCs/>
          <w:snapToGrid w:val="0"/>
          <w:color w:val="auto"/>
          <w:kern w:val="0"/>
          <w:szCs w:val="21"/>
          <w:highlight w:val="none"/>
        </w:rPr>
        <w:t xml:space="preserve"> </w:t>
      </w:r>
    </w:p>
    <w:p w14:paraId="1F32B462">
      <w:pPr>
        <w:wordWrap w:val="0"/>
        <w:adjustRightInd w:val="0"/>
        <w:snapToGrid w:val="0"/>
        <w:rPr>
          <w:rFonts w:hAnsi="宋体" w:cs="宋体"/>
          <w:b/>
          <w:snapToGrid w:val="0"/>
          <w:color w:val="auto"/>
          <w:kern w:val="0"/>
          <w:szCs w:val="21"/>
          <w:highlight w:val="none"/>
        </w:rPr>
      </w:pPr>
      <w:r>
        <w:rPr>
          <w:rFonts w:hint="eastAsia" w:hAnsi="宋体" w:cs="宋体"/>
          <w:b/>
          <w:snapToGrid w:val="0"/>
          <w:color w:val="auto"/>
          <w:kern w:val="0"/>
          <w:szCs w:val="21"/>
          <w:highlight w:val="none"/>
        </w:rPr>
        <mc:AlternateContent>
          <mc:Choice Requires="wps">
            <w:drawing>
              <wp:anchor distT="0" distB="0" distL="114300" distR="114300" simplePos="0" relativeHeight="251659264"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59264;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auto"/>
          <w:kern w:val="0"/>
          <w:sz w:val="28"/>
          <w:szCs w:val="28"/>
          <w:highlight w:val="none"/>
        </w:rPr>
      </w:pPr>
    </w:p>
    <w:p w14:paraId="42859630">
      <w:pPr>
        <w:wordWrap w:val="0"/>
        <w:adjustRightInd w:val="0"/>
        <w:snapToGrid w:val="0"/>
        <w:spacing w:line="480" w:lineRule="exact"/>
        <w:jc w:val="center"/>
        <w:rPr>
          <w:rFonts w:hAnsi="宋体" w:cs="宋体"/>
          <w:b/>
          <w:snapToGrid w:val="0"/>
          <w:color w:val="auto"/>
          <w:kern w:val="0"/>
          <w:sz w:val="28"/>
          <w:szCs w:val="28"/>
          <w:highlight w:val="none"/>
        </w:rPr>
      </w:pPr>
    </w:p>
    <w:p w14:paraId="67FF2234">
      <w:pPr>
        <w:wordWrap w:val="0"/>
        <w:adjustRightInd w:val="0"/>
        <w:snapToGrid w:val="0"/>
        <w:spacing w:line="480" w:lineRule="exact"/>
        <w:jc w:val="center"/>
        <w:rPr>
          <w:rFonts w:hAnsi="宋体" w:cs="宋体"/>
          <w:b/>
          <w:snapToGrid w:val="0"/>
          <w:color w:val="auto"/>
          <w:kern w:val="0"/>
          <w:sz w:val="28"/>
          <w:szCs w:val="28"/>
          <w:highlight w:val="none"/>
        </w:rPr>
      </w:pPr>
    </w:p>
    <w:p w14:paraId="75D1150B">
      <w:pPr>
        <w:wordWrap w:val="0"/>
        <w:adjustRightInd w:val="0"/>
        <w:snapToGrid w:val="0"/>
        <w:spacing w:line="480" w:lineRule="exact"/>
        <w:jc w:val="center"/>
        <w:rPr>
          <w:rFonts w:hAnsi="宋体" w:cs="宋体"/>
          <w:b/>
          <w:snapToGrid w:val="0"/>
          <w:color w:val="auto"/>
          <w:kern w:val="0"/>
          <w:sz w:val="28"/>
          <w:szCs w:val="28"/>
          <w:highlight w:val="none"/>
        </w:rPr>
        <w:sectPr>
          <w:endnotePr>
            <w:numFmt w:val="decimal"/>
          </w:endnotePr>
          <w:pgSz w:w="11906" w:h="16838"/>
          <w:pgMar w:top="1417" w:right="1417" w:bottom="1417" w:left="1417" w:header="850" w:footer="992" w:gutter="0"/>
          <w:cols w:space="0" w:num="1"/>
          <w:docGrid w:linePitch="327" w:charSpace="0"/>
        </w:sectPr>
      </w:pPr>
    </w:p>
    <w:p w14:paraId="27DA5F30">
      <w:pPr>
        <w:wordWrap w:val="0"/>
        <w:adjustRightInd w:val="0"/>
        <w:snapToGrid w:val="0"/>
        <w:spacing w:line="440" w:lineRule="exact"/>
        <w:outlineLvl w:val="1"/>
        <w:rPr>
          <w:rFonts w:hAnsi="宋体" w:cs="宋体"/>
          <w:b/>
          <w:bCs/>
          <w:snapToGrid w:val="0"/>
          <w:color w:val="auto"/>
          <w:kern w:val="0"/>
          <w:szCs w:val="24"/>
          <w:highlight w:val="none"/>
        </w:rPr>
      </w:pPr>
      <w:bookmarkStart w:id="324" w:name="_Toc17939"/>
      <w:r>
        <w:rPr>
          <w:rFonts w:hint="eastAsia" w:hAnsi="宋体" w:cs="宋体"/>
          <w:b/>
          <w:bCs/>
          <w:snapToGrid w:val="0"/>
          <w:color w:val="auto"/>
          <w:kern w:val="0"/>
          <w:szCs w:val="24"/>
          <w:highlight w:val="none"/>
        </w:rPr>
        <w:t>格式六 投标人基本情况表</w:t>
      </w:r>
      <w:bookmarkEnd w:id="324"/>
    </w:p>
    <w:p w14:paraId="3C45457B">
      <w:pPr>
        <w:pStyle w:val="72"/>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投标人基本情况表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投标人名称</w:t>
            </w:r>
          </w:p>
        </w:tc>
        <w:tc>
          <w:tcPr>
            <w:tcW w:w="7020" w:type="dxa"/>
            <w:gridSpan w:val="8"/>
            <w:vAlign w:val="center"/>
          </w:tcPr>
          <w:p w14:paraId="29F5C9C3">
            <w:pPr>
              <w:pStyle w:val="136"/>
              <w:wordWrap w:val="0"/>
              <w:adjustRightInd w:val="0"/>
              <w:snapToGrid w:val="0"/>
              <w:jc w:val="center"/>
              <w:rPr>
                <w:rFonts w:ascii="宋体" w:hAnsi="宋体" w:cs="宋体"/>
                <w:snapToGrid w:val="0"/>
                <w:color w:val="auto"/>
                <w:kern w:val="0"/>
                <w:szCs w:val="21"/>
                <w:highlight w:val="none"/>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注册地址</w:t>
            </w:r>
          </w:p>
        </w:tc>
        <w:tc>
          <w:tcPr>
            <w:tcW w:w="3389" w:type="dxa"/>
            <w:gridSpan w:val="3"/>
            <w:vAlign w:val="center"/>
          </w:tcPr>
          <w:p w14:paraId="41522393">
            <w:pPr>
              <w:pStyle w:val="136"/>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0BEA5ED6">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邮政编码</w:t>
            </w:r>
          </w:p>
        </w:tc>
        <w:tc>
          <w:tcPr>
            <w:tcW w:w="2385" w:type="dxa"/>
            <w:gridSpan w:val="3"/>
            <w:vAlign w:val="center"/>
          </w:tcPr>
          <w:p w14:paraId="515E2314">
            <w:pPr>
              <w:pStyle w:val="136"/>
              <w:wordWrap w:val="0"/>
              <w:adjustRightInd w:val="0"/>
              <w:snapToGrid w:val="0"/>
              <w:jc w:val="center"/>
              <w:rPr>
                <w:rFonts w:ascii="宋体" w:hAnsi="宋体" w:cs="宋体"/>
                <w:snapToGrid w:val="0"/>
                <w:color w:val="auto"/>
                <w:kern w:val="0"/>
                <w:szCs w:val="21"/>
                <w:highlight w:val="none"/>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p>
        </w:tc>
        <w:tc>
          <w:tcPr>
            <w:tcW w:w="897" w:type="dxa"/>
            <w:vAlign w:val="center"/>
          </w:tcPr>
          <w:p w14:paraId="75946708">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p>
        </w:tc>
        <w:tc>
          <w:tcPr>
            <w:tcW w:w="2492" w:type="dxa"/>
            <w:gridSpan w:val="2"/>
            <w:vAlign w:val="center"/>
          </w:tcPr>
          <w:p w14:paraId="164B535F">
            <w:pPr>
              <w:pStyle w:val="136"/>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7B9898D">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  话</w:t>
            </w:r>
          </w:p>
        </w:tc>
        <w:tc>
          <w:tcPr>
            <w:tcW w:w="2385" w:type="dxa"/>
            <w:gridSpan w:val="3"/>
            <w:vAlign w:val="center"/>
          </w:tcPr>
          <w:p w14:paraId="137FBF1E">
            <w:pPr>
              <w:pStyle w:val="136"/>
              <w:wordWrap w:val="0"/>
              <w:adjustRightInd w:val="0"/>
              <w:snapToGrid w:val="0"/>
              <w:jc w:val="center"/>
              <w:rPr>
                <w:rFonts w:ascii="宋体" w:hAnsi="宋体" w:cs="宋体"/>
                <w:snapToGrid w:val="0"/>
                <w:color w:val="auto"/>
                <w:kern w:val="0"/>
                <w:szCs w:val="21"/>
                <w:highlight w:val="none"/>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6"/>
              <w:wordWrap w:val="0"/>
              <w:adjustRightInd w:val="0"/>
              <w:snapToGrid w:val="0"/>
              <w:jc w:val="center"/>
              <w:rPr>
                <w:rFonts w:ascii="宋体" w:hAnsi="宋体" w:cs="宋体"/>
                <w:snapToGrid w:val="0"/>
                <w:color w:val="auto"/>
                <w:kern w:val="0"/>
                <w:szCs w:val="21"/>
                <w:highlight w:val="none"/>
              </w:rPr>
            </w:pPr>
          </w:p>
        </w:tc>
        <w:tc>
          <w:tcPr>
            <w:tcW w:w="897" w:type="dxa"/>
            <w:vAlign w:val="center"/>
          </w:tcPr>
          <w:p w14:paraId="321DEB8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传  真</w:t>
            </w:r>
          </w:p>
        </w:tc>
        <w:tc>
          <w:tcPr>
            <w:tcW w:w="2492" w:type="dxa"/>
            <w:gridSpan w:val="2"/>
            <w:vAlign w:val="center"/>
          </w:tcPr>
          <w:p w14:paraId="4DCC7DF0">
            <w:pPr>
              <w:pStyle w:val="136"/>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0A861B3">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电子邮箱</w:t>
            </w:r>
          </w:p>
        </w:tc>
        <w:tc>
          <w:tcPr>
            <w:tcW w:w="2385" w:type="dxa"/>
            <w:gridSpan w:val="3"/>
            <w:vAlign w:val="center"/>
          </w:tcPr>
          <w:p w14:paraId="2B81EB7B">
            <w:pPr>
              <w:pStyle w:val="136"/>
              <w:wordWrap w:val="0"/>
              <w:adjustRightInd w:val="0"/>
              <w:snapToGrid w:val="0"/>
              <w:jc w:val="center"/>
              <w:rPr>
                <w:rFonts w:ascii="宋体" w:hAnsi="宋体" w:cs="宋体"/>
                <w:snapToGrid w:val="0"/>
                <w:color w:val="auto"/>
                <w:kern w:val="0"/>
                <w:szCs w:val="21"/>
                <w:highlight w:val="none"/>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法定代表人</w:t>
            </w:r>
          </w:p>
        </w:tc>
        <w:tc>
          <w:tcPr>
            <w:tcW w:w="897" w:type="dxa"/>
            <w:vAlign w:val="center"/>
          </w:tcPr>
          <w:p w14:paraId="7308E285">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01032AE9">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07229148">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7AD6FF43">
            <w:pPr>
              <w:pStyle w:val="136"/>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6E7CBB9E">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44831199">
            <w:pPr>
              <w:pStyle w:val="136"/>
              <w:wordWrap w:val="0"/>
              <w:adjustRightInd w:val="0"/>
              <w:snapToGrid w:val="0"/>
              <w:jc w:val="center"/>
              <w:rPr>
                <w:rFonts w:ascii="宋体" w:hAnsi="宋体" w:cs="宋体"/>
                <w:snapToGrid w:val="0"/>
                <w:color w:val="auto"/>
                <w:kern w:val="0"/>
                <w:szCs w:val="21"/>
                <w:highlight w:val="none"/>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技术负责人</w:t>
            </w:r>
          </w:p>
        </w:tc>
        <w:tc>
          <w:tcPr>
            <w:tcW w:w="897" w:type="dxa"/>
            <w:vAlign w:val="center"/>
          </w:tcPr>
          <w:p w14:paraId="2CF40332">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4F32A38E">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76373BE1">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414D5E8B">
            <w:pPr>
              <w:pStyle w:val="136"/>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25D8523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300E4877">
            <w:pPr>
              <w:pStyle w:val="136"/>
              <w:wordWrap w:val="0"/>
              <w:adjustRightInd w:val="0"/>
              <w:snapToGrid w:val="0"/>
              <w:jc w:val="center"/>
              <w:rPr>
                <w:rFonts w:ascii="宋体" w:hAnsi="宋体" w:cs="宋体"/>
                <w:snapToGrid w:val="0"/>
                <w:color w:val="auto"/>
                <w:kern w:val="0"/>
                <w:szCs w:val="21"/>
                <w:highlight w:val="none"/>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成立日期</w:t>
            </w:r>
          </w:p>
        </w:tc>
        <w:tc>
          <w:tcPr>
            <w:tcW w:w="2586" w:type="dxa"/>
            <w:gridSpan w:val="2"/>
            <w:vAlign w:val="center"/>
          </w:tcPr>
          <w:p w14:paraId="31845C08">
            <w:pPr>
              <w:pStyle w:val="136"/>
              <w:wordWrap w:val="0"/>
              <w:adjustRightInd w:val="0"/>
              <w:snapToGrid w:val="0"/>
              <w:jc w:val="center"/>
              <w:rPr>
                <w:rFonts w:ascii="宋体" w:hAnsi="宋体" w:cs="宋体"/>
                <w:snapToGrid w:val="0"/>
                <w:color w:val="auto"/>
                <w:kern w:val="0"/>
                <w:szCs w:val="21"/>
                <w:highlight w:val="none"/>
              </w:rPr>
            </w:pPr>
          </w:p>
        </w:tc>
        <w:tc>
          <w:tcPr>
            <w:tcW w:w="4434" w:type="dxa"/>
            <w:gridSpan w:val="6"/>
            <w:vAlign w:val="center"/>
          </w:tcPr>
          <w:p w14:paraId="5488CAEC">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企业资质</w:t>
            </w:r>
          </w:p>
          <w:p w14:paraId="70FDE49A">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类型和等级</w:t>
            </w:r>
          </w:p>
        </w:tc>
        <w:tc>
          <w:tcPr>
            <w:tcW w:w="2586" w:type="dxa"/>
            <w:gridSpan w:val="2"/>
            <w:vAlign w:val="center"/>
          </w:tcPr>
          <w:p w14:paraId="3FBBCF9F">
            <w:pPr>
              <w:pStyle w:val="136"/>
              <w:wordWrap w:val="0"/>
              <w:adjustRightInd w:val="0"/>
              <w:snapToGrid w:val="0"/>
              <w:jc w:val="left"/>
              <w:rPr>
                <w:rFonts w:ascii="宋体" w:hAnsi="宋体" w:cs="宋体"/>
                <w:snapToGrid w:val="0"/>
                <w:color w:val="auto"/>
                <w:kern w:val="0"/>
                <w:szCs w:val="21"/>
                <w:highlight w:val="none"/>
              </w:rPr>
            </w:pPr>
          </w:p>
        </w:tc>
        <w:tc>
          <w:tcPr>
            <w:tcW w:w="1089" w:type="dxa"/>
            <w:gridSpan w:val="2"/>
            <w:vMerge w:val="restart"/>
            <w:vAlign w:val="center"/>
          </w:tcPr>
          <w:p w14:paraId="53F8BA96">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其中</w:t>
            </w:r>
          </w:p>
        </w:tc>
        <w:tc>
          <w:tcPr>
            <w:tcW w:w="1929" w:type="dxa"/>
            <w:gridSpan w:val="3"/>
            <w:vAlign w:val="center"/>
          </w:tcPr>
          <w:p w14:paraId="13106D98">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各类注册人员</w:t>
            </w:r>
          </w:p>
        </w:tc>
        <w:tc>
          <w:tcPr>
            <w:tcW w:w="1416" w:type="dxa"/>
            <w:vAlign w:val="center"/>
          </w:tcPr>
          <w:p w14:paraId="66A45836">
            <w:pPr>
              <w:pStyle w:val="136"/>
              <w:wordWrap w:val="0"/>
              <w:adjustRightInd w:val="0"/>
              <w:snapToGrid w:val="0"/>
              <w:jc w:val="center"/>
              <w:rPr>
                <w:rFonts w:ascii="宋体" w:hAnsi="宋体" w:cs="宋体"/>
                <w:snapToGrid w:val="0"/>
                <w:color w:val="auto"/>
                <w:kern w:val="0"/>
                <w:szCs w:val="21"/>
                <w:highlight w:val="none"/>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营业执照号</w:t>
            </w:r>
          </w:p>
        </w:tc>
        <w:tc>
          <w:tcPr>
            <w:tcW w:w="2586" w:type="dxa"/>
            <w:gridSpan w:val="2"/>
            <w:vAlign w:val="center"/>
          </w:tcPr>
          <w:p w14:paraId="537F167F">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2FE95C77">
            <w:pPr>
              <w:pStyle w:val="136"/>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58F77C7C">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高级职称人员</w:t>
            </w:r>
          </w:p>
        </w:tc>
        <w:tc>
          <w:tcPr>
            <w:tcW w:w="1416" w:type="dxa"/>
            <w:vAlign w:val="center"/>
          </w:tcPr>
          <w:p w14:paraId="6727EBCF">
            <w:pPr>
              <w:pStyle w:val="136"/>
              <w:wordWrap w:val="0"/>
              <w:adjustRightInd w:val="0"/>
              <w:snapToGrid w:val="0"/>
              <w:jc w:val="center"/>
              <w:rPr>
                <w:rFonts w:ascii="宋体" w:hAnsi="宋体" w:cs="宋体"/>
                <w:snapToGrid w:val="0"/>
                <w:color w:val="auto"/>
                <w:kern w:val="0"/>
                <w:szCs w:val="21"/>
                <w:highlight w:val="none"/>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注册资金</w:t>
            </w:r>
          </w:p>
        </w:tc>
        <w:tc>
          <w:tcPr>
            <w:tcW w:w="2586" w:type="dxa"/>
            <w:gridSpan w:val="2"/>
            <w:vAlign w:val="center"/>
          </w:tcPr>
          <w:p w14:paraId="6B4F28EE">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339F6456">
            <w:pPr>
              <w:pStyle w:val="136"/>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099C1C60">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中级职称人员</w:t>
            </w:r>
          </w:p>
        </w:tc>
        <w:tc>
          <w:tcPr>
            <w:tcW w:w="1416" w:type="dxa"/>
            <w:vAlign w:val="center"/>
          </w:tcPr>
          <w:p w14:paraId="5467645F">
            <w:pPr>
              <w:pStyle w:val="136"/>
              <w:wordWrap w:val="0"/>
              <w:adjustRightInd w:val="0"/>
              <w:snapToGrid w:val="0"/>
              <w:jc w:val="center"/>
              <w:rPr>
                <w:rFonts w:ascii="宋体" w:hAnsi="宋体" w:cs="宋体"/>
                <w:snapToGrid w:val="0"/>
                <w:color w:val="auto"/>
                <w:kern w:val="0"/>
                <w:szCs w:val="21"/>
                <w:highlight w:val="none"/>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66D98136">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开户银行</w:t>
            </w:r>
          </w:p>
        </w:tc>
        <w:tc>
          <w:tcPr>
            <w:tcW w:w="2586" w:type="dxa"/>
            <w:gridSpan w:val="2"/>
            <w:vAlign w:val="center"/>
          </w:tcPr>
          <w:p w14:paraId="531EB950">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6FB92093">
            <w:pPr>
              <w:pStyle w:val="136"/>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7786B5B6">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初级职称人员</w:t>
            </w:r>
          </w:p>
        </w:tc>
        <w:tc>
          <w:tcPr>
            <w:tcW w:w="1416" w:type="dxa"/>
            <w:vAlign w:val="center"/>
          </w:tcPr>
          <w:p w14:paraId="5AAF3BA2">
            <w:pPr>
              <w:pStyle w:val="136"/>
              <w:wordWrap w:val="0"/>
              <w:adjustRightInd w:val="0"/>
              <w:snapToGrid w:val="0"/>
              <w:jc w:val="center"/>
              <w:rPr>
                <w:rFonts w:ascii="宋体" w:hAnsi="宋体" w:cs="宋体"/>
                <w:snapToGrid w:val="0"/>
                <w:color w:val="auto"/>
                <w:kern w:val="0"/>
                <w:szCs w:val="21"/>
                <w:highlight w:val="none"/>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41FAD386">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银行账号</w:t>
            </w:r>
          </w:p>
        </w:tc>
        <w:tc>
          <w:tcPr>
            <w:tcW w:w="2586" w:type="dxa"/>
            <w:gridSpan w:val="2"/>
            <w:vAlign w:val="center"/>
          </w:tcPr>
          <w:p w14:paraId="5F82E5BB">
            <w:pPr>
              <w:pStyle w:val="136"/>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4376DF60">
            <w:pPr>
              <w:pStyle w:val="136"/>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4671252B">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技术员</w:t>
            </w:r>
          </w:p>
        </w:tc>
        <w:tc>
          <w:tcPr>
            <w:tcW w:w="1416" w:type="dxa"/>
            <w:vAlign w:val="center"/>
          </w:tcPr>
          <w:p w14:paraId="5F52F934">
            <w:pPr>
              <w:pStyle w:val="136"/>
              <w:wordWrap w:val="0"/>
              <w:adjustRightInd w:val="0"/>
              <w:snapToGrid w:val="0"/>
              <w:jc w:val="center"/>
              <w:rPr>
                <w:rFonts w:ascii="宋体" w:hAnsi="宋体" w:cs="宋体"/>
                <w:snapToGrid w:val="0"/>
                <w:color w:val="auto"/>
                <w:kern w:val="0"/>
                <w:szCs w:val="21"/>
                <w:highlight w:val="none"/>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经营范围</w:t>
            </w:r>
          </w:p>
        </w:tc>
        <w:tc>
          <w:tcPr>
            <w:tcW w:w="7020" w:type="dxa"/>
            <w:gridSpan w:val="8"/>
            <w:vAlign w:val="center"/>
          </w:tcPr>
          <w:p w14:paraId="28B3173C">
            <w:pPr>
              <w:pStyle w:val="136"/>
              <w:wordWrap w:val="0"/>
              <w:adjustRightInd w:val="0"/>
              <w:snapToGrid w:val="0"/>
              <w:jc w:val="center"/>
              <w:rPr>
                <w:rFonts w:ascii="宋体" w:hAnsi="宋体" w:cs="宋体"/>
                <w:snapToGrid w:val="0"/>
                <w:color w:val="auto"/>
                <w:kern w:val="0"/>
                <w:szCs w:val="21"/>
                <w:highlight w:val="none"/>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关联企业情况</w:t>
            </w:r>
          </w:p>
        </w:tc>
        <w:tc>
          <w:tcPr>
            <w:tcW w:w="7020" w:type="dxa"/>
            <w:gridSpan w:val="8"/>
            <w:vAlign w:val="center"/>
          </w:tcPr>
          <w:p w14:paraId="627CBE37">
            <w:pPr>
              <w:pStyle w:val="136"/>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包括但不限于与投标人存在以下关系的不同单位：</w:t>
            </w:r>
          </w:p>
          <w:p w14:paraId="78866B0F">
            <w:pPr>
              <w:pStyle w:val="136"/>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1．法定代表人为同一人的。</w:t>
            </w:r>
          </w:p>
          <w:p w14:paraId="2B8DF13B">
            <w:pPr>
              <w:pStyle w:val="136"/>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2．存在控股、管理关系的。</w:t>
            </w:r>
          </w:p>
          <w:p w14:paraId="78C5A631">
            <w:pPr>
              <w:pStyle w:val="136"/>
              <w:wordWrap w:val="0"/>
              <w:adjustRightInd w:val="0"/>
              <w:snapToGrid w:val="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c>
          <w:tcPr>
            <w:tcW w:w="7020" w:type="dxa"/>
            <w:gridSpan w:val="8"/>
            <w:vAlign w:val="center"/>
          </w:tcPr>
          <w:p w14:paraId="0B7A9410">
            <w:pPr>
              <w:pStyle w:val="136"/>
              <w:wordWrap w:val="0"/>
              <w:adjustRightInd w:val="0"/>
              <w:snapToGrid w:val="0"/>
              <w:jc w:val="center"/>
              <w:rPr>
                <w:rFonts w:ascii="宋体" w:hAnsi="宋体" w:cs="宋体"/>
                <w:snapToGrid w:val="0"/>
                <w:color w:val="auto"/>
                <w:kern w:val="0"/>
                <w:szCs w:val="21"/>
                <w:highlight w:val="none"/>
              </w:rPr>
            </w:pPr>
          </w:p>
        </w:tc>
      </w:tr>
    </w:tbl>
    <w:p w14:paraId="31CF04E5">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8B0DF88">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1．《投标人基本情况表》后应附以下资料：</w:t>
      </w:r>
    </w:p>
    <w:p w14:paraId="77700285">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（1）企业营业执照、资质证书</w:t>
      </w:r>
      <w:r>
        <w:rPr>
          <w:rFonts w:hint="eastAsia" w:ascii="宋体" w:hAnsi="宋体" w:cs="宋体"/>
          <w:snapToGrid w:val="0"/>
          <w:color w:val="auto"/>
          <w:kern w:val="0"/>
          <w:szCs w:val="21"/>
          <w:highlight w:val="none"/>
          <w:lang w:val="en-US" w:eastAsia="zh-CN"/>
        </w:rPr>
        <w:t>彩色</w:t>
      </w:r>
      <w:r>
        <w:rPr>
          <w:rFonts w:hint="eastAsia" w:ascii="宋体" w:hAnsi="宋体" w:cs="宋体"/>
          <w:snapToGrid w:val="0"/>
          <w:color w:val="auto"/>
          <w:kern w:val="0"/>
          <w:szCs w:val="21"/>
          <w:highlight w:val="none"/>
        </w:rPr>
        <w:t>扫描件（因推行电子证照，企业的营业执照、资质证书等可以提供电子证照）；</w:t>
      </w:r>
    </w:p>
    <w:p w14:paraId="3B9DB170">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highlight w:val="none"/>
        </w:rPr>
        <w:t>“进粤企业和人员诚信信息登记平台”企业信息情况打印页。（适用于省外企业）</w:t>
      </w:r>
      <w:r>
        <w:rPr>
          <w:rFonts w:hint="eastAsia" w:ascii="宋体" w:hAnsi="宋体" w:cs="宋体"/>
          <w:snapToGrid w:val="0"/>
          <w:color w:val="auto"/>
          <w:kern w:val="0"/>
          <w:szCs w:val="21"/>
          <w:highlight w:val="none"/>
        </w:rPr>
        <w:t>。</w:t>
      </w:r>
    </w:p>
    <w:p w14:paraId="6A573612">
      <w:pPr>
        <w:pStyle w:val="72"/>
        <w:widowControl w:val="0"/>
        <w:wordWrap w:val="0"/>
        <w:adjustRightInd w:val="0"/>
        <w:snapToGrid w:val="0"/>
        <w:spacing w:line="400" w:lineRule="exact"/>
        <w:rPr>
          <w:rFonts w:hAnsi="宋体" w:cs="宋体"/>
          <w:snapToGrid w:val="0"/>
          <w:color w:val="auto"/>
          <w:sz w:val="21"/>
          <w:szCs w:val="21"/>
          <w:highlight w:val="none"/>
        </w:rPr>
      </w:pPr>
      <w:r>
        <w:rPr>
          <w:rFonts w:hint="eastAsia" w:hAnsi="宋体" w:cs="宋体"/>
          <w:snapToGrid w:val="0"/>
          <w:color w:val="auto"/>
          <w:sz w:val="21"/>
          <w:szCs w:val="21"/>
          <w:highlight w:val="none"/>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auto"/>
          <w:kern w:val="0"/>
          <w:highlight w:val="none"/>
        </w:rPr>
      </w:pPr>
      <w:bookmarkStart w:id="325" w:name="_Toc11472"/>
      <w:r>
        <w:rPr>
          <w:rFonts w:hint="eastAsia" w:hAnsi="宋体" w:cs="宋体"/>
          <w:b/>
          <w:snapToGrid w:val="0"/>
          <w:color w:val="auto"/>
          <w:kern w:val="0"/>
          <w:highlight w:val="none"/>
        </w:rPr>
        <w:t>格式七  总监理工程师任职声明（适用于无任职项目）</w:t>
      </w:r>
      <w:bookmarkEnd w:id="325"/>
    </w:p>
    <w:p w14:paraId="6FD021E2">
      <w:pPr>
        <w:wordWrap w:val="0"/>
        <w:adjustRightInd w:val="0"/>
        <w:snapToGrid w:val="0"/>
        <w:spacing w:line="440" w:lineRule="exact"/>
        <w:jc w:val="left"/>
        <w:rPr>
          <w:rFonts w:hAnsi="宋体" w:cs="宋体"/>
          <w:b/>
          <w:snapToGrid w:val="0"/>
          <w:color w:val="auto"/>
          <w:kern w:val="0"/>
          <w:highlight w:val="none"/>
        </w:rPr>
      </w:pPr>
    </w:p>
    <w:p w14:paraId="7734BDAC">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F3A4633">
      <w:pPr>
        <w:wordWrap w:val="0"/>
        <w:adjustRightInd w:val="0"/>
        <w:snapToGrid w:val="0"/>
        <w:spacing w:line="440" w:lineRule="exact"/>
        <w:jc w:val="center"/>
        <w:rPr>
          <w:rFonts w:hAnsi="宋体" w:cs="宋体"/>
          <w:snapToGrid w:val="0"/>
          <w:color w:val="auto"/>
          <w:kern w:val="0"/>
          <w:szCs w:val="28"/>
          <w:highlight w:val="none"/>
        </w:rPr>
      </w:pPr>
    </w:p>
    <w:p w14:paraId="14B6B195">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392868E0">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36EB755F">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特此承诺　　</w:t>
      </w:r>
    </w:p>
    <w:p w14:paraId="699B7C56">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244A9EE">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FB105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2A604D50">
      <w:pPr>
        <w:wordWrap w:val="0"/>
        <w:adjustRightInd w:val="0"/>
        <w:snapToGrid w:val="0"/>
        <w:spacing w:line="440" w:lineRule="exact"/>
        <w:jc w:val="right"/>
        <w:rPr>
          <w:rFonts w:hAnsi="宋体" w:cs="宋体"/>
          <w:snapToGrid w:val="0"/>
          <w:color w:val="auto"/>
          <w:kern w:val="0"/>
          <w:szCs w:val="28"/>
          <w:highlight w:val="none"/>
        </w:rPr>
      </w:pPr>
    </w:p>
    <w:p w14:paraId="71BB53AD">
      <w:pPr>
        <w:wordWrap w:val="0"/>
        <w:adjustRightInd w:val="0"/>
        <w:snapToGrid w:val="0"/>
        <w:spacing w:line="440" w:lineRule="exact"/>
        <w:jc w:val="right"/>
        <w:rPr>
          <w:rFonts w:hAnsi="宋体" w:cs="宋体"/>
          <w:snapToGrid w:val="0"/>
          <w:color w:val="auto"/>
          <w:kern w:val="0"/>
          <w:szCs w:val="28"/>
          <w:highlight w:val="none"/>
        </w:rPr>
      </w:pPr>
    </w:p>
    <w:p w14:paraId="0C3A73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7AE6CC90">
      <w:pPr>
        <w:wordWrap w:val="0"/>
        <w:adjustRightInd w:val="0"/>
        <w:snapToGrid w:val="0"/>
        <w:spacing w:line="440" w:lineRule="exact"/>
        <w:jc w:val="right"/>
        <w:rPr>
          <w:rFonts w:hAnsi="宋体" w:cs="宋体"/>
          <w:snapToGrid w:val="0"/>
          <w:color w:val="auto"/>
          <w:kern w:val="0"/>
          <w:szCs w:val="28"/>
          <w:highlight w:val="none"/>
        </w:rPr>
      </w:pPr>
    </w:p>
    <w:p w14:paraId="3C9B11CD">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7BA2FE9F">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auto"/>
          <w:kern w:val="0"/>
          <w:highlight w:val="none"/>
        </w:rPr>
      </w:pPr>
      <w:bookmarkStart w:id="326" w:name="_Toc29211"/>
      <w:r>
        <w:rPr>
          <w:rFonts w:hint="eastAsia" w:hAnsi="宋体" w:cs="宋体"/>
          <w:b/>
          <w:snapToGrid w:val="0"/>
          <w:color w:val="auto"/>
          <w:kern w:val="0"/>
          <w:highlight w:val="none"/>
        </w:rPr>
        <w:t>格式八 总监理工程师任职声明（适用于有任职项目）</w:t>
      </w:r>
      <w:bookmarkEnd w:id="326"/>
    </w:p>
    <w:p w14:paraId="449B4FD5">
      <w:pPr>
        <w:wordWrap w:val="0"/>
        <w:adjustRightInd w:val="0"/>
        <w:snapToGrid w:val="0"/>
        <w:spacing w:line="440" w:lineRule="exact"/>
        <w:jc w:val="left"/>
        <w:rPr>
          <w:rFonts w:hAnsi="宋体" w:cs="宋体"/>
          <w:b/>
          <w:snapToGrid w:val="0"/>
          <w:color w:val="auto"/>
          <w:kern w:val="0"/>
          <w:highlight w:val="none"/>
        </w:rPr>
      </w:pPr>
    </w:p>
    <w:p w14:paraId="14A50C1D">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B3ED8C9">
      <w:pPr>
        <w:wordWrap w:val="0"/>
        <w:adjustRightInd w:val="0"/>
        <w:snapToGrid w:val="0"/>
        <w:spacing w:line="440" w:lineRule="exact"/>
        <w:jc w:val="center"/>
        <w:rPr>
          <w:rFonts w:hAnsi="宋体" w:cs="宋体"/>
          <w:snapToGrid w:val="0"/>
          <w:color w:val="auto"/>
          <w:kern w:val="0"/>
          <w:szCs w:val="28"/>
          <w:highlight w:val="none"/>
        </w:rPr>
      </w:pPr>
    </w:p>
    <w:p w14:paraId="45489580">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191C5186">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（总监理工程师姓名）现阶段正在担任</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1FA625A2">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特此承诺</w:t>
      </w:r>
    </w:p>
    <w:p w14:paraId="46BFCB72">
      <w:pPr>
        <w:wordWrap w:val="0"/>
        <w:adjustRightInd w:val="0"/>
        <w:snapToGrid w:val="0"/>
        <w:spacing w:line="440" w:lineRule="exact"/>
        <w:ind w:firstLine="480"/>
        <w:rPr>
          <w:rFonts w:hAnsi="宋体" w:cs="宋体"/>
          <w:snapToGrid w:val="0"/>
          <w:color w:val="auto"/>
          <w:kern w:val="0"/>
          <w:szCs w:val="28"/>
          <w:highlight w:val="none"/>
        </w:rPr>
      </w:pPr>
    </w:p>
    <w:p w14:paraId="627F814D">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47D291EC">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1B4B0533">
      <w:pPr>
        <w:wordWrap w:val="0"/>
        <w:adjustRightInd w:val="0"/>
        <w:snapToGrid w:val="0"/>
        <w:spacing w:line="440" w:lineRule="exact"/>
        <w:jc w:val="right"/>
        <w:rPr>
          <w:rFonts w:hAnsi="宋体" w:cs="宋体"/>
          <w:snapToGrid w:val="0"/>
          <w:color w:val="auto"/>
          <w:kern w:val="0"/>
          <w:szCs w:val="28"/>
          <w:highlight w:val="none"/>
        </w:rPr>
      </w:pPr>
    </w:p>
    <w:p w14:paraId="487F86BE">
      <w:pPr>
        <w:wordWrap w:val="0"/>
        <w:adjustRightInd w:val="0"/>
        <w:snapToGrid w:val="0"/>
        <w:spacing w:line="440" w:lineRule="exact"/>
        <w:jc w:val="right"/>
        <w:rPr>
          <w:rFonts w:hAnsi="宋体" w:cs="宋体"/>
          <w:snapToGrid w:val="0"/>
          <w:color w:val="auto"/>
          <w:kern w:val="0"/>
          <w:szCs w:val="28"/>
          <w:highlight w:val="none"/>
        </w:rPr>
      </w:pPr>
    </w:p>
    <w:p w14:paraId="7D65E6AD">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029F2B4C">
      <w:pPr>
        <w:wordWrap w:val="0"/>
        <w:adjustRightInd w:val="0"/>
        <w:snapToGrid w:val="0"/>
        <w:spacing w:line="440" w:lineRule="exact"/>
        <w:jc w:val="right"/>
        <w:rPr>
          <w:rFonts w:hAnsi="宋体" w:cs="宋体"/>
          <w:snapToGrid w:val="0"/>
          <w:color w:val="auto"/>
          <w:kern w:val="0"/>
          <w:szCs w:val="28"/>
          <w:highlight w:val="none"/>
        </w:rPr>
      </w:pPr>
    </w:p>
    <w:p w14:paraId="1E734F3E">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19DAFB93">
      <w:pPr>
        <w:wordWrap w:val="0"/>
        <w:adjustRightInd w:val="0"/>
        <w:snapToGrid w:val="0"/>
        <w:spacing w:line="440" w:lineRule="exact"/>
        <w:jc w:val="center"/>
        <w:rPr>
          <w:rFonts w:hAnsi="宋体" w:cs="宋体"/>
          <w:snapToGrid w:val="0"/>
          <w:color w:val="auto"/>
          <w:kern w:val="0"/>
          <w:szCs w:val="28"/>
          <w:highlight w:val="none"/>
        </w:rPr>
      </w:pPr>
    </w:p>
    <w:p w14:paraId="77D57279">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cols w:space="0" w:num="1"/>
          <w:docGrid w:linePitch="327" w:charSpace="0"/>
        </w:sectPr>
      </w:pPr>
    </w:p>
    <w:p w14:paraId="3488CF33">
      <w:pPr>
        <w:wordWrap w:val="0"/>
        <w:adjustRightInd w:val="0"/>
        <w:snapToGrid w:val="0"/>
        <w:spacing w:line="440" w:lineRule="exact"/>
        <w:outlineLvl w:val="1"/>
        <w:rPr>
          <w:rFonts w:hAnsi="宋体" w:cs="宋体"/>
          <w:b/>
          <w:bCs/>
          <w:snapToGrid w:val="0"/>
          <w:color w:val="auto"/>
          <w:kern w:val="0"/>
          <w:szCs w:val="24"/>
          <w:highlight w:val="none"/>
        </w:rPr>
      </w:pPr>
      <w:bookmarkStart w:id="327" w:name="_Toc17768"/>
      <w:r>
        <w:rPr>
          <w:rFonts w:hint="eastAsia" w:hAnsi="宋体" w:cs="宋体"/>
          <w:b/>
          <w:bCs/>
          <w:snapToGrid w:val="0"/>
          <w:color w:val="auto"/>
          <w:kern w:val="0"/>
          <w:szCs w:val="24"/>
          <w:highlight w:val="none"/>
        </w:rPr>
        <w:t>格式九 总监理工程师任职项目情况表</w:t>
      </w:r>
      <w:bookmarkEnd w:id="327"/>
    </w:p>
    <w:p w14:paraId="1C05E0FA">
      <w:pPr>
        <w:wordWrap w:val="0"/>
        <w:adjustRightInd w:val="0"/>
        <w:snapToGrid w:val="0"/>
        <w:spacing w:line="440" w:lineRule="exact"/>
        <w:rPr>
          <w:rFonts w:hAnsi="宋体" w:cs="宋体"/>
          <w:b/>
          <w:bCs/>
          <w:snapToGrid w:val="0"/>
          <w:color w:val="auto"/>
          <w:kern w:val="0"/>
          <w:szCs w:val="24"/>
          <w:highlight w:val="none"/>
        </w:rPr>
      </w:pPr>
    </w:p>
    <w:p w14:paraId="1E110BE9">
      <w:pPr>
        <w:pStyle w:val="72"/>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 xml:space="preserve"> 总监理工程师任职项目情况表（）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项目名称</w:t>
            </w:r>
          </w:p>
        </w:tc>
        <w:tc>
          <w:tcPr>
            <w:tcW w:w="2771" w:type="dxa"/>
            <w:vAlign w:val="center"/>
          </w:tcPr>
          <w:p w14:paraId="2DFCFA84">
            <w:pPr>
              <w:pStyle w:val="136"/>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6AC2BA15">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项目所在地</w:t>
            </w:r>
          </w:p>
        </w:tc>
        <w:tc>
          <w:tcPr>
            <w:tcW w:w="2594" w:type="dxa"/>
            <w:vAlign w:val="center"/>
          </w:tcPr>
          <w:p w14:paraId="24CD9F05">
            <w:pPr>
              <w:pStyle w:val="136"/>
              <w:wordWrap w:val="0"/>
              <w:adjustRightInd w:val="0"/>
              <w:snapToGrid w:val="0"/>
              <w:jc w:val="center"/>
              <w:rPr>
                <w:rFonts w:ascii="宋体" w:hAnsi="宋体" w:cs="宋体"/>
                <w:snapToGrid w:val="0"/>
                <w:color w:val="auto"/>
                <w:kern w:val="0"/>
                <w:szCs w:val="21"/>
                <w:highlight w:val="none"/>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委托人名称</w:t>
            </w:r>
          </w:p>
        </w:tc>
        <w:tc>
          <w:tcPr>
            <w:tcW w:w="2771" w:type="dxa"/>
            <w:vAlign w:val="center"/>
          </w:tcPr>
          <w:p w14:paraId="5F8E80CE">
            <w:pPr>
              <w:pStyle w:val="136"/>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1BC9377E">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委托人地址</w:t>
            </w:r>
          </w:p>
        </w:tc>
        <w:tc>
          <w:tcPr>
            <w:tcW w:w="2594" w:type="dxa"/>
            <w:vAlign w:val="center"/>
          </w:tcPr>
          <w:p w14:paraId="334897D3">
            <w:pPr>
              <w:pStyle w:val="136"/>
              <w:wordWrap w:val="0"/>
              <w:adjustRightInd w:val="0"/>
              <w:snapToGrid w:val="0"/>
              <w:jc w:val="center"/>
              <w:rPr>
                <w:rFonts w:ascii="宋体" w:hAnsi="宋体" w:cs="宋体"/>
                <w:snapToGrid w:val="0"/>
                <w:color w:val="auto"/>
                <w:kern w:val="0"/>
                <w:szCs w:val="21"/>
                <w:highlight w:val="none"/>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委托人电话</w:t>
            </w:r>
          </w:p>
        </w:tc>
        <w:tc>
          <w:tcPr>
            <w:tcW w:w="2771" w:type="dxa"/>
            <w:vAlign w:val="center"/>
          </w:tcPr>
          <w:p w14:paraId="2AAC336B">
            <w:pPr>
              <w:pStyle w:val="136"/>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0B3B45">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总监理工程师</w:t>
            </w:r>
          </w:p>
        </w:tc>
        <w:tc>
          <w:tcPr>
            <w:tcW w:w="2594" w:type="dxa"/>
            <w:vAlign w:val="center"/>
          </w:tcPr>
          <w:p w14:paraId="2993C8DD">
            <w:pPr>
              <w:pStyle w:val="136"/>
              <w:wordWrap w:val="0"/>
              <w:adjustRightInd w:val="0"/>
              <w:snapToGrid w:val="0"/>
              <w:jc w:val="center"/>
              <w:rPr>
                <w:rFonts w:ascii="宋体" w:hAnsi="宋体" w:cs="宋体"/>
                <w:snapToGrid w:val="0"/>
                <w:color w:val="auto"/>
                <w:kern w:val="0"/>
                <w:szCs w:val="21"/>
                <w:highlight w:val="none"/>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监理服务期限</w:t>
            </w:r>
          </w:p>
        </w:tc>
        <w:tc>
          <w:tcPr>
            <w:tcW w:w="2771" w:type="dxa"/>
            <w:vAlign w:val="center"/>
          </w:tcPr>
          <w:p w14:paraId="253ECA3C">
            <w:pPr>
              <w:pStyle w:val="136"/>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79C804">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监理内容</w:t>
            </w:r>
          </w:p>
        </w:tc>
        <w:tc>
          <w:tcPr>
            <w:tcW w:w="2594" w:type="dxa"/>
            <w:vAlign w:val="center"/>
          </w:tcPr>
          <w:p w14:paraId="1EEFB69A">
            <w:pPr>
              <w:pStyle w:val="136"/>
              <w:wordWrap w:val="0"/>
              <w:adjustRightInd w:val="0"/>
              <w:snapToGrid w:val="0"/>
              <w:jc w:val="center"/>
              <w:rPr>
                <w:rFonts w:ascii="宋体" w:hAnsi="宋体" w:cs="宋体"/>
                <w:snapToGrid w:val="0"/>
                <w:color w:val="auto"/>
                <w:kern w:val="0"/>
                <w:szCs w:val="21"/>
                <w:highlight w:val="none"/>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项目描述</w:t>
            </w:r>
          </w:p>
        </w:tc>
        <w:tc>
          <w:tcPr>
            <w:tcW w:w="7000" w:type="dxa"/>
            <w:gridSpan w:val="3"/>
            <w:vAlign w:val="center"/>
          </w:tcPr>
          <w:p w14:paraId="21A54D72">
            <w:pPr>
              <w:pStyle w:val="136"/>
              <w:wordWrap w:val="0"/>
              <w:adjustRightInd w:val="0"/>
              <w:snapToGrid w:val="0"/>
              <w:jc w:val="left"/>
              <w:rPr>
                <w:rFonts w:ascii="宋体" w:hAnsi="宋体" w:cs="宋体"/>
                <w:snapToGrid w:val="0"/>
                <w:color w:val="auto"/>
                <w:kern w:val="0"/>
                <w:szCs w:val="21"/>
                <w:highlight w:val="none"/>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6"/>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委托人声明</w:t>
            </w:r>
          </w:p>
        </w:tc>
        <w:tc>
          <w:tcPr>
            <w:tcW w:w="7000" w:type="dxa"/>
            <w:gridSpan w:val="3"/>
            <w:vAlign w:val="center"/>
          </w:tcPr>
          <w:p w14:paraId="418BE4BE">
            <w:pPr>
              <w:pStyle w:val="136"/>
              <w:adjustRightInd w:val="0"/>
              <w:snapToGrid w:val="0"/>
              <w:spacing w:line="360" w:lineRule="auto"/>
              <w:rPr>
                <w:rFonts w:ascii="宋体" w:hAnsi="宋体" w:cs="宋体"/>
                <w:snapToGrid w:val="0"/>
                <w:color w:val="auto"/>
                <w:kern w:val="0"/>
                <w:szCs w:val="21"/>
                <w:highlight w:val="none"/>
              </w:rPr>
            </w:pPr>
          </w:p>
          <w:p w14:paraId="602D8050">
            <w:pPr>
              <w:pStyle w:val="136"/>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致：</w:t>
            </w:r>
            <w:r>
              <w:rPr>
                <w:rFonts w:hint="eastAsia" w:ascii="宋体" w:hAnsi="宋体" w:cs="宋体"/>
                <w:snapToGrid w:val="0"/>
                <w:color w:val="auto"/>
                <w:kern w:val="0"/>
                <w:szCs w:val="21"/>
                <w:highlight w:val="none"/>
                <w:u w:val="single"/>
              </w:rPr>
              <w:t>（本招标项目招标人名称）</w:t>
            </w:r>
          </w:p>
          <w:p w14:paraId="37F7ABA7">
            <w:pPr>
              <w:pStyle w:val="136"/>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我方在此声明：</w:t>
            </w:r>
          </w:p>
          <w:p w14:paraId="221BF42B">
            <w:pPr>
              <w:pStyle w:val="136"/>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一、在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同志任我方在施项目总监理工程师期间，如果</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中标你方招标项目监理业务，在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同志目前担任总监理工程师职务的项目总数不超过两个（含我方在施项目）的前提下，我方同意其同时担任你方招标项目的总监理工程师；如果未中标，以上声明自动失效。</w:t>
            </w:r>
          </w:p>
          <w:p w14:paraId="6DBCA6A9">
            <w:pPr>
              <w:pStyle w:val="136"/>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二、无论</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同志是否担任其他建设项目的总监理工程师，</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都必须完全、严格履行我方在施项目监理合同中约定的所有义务，并确保服务内容、服务质量不得有任何减少或降低。</w:t>
            </w:r>
          </w:p>
          <w:p w14:paraId="092F9495">
            <w:pPr>
              <w:pStyle w:val="136"/>
              <w:adjustRightInd w:val="0"/>
              <w:snapToGrid w:val="0"/>
              <w:spacing w:line="360" w:lineRule="auto"/>
              <w:rPr>
                <w:rFonts w:ascii="宋体" w:hAnsi="宋体" w:cs="宋体"/>
                <w:snapToGrid w:val="0"/>
                <w:color w:val="auto"/>
                <w:kern w:val="0"/>
                <w:szCs w:val="21"/>
                <w:highlight w:val="none"/>
              </w:rPr>
            </w:pPr>
          </w:p>
          <w:p w14:paraId="2DED7437">
            <w:pPr>
              <w:pStyle w:val="136"/>
              <w:adjustRightInd w:val="0"/>
              <w:snapToGrid w:val="0"/>
              <w:spacing w:line="360" w:lineRule="auto"/>
              <w:rPr>
                <w:rFonts w:ascii="宋体" w:hAnsi="宋体" w:cs="宋体"/>
                <w:snapToGrid w:val="0"/>
                <w:color w:val="auto"/>
                <w:kern w:val="0"/>
                <w:szCs w:val="21"/>
                <w:highlight w:val="none"/>
              </w:rPr>
            </w:pPr>
          </w:p>
          <w:p w14:paraId="599D977E">
            <w:pPr>
              <w:pStyle w:val="136"/>
              <w:adjustRightInd w:val="0"/>
              <w:snapToGrid w:val="0"/>
              <w:spacing w:line="360" w:lineRule="auto"/>
              <w:jc w:val="righ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建设单位名称：</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（盖单位章）</w:t>
            </w:r>
          </w:p>
          <w:p w14:paraId="1047DB8F">
            <w:pPr>
              <w:pStyle w:val="136"/>
              <w:adjustRightInd w:val="0"/>
              <w:snapToGrid w:val="0"/>
              <w:spacing w:line="360" w:lineRule="auto"/>
              <w:jc w:val="right"/>
              <w:rPr>
                <w:rFonts w:ascii="宋体" w:hAnsi="宋体" w:cs="宋体"/>
                <w:snapToGrid w:val="0"/>
                <w:color w:val="auto"/>
                <w:kern w:val="0"/>
                <w:szCs w:val="21"/>
                <w:highlight w:val="none"/>
              </w:rPr>
            </w:pPr>
          </w:p>
          <w:p w14:paraId="36196D25">
            <w:pPr>
              <w:pStyle w:val="136"/>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XXXX年XX月XX日</w:t>
            </w:r>
          </w:p>
        </w:tc>
      </w:tr>
    </w:tbl>
    <w:p w14:paraId="01E57326">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621617A">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“任职项目”指拟派总监理工程师正在担任总监理工程师职务的在施（包括已中标未开工、已开工未竣工）建设工程项目。任职项目多于一宗的，一项目一表，并标明序号。</w:t>
      </w:r>
    </w:p>
    <w:p w14:paraId="3AD580BD">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每份情况表后应附该项目的合同协议书彩色扫描件。</w:t>
      </w:r>
    </w:p>
    <w:p w14:paraId="5D509C1C">
      <w:pPr>
        <w:pStyle w:val="136"/>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w:t>
      </w:r>
      <w:r>
        <w:rPr>
          <w:rFonts w:hint="eastAsia" w:ascii="宋体" w:hAnsi="宋体" w:cs="宋体"/>
          <w:snapToGrid w:val="0"/>
          <w:color w:val="auto"/>
          <w:kern w:val="0"/>
          <w:szCs w:val="28"/>
          <w:highlight w:val="none"/>
        </w:rPr>
        <w:t>．投标人填写本</w:t>
      </w:r>
      <w:r>
        <w:rPr>
          <w:rFonts w:hint="eastAsia" w:ascii="宋体" w:hAnsi="宋体" w:cs="宋体"/>
          <w:snapToGrid w:val="0"/>
          <w:color w:val="auto"/>
          <w:kern w:val="0"/>
          <w:szCs w:val="21"/>
          <w:highlight w:val="none"/>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auto"/>
          <w:kern w:val="0"/>
          <w:sz w:val="21"/>
          <w:szCs w:val="21"/>
          <w:highlight w:val="none"/>
        </w:rPr>
        <w:sectPr>
          <w:endnotePr>
            <w:numFmt w:val="decimal"/>
          </w:endnotePr>
          <w:pgSz w:w="11906" w:h="16838"/>
          <w:pgMar w:top="1417" w:right="1417" w:bottom="1417" w:left="1417" w:header="850" w:footer="992" w:gutter="0"/>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auto"/>
          <w:kern w:val="0"/>
          <w:szCs w:val="24"/>
          <w:highlight w:val="none"/>
        </w:rPr>
      </w:pPr>
      <w:bookmarkStart w:id="328" w:name="_Toc29412"/>
      <w:bookmarkStart w:id="329" w:name="_Toc8264"/>
      <w:bookmarkStart w:id="330" w:name="_Toc200338098"/>
      <w:r>
        <w:rPr>
          <w:rFonts w:hint="eastAsia" w:hAnsi="宋体" w:cs="宋体"/>
          <w:b/>
          <w:snapToGrid w:val="0"/>
          <w:color w:val="auto"/>
          <w:kern w:val="0"/>
          <w:highlight w:val="none"/>
        </w:rPr>
        <w:t>格式</w:t>
      </w:r>
      <w:bookmarkStart w:id="331" w:name="_Hlt287950384"/>
      <w:bookmarkEnd w:id="331"/>
      <w:r>
        <w:rPr>
          <w:rFonts w:hint="eastAsia" w:hAnsi="宋体" w:cs="宋体"/>
          <w:b/>
          <w:bCs/>
          <w:snapToGrid w:val="0"/>
          <w:color w:val="auto"/>
          <w:kern w:val="0"/>
          <w:szCs w:val="24"/>
          <w:highlight w:val="none"/>
        </w:rPr>
        <w:t>十 项目监理机构组成人员汇总表</w:t>
      </w:r>
      <w:bookmarkEnd w:id="328"/>
    </w:p>
    <w:p w14:paraId="58540D5A">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 xml:space="preserve"> 项目监理机构组成人员汇总表</w:t>
      </w:r>
    </w:p>
    <w:tbl>
      <w:tblPr>
        <w:tblStyle w:val="3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auto"/>
                <w:kern w:val="0"/>
                <w:sz w:val="21"/>
                <w:szCs w:val="21"/>
                <w:highlight w:val="none"/>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auto"/>
                <w:kern w:val="0"/>
                <w:sz w:val="21"/>
                <w:szCs w:val="21"/>
                <w:highlight w:val="none"/>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auto"/>
                <w:kern w:val="0"/>
                <w:sz w:val="21"/>
                <w:szCs w:val="21"/>
                <w:highlight w:val="none"/>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auto"/>
                <w:kern w:val="0"/>
                <w:sz w:val="21"/>
                <w:szCs w:val="21"/>
                <w:highlight w:val="none"/>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auto"/>
                <w:kern w:val="0"/>
                <w:sz w:val="21"/>
                <w:szCs w:val="21"/>
                <w:highlight w:val="none"/>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auto"/>
                <w:kern w:val="0"/>
                <w:sz w:val="21"/>
                <w:szCs w:val="21"/>
                <w:highlight w:val="none"/>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auto"/>
                <w:kern w:val="0"/>
                <w:sz w:val="21"/>
                <w:szCs w:val="21"/>
                <w:highlight w:val="none"/>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auto"/>
                <w:kern w:val="0"/>
                <w:sz w:val="21"/>
                <w:szCs w:val="21"/>
                <w:highlight w:val="none"/>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auto"/>
                <w:kern w:val="0"/>
                <w:sz w:val="21"/>
                <w:szCs w:val="21"/>
                <w:highlight w:val="none"/>
              </w:rPr>
            </w:pPr>
          </w:p>
        </w:tc>
        <w:bookmarkStart w:id="332" w:name="_Hlt68774664"/>
        <w:bookmarkStart w:id="333" w:name="_附件二十五：综合评审合理低价法"/>
        <w:bookmarkStart w:id="334" w:name="_附件二十四：技术标提问单"/>
        <w:bookmarkStart w:id="335" w:name="_Hlt69116778"/>
        <w:bookmarkStart w:id="336" w:name="_附件十：单项工程费汇总表"/>
      </w:tr>
      <w:bookmarkEnd w:id="329"/>
      <w:bookmarkEnd w:id="330"/>
      <w:bookmarkEnd w:id="332"/>
      <w:bookmarkEnd w:id="333"/>
      <w:bookmarkEnd w:id="334"/>
      <w:bookmarkEnd w:id="335"/>
      <w:bookmarkEnd w:id="336"/>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auto"/>
                <w:kern w:val="0"/>
                <w:sz w:val="21"/>
                <w:szCs w:val="21"/>
                <w:highlight w:val="none"/>
              </w:rPr>
            </w:pPr>
          </w:p>
        </w:tc>
      </w:tr>
    </w:tbl>
    <w:p w14:paraId="4CDFA701">
      <w:pPr>
        <w:pStyle w:val="72"/>
        <w:widowControl w:val="0"/>
        <w:wordWrap w:val="0"/>
        <w:adjustRightInd w:val="0"/>
        <w:snapToGrid w:val="0"/>
        <w:spacing w:line="400" w:lineRule="exact"/>
        <w:rPr>
          <w:rFonts w:hAnsi="宋体" w:cs="宋体"/>
          <w:snapToGrid w:val="0"/>
          <w:color w:val="auto"/>
          <w:sz w:val="21"/>
          <w:highlight w:val="none"/>
        </w:rPr>
      </w:pPr>
      <w:r>
        <w:rPr>
          <w:rFonts w:hint="eastAsia" w:hAnsi="宋体" w:cs="宋体"/>
          <w:snapToGrid w:val="0"/>
          <w:color w:val="auto"/>
          <w:sz w:val="21"/>
          <w:highlight w:val="none"/>
        </w:rPr>
        <w:t>说明：</w:t>
      </w:r>
    </w:p>
    <w:p w14:paraId="24312D3D">
      <w:pPr>
        <w:pStyle w:val="72"/>
        <w:widowControl w:val="0"/>
        <w:wordWrap w:val="0"/>
        <w:adjustRightInd w:val="0"/>
        <w:snapToGrid w:val="0"/>
        <w:spacing w:line="400" w:lineRule="exact"/>
        <w:rPr>
          <w:rFonts w:hAnsi="宋体" w:cs="宋体"/>
          <w:snapToGrid w:val="0"/>
          <w:color w:val="auto"/>
          <w:sz w:val="21"/>
          <w:highlight w:val="none"/>
        </w:rPr>
        <w:sectPr>
          <w:endnotePr>
            <w:numFmt w:val="decimal"/>
          </w:endnotePr>
          <w:pgSz w:w="16838" w:h="11906" w:orient="landscape"/>
          <w:pgMar w:top="1417" w:right="1417" w:bottom="1417" w:left="1417" w:header="850" w:footer="992" w:gutter="0"/>
          <w:cols w:space="0" w:num="1"/>
          <w:docGrid w:linePitch="327" w:charSpace="0"/>
        </w:sectPr>
      </w:pPr>
      <w:r>
        <w:rPr>
          <w:rFonts w:hint="eastAsia" w:hAnsi="宋体" w:cs="宋体"/>
          <w:snapToGrid w:val="0"/>
          <w:color w:val="auto"/>
          <w:sz w:val="21"/>
          <w:highlight w:val="none"/>
        </w:rPr>
        <w:t>1</w:t>
      </w:r>
      <w:r>
        <w:rPr>
          <w:rFonts w:hint="eastAsia" w:hAnsi="宋体" w:cs="宋体"/>
          <w:snapToGrid w:val="0"/>
          <w:color w:val="auto"/>
          <w:sz w:val="21"/>
          <w:szCs w:val="28"/>
          <w:highlight w:val="none"/>
        </w:rPr>
        <w:t>．表中没有或无法填写的栏目，用</w:t>
      </w:r>
      <w:r>
        <w:rPr>
          <w:rFonts w:hint="eastAsia" w:hAnsi="宋体" w:cs="宋体"/>
          <w:snapToGrid w:val="0"/>
          <w:color w:val="auto"/>
          <w:sz w:val="21"/>
          <w:highlight w:val="none"/>
        </w:rPr>
        <w:t>“/”示意。</w:t>
      </w:r>
      <w:bookmarkEnd w:id="304"/>
      <w:bookmarkEnd w:id="305"/>
      <w:bookmarkEnd w:id="306"/>
      <w:bookmarkEnd w:id="307"/>
    </w:p>
    <w:p w14:paraId="63F60130">
      <w:pPr>
        <w:pStyle w:val="148"/>
        <w:keepNext/>
        <w:keepLines/>
        <w:snapToGrid w:val="0"/>
        <w:spacing w:line="400" w:lineRule="exact"/>
        <w:jc w:val="both"/>
        <w:rPr>
          <w:rFonts w:ascii="宋体" w:hAnsi="宋体" w:cs="宋体"/>
          <w:b/>
          <w:bCs/>
          <w:snapToGrid w:val="0"/>
          <w:color w:val="auto"/>
          <w:highlight w:val="none"/>
        </w:rPr>
      </w:pPr>
      <w:bookmarkStart w:id="337" w:name="_Toc379"/>
      <w:bookmarkStart w:id="338" w:name="_Toc24916"/>
      <w:r>
        <w:rPr>
          <w:rFonts w:hint="eastAsia" w:ascii="宋体" w:hAnsi="宋体" w:cs="宋体"/>
          <w:b/>
          <w:bCs/>
          <w:snapToGrid w:val="0"/>
          <w:color w:val="auto"/>
          <w:highlight w:val="none"/>
        </w:rPr>
        <w:t>格式十一  总监理工程师简历表</w:t>
      </w:r>
      <w:bookmarkEnd w:id="337"/>
      <w:bookmarkEnd w:id="338"/>
    </w:p>
    <w:p w14:paraId="6461E15D">
      <w:pPr>
        <w:adjustRightInd w:val="0"/>
        <w:snapToGrid w:val="0"/>
        <w:spacing w:line="400" w:lineRule="exact"/>
        <w:jc w:val="center"/>
        <w:rPr>
          <w:rFonts w:hAnsi="宋体" w:cs="宋体"/>
          <w:b/>
          <w:bCs/>
          <w:color w:val="auto"/>
          <w:sz w:val="32"/>
          <w:szCs w:val="22"/>
          <w:highlight w:val="none"/>
        </w:rPr>
      </w:pPr>
    </w:p>
    <w:p w14:paraId="13A99F0A">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总监理工程师简历表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auto"/>
                <w:kern w:val="0"/>
                <w:sz w:val="21"/>
                <w:szCs w:val="21"/>
                <w:highlight w:val="none"/>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auto"/>
                <w:kern w:val="0"/>
                <w:sz w:val="21"/>
                <w:szCs w:val="21"/>
                <w:highlight w:val="none"/>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auto"/>
                <w:kern w:val="0"/>
                <w:sz w:val="21"/>
                <w:szCs w:val="21"/>
                <w:highlight w:val="none"/>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auto"/>
                <w:kern w:val="0"/>
                <w:sz w:val="21"/>
                <w:szCs w:val="21"/>
                <w:highlight w:val="none"/>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auto"/>
                <w:kern w:val="0"/>
                <w:sz w:val="21"/>
                <w:szCs w:val="21"/>
                <w:highlight w:val="none"/>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auto"/>
                <w:kern w:val="0"/>
                <w:sz w:val="21"/>
                <w:szCs w:val="21"/>
                <w:highlight w:val="none"/>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auto"/>
                <w:kern w:val="0"/>
                <w:sz w:val="21"/>
                <w:szCs w:val="21"/>
                <w:highlight w:val="none"/>
              </w:rPr>
            </w:pPr>
          </w:p>
        </w:tc>
      </w:tr>
    </w:tbl>
    <w:p w14:paraId="05AF772E">
      <w:pPr>
        <w:adjustRightInd w:val="0"/>
        <w:snapToGrid w:val="0"/>
        <w:spacing w:line="400" w:lineRule="exact"/>
        <w:rPr>
          <w:rFonts w:hAnsi="宋体" w:cs="宋体"/>
          <w:color w:val="auto"/>
          <w:highlight w:val="none"/>
        </w:rPr>
      </w:pPr>
    </w:p>
    <w:p w14:paraId="55649CDC">
      <w:pPr>
        <w:pStyle w:val="73"/>
        <w:wordWrap w:val="0"/>
        <w:adjustRightInd w:val="0"/>
        <w:snapToGrid w:val="0"/>
        <w:spacing w:line="400" w:lineRule="exact"/>
        <w:jc w:val="right"/>
        <w:rPr>
          <w:rFonts w:hAnsi="宋体" w:cs="宋体"/>
          <w:snapToGrid w:val="0"/>
          <w:color w:val="auto"/>
          <w:kern w:val="0"/>
          <w:highlight w:val="none"/>
        </w:rPr>
      </w:pPr>
    </w:p>
    <w:p w14:paraId="5212B167">
      <w:pPr>
        <w:pStyle w:val="73"/>
        <w:wordWrap w:val="0"/>
        <w:adjustRightInd w:val="0"/>
        <w:snapToGrid w:val="0"/>
        <w:spacing w:line="400" w:lineRule="exact"/>
        <w:jc w:val="right"/>
        <w:rPr>
          <w:rFonts w:hAnsi="宋体" w:cs="宋体"/>
          <w:snapToGrid w:val="0"/>
          <w:color w:val="auto"/>
          <w:kern w:val="0"/>
          <w:highlight w:val="none"/>
        </w:rPr>
      </w:pPr>
      <w:r>
        <w:rPr>
          <w:rFonts w:hint="eastAsia" w:hAnsi="宋体" w:cs="宋体"/>
          <w:snapToGrid w:val="0"/>
          <w:color w:val="auto"/>
          <w:kern w:val="0"/>
          <w:highlight w:val="none"/>
        </w:rPr>
        <w:t>总监理工程师：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（签字）</w:t>
      </w:r>
    </w:p>
    <w:p w14:paraId="0C2580C4">
      <w:pPr>
        <w:pStyle w:val="73"/>
        <w:wordWrap w:val="0"/>
        <w:adjustRightInd w:val="0"/>
        <w:snapToGrid w:val="0"/>
        <w:spacing w:line="400" w:lineRule="exact"/>
        <w:jc w:val="center"/>
        <w:rPr>
          <w:rFonts w:hAnsi="宋体" w:cs="宋体"/>
          <w:snapToGrid w:val="0"/>
          <w:color w:val="auto"/>
          <w:kern w:val="0"/>
          <w:highlight w:val="none"/>
        </w:rPr>
      </w:pPr>
      <w:r>
        <w:rPr>
          <w:rFonts w:hint="eastAsia" w:hAnsi="宋体" w:cs="宋体"/>
          <w:snapToGrid w:val="0"/>
          <w:color w:val="auto"/>
          <w:kern w:val="0"/>
          <w:highlight w:val="none"/>
        </w:rPr>
        <w:t xml:space="preserve">                                     </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年</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日</w:t>
      </w:r>
    </w:p>
    <w:p w14:paraId="54D577A5">
      <w:pPr>
        <w:wordWrap w:val="0"/>
        <w:adjustRightInd w:val="0"/>
        <w:snapToGrid w:val="0"/>
        <w:spacing w:line="400" w:lineRule="exact"/>
        <w:ind w:firstLine="570"/>
        <w:rPr>
          <w:rFonts w:hAnsi="宋体" w:cs="宋体"/>
          <w:snapToGrid w:val="0"/>
          <w:color w:val="auto"/>
          <w:kern w:val="0"/>
          <w:szCs w:val="28"/>
          <w:highlight w:val="none"/>
        </w:rPr>
      </w:pPr>
    </w:p>
    <w:p w14:paraId="1CA52C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6403A45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2．监理工程师注册证书彩色扫描件（须彩色扫描至变更注册栏）</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hAnsi="宋体" w:cs="宋体"/>
          <w:snapToGrid w:val="0"/>
          <w:color w:val="auto"/>
          <w:kern w:val="0"/>
          <w:sz w:val="21"/>
          <w:szCs w:val="28"/>
          <w:highlight w:val="none"/>
        </w:rPr>
        <w:t>；</w:t>
      </w:r>
    </w:p>
    <w:p w14:paraId="4FD46B7A">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宋体" w:hAnsi="宋体" w:eastAsia="宋体" w:cs="宋体"/>
          <w:caps w:val="0"/>
          <w:smallCaps w:val="0"/>
          <w:snapToGrid w:val="0"/>
          <w:color w:val="auto"/>
          <w:spacing w:val="0"/>
          <w:kern w:val="0"/>
          <w:sz w:val="21"/>
          <w:szCs w:val="28"/>
          <w:highlight w:val="none"/>
          <w:lang w:val="en-US" w:eastAsia="zh-CN"/>
        </w:rPr>
        <w:t>在本单位缴纳社保的证明（至少一个月，</w:t>
      </w:r>
      <w:r>
        <w:rPr>
          <w:rFonts w:hint="eastAsia" w:hAnsi="宋体" w:cs="宋体"/>
          <w:caps w:val="0"/>
          <w:smallCaps w:val="0"/>
          <w:snapToGrid w:val="0"/>
          <w:color w:val="auto"/>
          <w:spacing w:val="0"/>
          <w:kern w:val="0"/>
          <w:sz w:val="21"/>
          <w:szCs w:val="28"/>
          <w:highlight w:val="none"/>
          <w:lang w:val="en-US" w:eastAsia="zh-CN"/>
        </w:rPr>
        <w:t>其中必须有2026年4月</w:t>
      </w:r>
      <w:r>
        <w:rPr>
          <w:rFonts w:hint="eastAsia" w:ascii="宋体" w:hAnsi="宋体" w:eastAsia="宋体" w:cs="宋体"/>
          <w:caps w:val="0"/>
          <w:smallCaps w:val="0"/>
          <w:snapToGrid w:val="0"/>
          <w:color w:val="auto"/>
          <w:spacing w:val="0"/>
          <w:kern w:val="0"/>
          <w:sz w:val="21"/>
          <w:szCs w:val="28"/>
          <w:highlight w:val="none"/>
          <w:lang w:val="en-US" w:eastAsia="zh-CN"/>
        </w:rPr>
        <w:t>）彩色扫描件。拟派总监理工程师为退休返聘人员无法提供社保证明的，提供退休证和劳动合同彩色扫描件；</w:t>
      </w:r>
    </w:p>
    <w:p w14:paraId="2DC2A311">
      <w:pPr>
        <w:pStyle w:val="9"/>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4.“进粤企业和人员诚信信息登记平台”个人（总监理工程师等）信息情况截图。（适用于省外建筑企业）</w:t>
      </w:r>
    </w:p>
    <w:p w14:paraId="1FF4E9EC">
      <w:pPr>
        <w:pStyle w:val="9"/>
        <w:snapToGrid w:val="0"/>
        <w:spacing w:line="400" w:lineRule="exact"/>
        <w:rPr>
          <w:rFonts w:hAnsi="宋体" w:cs="宋体"/>
          <w:snapToGrid w:val="0"/>
          <w:color w:val="auto"/>
          <w:sz w:val="21"/>
          <w:highlight w:val="none"/>
        </w:rPr>
      </w:pPr>
    </w:p>
    <w:p w14:paraId="1F51A155">
      <w:pPr>
        <w:adjustRightInd w:val="0"/>
        <w:snapToGrid w:val="0"/>
        <w:spacing w:line="400" w:lineRule="exact"/>
        <w:rPr>
          <w:rFonts w:hAnsi="宋体" w:cs="宋体"/>
          <w:b/>
          <w:bCs/>
          <w:snapToGrid w:val="0"/>
          <w:color w:val="auto"/>
          <w:kern w:val="0"/>
          <w:szCs w:val="24"/>
          <w:highlight w:val="none"/>
        </w:rPr>
      </w:pPr>
      <w:bookmarkStart w:id="339" w:name="_Toc19546"/>
      <w:r>
        <w:rPr>
          <w:rFonts w:hint="eastAsia" w:hAnsi="宋体" w:cs="宋体"/>
          <w:b/>
          <w:bCs/>
          <w:snapToGrid w:val="0"/>
          <w:color w:val="auto"/>
          <w:kern w:val="0"/>
          <w:szCs w:val="24"/>
          <w:highlight w:val="none"/>
        </w:rPr>
        <w:br w:type="page"/>
      </w:r>
    </w:p>
    <w:p w14:paraId="32B105E3">
      <w:pPr>
        <w:pStyle w:val="148"/>
        <w:keepNext/>
        <w:keepLines/>
        <w:snapToGrid w:val="0"/>
        <w:spacing w:line="400" w:lineRule="exact"/>
        <w:jc w:val="both"/>
        <w:rPr>
          <w:rFonts w:ascii="宋体" w:hAnsi="宋体" w:cs="宋体"/>
          <w:b/>
          <w:bCs/>
          <w:snapToGrid w:val="0"/>
          <w:color w:val="auto"/>
          <w:highlight w:val="none"/>
        </w:rPr>
      </w:pPr>
      <w:bookmarkStart w:id="340" w:name="_Toc10500"/>
      <w:r>
        <w:rPr>
          <w:rFonts w:hint="eastAsia" w:ascii="宋体" w:hAnsi="宋体" w:cs="宋体"/>
          <w:b/>
          <w:bCs/>
          <w:snapToGrid w:val="0"/>
          <w:color w:val="auto"/>
          <w:highlight w:val="none"/>
        </w:rPr>
        <w:t>格式十二  其他拟派人员简历表</w:t>
      </w:r>
      <w:bookmarkEnd w:id="339"/>
      <w:bookmarkEnd w:id="340"/>
    </w:p>
    <w:p w14:paraId="6BB2F130">
      <w:pPr>
        <w:adjustRightInd w:val="0"/>
        <w:snapToGrid w:val="0"/>
        <w:spacing w:line="400" w:lineRule="exact"/>
        <w:jc w:val="center"/>
        <w:rPr>
          <w:rFonts w:hAnsi="宋体" w:cs="宋体"/>
          <w:b/>
          <w:bCs/>
          <w:color w:val="auto"/>
          <w:sz w:val="32"/>
          <w:szCs w:val="22"/>
          <w:highlight w:val="none"/>
        </w:rPr>
      </w:pPr>
    </w:p>
    <w:p w14:paraId="3FF56886">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其他拟派人员简历表（）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auto"/>
                <w:kern w:val="0"/>
                <w:sz w:val="21"/>
                <w:szCs w:val="21"/>
                <w:highlight w:val="none"/>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auto"/>
                <w:kern w:val="0"/>
                <w:sz w:val="21"/>
                <w:szCs w:val="21"/>
                <w:highlight w:val="none"/>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auto"/>
                <w:kern w:val="0"/>
                <w:sz w:val="21"/>
                <w:szCs w:val="21"/>
                <w:highlight w:val="none"/>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1AEF7FE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6A8FC6B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r>
              <w:rPr>
                <w:rFonts w:hint="eastAsia" w:hAnsi="宋体" w:cs="宋体"/>
                <w:snapToGrid w:val="0"/>
                <w:color w:val="auto"/>
                <w:kern w:val="0"/>
                <w:sz w:val="21"/>
                <w:szCs w:val="28"/>
                <w:highlight w:val="none"/>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auto"/>
                <w:kern w:val="0"/>
                <w:sz w:val="21"/>
                <w:szCs w:val="21"/>
                <w:highlight w:val="none"/>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auto"/>
                <w:kern w:val="0"/>
                <w:sz w:val="21"/>
                <w:szCs w:val="21"/>
                <w:highlight w:val="none"/>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auto"/>
                <w:kern w:val="0"/>
                <w:sz w:val="21"/>
                <w:szCs w:val="21"/>
                <w:highlight w:val="none"/>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auto"/>
                <w:kern w:val="0"/>
                <w:sz w:val="21"/>
                <w:szCs w:val="21"/>
                <w:highlight w:val="none"/>
              </w:rPr>
            </w:pPr>
          </w:p>
        </w:tc>
      </w:tr>
    </w:tbl>
    <w:p w14:paraId="77C02387">
      <w:pPr>
        <w:pStyle w:val="73"/>
        <w:wordWrap w:val="0"/>
        <w:adjustRightInd w:val="0"/>
        <w:snapToGrid w:val="0"/>
        <w:spacing w:line="400" w:lineRule="exact"/>
        <w:rPr>
          <w:rFonts w:hAnsi="宋体" w:cs="宋体"/>
          <w:snapToGrid w:val="0"/>
          <w:color w:val="auto"/>
          <w:kern w:val="0"/>
          <w:highlight w:val="none"/>
        </w:rPr>
      </w:pPr>
    </w:p>
    <w:p w14:paraId="51FC9EC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w:t>
      </w:r>
    </w:p>
    <w:p w14:paraId="2C895D48">
      <w:pPr>
        <w:wordWrap w:val="0"/>
        <w:adjustRightInd w:val="0"/>
        <w:snapToGrid w:val="0"/>
        <w:spacing w:line="400" w:lineRule="exact"/>
        <w:ind w:firstLine="420"/>
        <w:rPr>
          <w:rFonts w:hAnsi="宋体" w:cs="宋体"/>
          <w:snapToGrid w:val="0"/>
          <w:color w:val="auto"/>
          <w:kern w:val="0"/>
          <w:sz w:val="21"/>
          <w:szCs w:val="21"/>
          <w:highlight w:val="none"/>
        </w:rPr>
      </w:pPr>
      <w:r>
        <w:rPr>
          <w:rFonts w:hint="eastAsia" w:hAnsi="宋体" w:cs="宋体"/>
          <w:snapToGrid w:val="0"/>
          <w:color w:val="auto"/>
          <w:kern w:val="0"/>
          <w:sz w:val="21"/>
          <w:szCs w:val="28"/>
          <w:highlight w:val="none"/>
        </w:rPr>
        <w:t>1．“其他拟派人员”指项目监理机构中除总监理工程师以外的拟派人员，包括专业监理工程师、监理员、相关服务人员等。以上拟派人员一人一表，</w:t>
      </w:r>
      <w:r>
        <w:rPr>
          <w:rFonts w:hint="eastAsia" w:hAnsi="宋体" w:cs="宋体"/>
          <w:snapToGrid w:val="0"/>
          <w:color w:val="auto"/>
          <w:kern w:val="0"/>
          <w:sz w:val="21"/>
          <w:szCs w:val="21"/>
          <w:highlight w:val="none"/>
        </w:rPr>
        <w:t>并标明序号。</w:t>
      </w:r>
    </w:p>
    <w:p w14:paraId="784C9BD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2．每份简历表后应附该拟派人员以下资料：</w:t>
      </w:r>
    </w:p>
    <w:p w14:paraId="1DCEBAA8">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15883648">
      <w:pPr>
        <w:wordWrap w:val="0"/>
        <w:adjustRightInd w:val="0"/>
        <w:snapToGrid w:val="0"/>
        <w:spacing w:line="400" w:lineRule="exact"/>
        <w:ind w:firstLine="420"/>
        <w:rPr>
          <w:rFonts w:hint="eastAsia" w:hAnsi="宋体" w:eastAsia="宋体" w:cs="宋体"/>
          <w:snapToGrid w:val="0"/>
          <w:color w:val="auto"/>
          <w:kern w:val="0"/>
          <w:sz w:val="21"/>
          <w:szCs w:val="28"/>
          <w:highlight w:val="none"/>
          <w:lang w:val="en-US" w:eastAsia="zh-CN"/>
        </w:rPr>
      </w:pPr>
      <w:r>
        <w:rPr>
          <w:rFonts w:hint="eastAsia" w:hAnsi="宋体" w:cs="宋体"/>
          <w:snapToGrid w:val="0"/>
          <w:color w:val="auto"/>
          <w:kern w:val="0"/>
          <w:sz w:val="21"/>
          <w:szCs w:val="28"/>
          <w:highlight w:val="none"/>
        </w:rPr>
        <w:t>（2）相关证书彩色扫描件</w:t>
      </w:r>
      <w:r>
        <w:rPr>
          <w:rFonts w:hint="eastAsia" w:hAnsi="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须彩色扫描至变更注册栏</w:t>
      </w:r>
      <w:r>
        <w:rPr>
          <w:rFonts w:hint="eastAsia" w:hAnsi="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ascii="宋体" w:hAnsi="宋体" w:eastAsia="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具体要求详见招标文件第一章第三节第</w:t>
      </w:r>
      <w:r>
        <w:rPr>
          <w:rFonts w:hint="eastAsia" w:hAnsi="宋体" w:cs="宋体"/>
          <w:b/>
          <w:bCs/>
          <w:snapToGrid w:val="0"/>
          <w:color w:val="auto"/>
          <w:kern w:val="0"/>
          <w:sz w:val="21"/>
          <w:szCs w:val="28"/>
          <w:highlight w:val="none"/>
        </w:rPr>
        <w:t>15.5</w:t>
      </w:r>
      <w:r>
        <w:rPr>
          <w:rFonts w:hint="eastAsia" w:hAnsi="宋体" w:cs="宋体"/>
          <w:snapToGrid w:val="0"/>
          <w:color w:val="auto"/>
          <w:kern w:val="0"/>
          <w:sz w:val="21"/>
          <w:szCs w:val="28"/>
          <w:highlight w:val="none"/>
        </w:rPr>
        <w:t>条表</w:t>
      </w:r>
      <w:r>
        <w:rPr>
          <w:rFonts w:hint="eastAsia" w:hAnsi="宋体" w:cs="宋体"/>
          <w:b/>
          <w:bCs/>
          <w:snapToGrid w:val="0"/>
          <w:color w:val="auto"/>
          <w:kern w:val="0"/>
          <w:sz w:val="21"/>
          <w:szCs w:val="28"/>
          <w:highlight w:val="none"/>
        </w:rPr>
        <w:t>2</w:t>
      </w:r>
      <w:r>
        <w:rPr>
          <w:rFonts w:hint="eastAsia" w:hAnsi="宋体" w:cs="宋体"/>
          <w:snapToGrid w:val="0"/>
          <w:color w:val="auto"/>
          <w:kern w:val="0"/>
          <w:sz w:val="21"/>
          <w:szCs w:val="28"/>
          <w:highlight w:val="none"/>
        </w:rPr>
        <w:t>《项目监理机构其他人员需求表》“持证要求”栏目</w:t>
      </w:r>
      <w:r>
        <w:rPr>
          <w:rFonts w:hint="eastAsia" w:hAnsi="宋体" w:cs="宋体"/>
          <w:snapToGrid w:val="0"/>
          <w:color w:val="auto"/>
          <w:kern w:val="0"/>
          <w:sz w:val="21"/>
          <w:szCs w:val="28"/>
          <w:highlight w:val="none"/>
          <w:lang w:val="en-US" w:eastAsia="zh-CN"/>
        </w:rPr>
        <w:t>；</w:t>
      </w:r>
    </w:p>
    <w:p w14:paraId="1BFF2D1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Times New Roman"/>
          <w:snapToGrid w:val="0"/>
          <w:color w:val="auto"/>
          <w:kern w:val="0"/>
          <w:sz w:val="21"/>
          <w:szCs w:val="28"/>
          <w:highlight w:val="none"/>
        </w:rPr>
        <w:t>在本单位缴纳社保的证明</w:t>
      </w:r>
      <w:r>
        <w:rPr>
          <w:rFonts w:hint="eastAsia" w:ascii="宋体" w:hAnsi="宋体" w:eastAsia="宋体" w:cs="宋体"/>
          <w:caps w:val="0"/>
          <w:smallCaps w:val="0"/>
          <w:snapToGrid w:val="0"/>
          <w:color w:val="auto"/>
          <w:spacing w:val="0"/>
          <w:kern w:val="0"/>
          <w:sz w:val="21"/>
          <w:szCs w:val="28"/>
          <w:highlight w:val="none"/>
          <w:lang w:val="en-US" w:eastAsia="zh-CN"/>
        </w:rPr>
        <w:t>（至少一个月，</w:t>
      </w:r>
      <w:r>
        <w:rPr>
          <w:rFonts w:hint="eastAsia" w:hAnsi="宋体" w:cs="宋体"/>
          <w:caps w:val="0"/>
          <w:smallCaps w:val="0"/>
          <w:snapToGrid w:val="0"/>
          <w:color w:val="auto"/>
          <w:spacing w:val="0"/>
          <w:kern w:val="0"/>
          <w:sz w:val="21"/>
          <w:szCs w:val="28"/>
          <w:highlight w:val="none"/>
          <w:lang w:val="en-US" w:eastAsia="zh-CN"/>
        </w:rPr>
        <w:t>其中必须有2026年4月</w:t>
      </w:r>
      <w:r>
        <w:rPr>
          <w:rFonts w:hint="eastAsia" w:ascii="宋体" w:hAnsi="宋体" w:eastAsia="宋体" w:cs="宋体"/>
          <w:caps w:val="0"/>
          <w:smallCaps w:val="0"/>
          <w:snapToGrid w:val="0"/>
          <w:color w:val="auto"/>
          <w:spacing w:val="0"/>
          <w:kern w:val="0"/>
          <w:sz w:val="21"/>
          <w:szCs w:val="28"/>
          <w:highlight w:val="none"/>
          <w:lang w:val="en-US" w:eastAsia="zh-CN"/>
        </w:rPr>
        <w:t>）</w:t>
      </w:r>
      <w:r>
        <w:rPr>
          <w:rFonts w:hint="eastAsia" w:ascii="Times New Roman"/>
          <w:snapToGrid w:val="0"/>
          <w:color w:val="auto"/>
          <w:kern w:val="0"/>
          <w:sz w:val="21"/>
          <w:szCs w:val="28"/>
          <w:highlight w:val="none"/>
        </w:rPr>
        <w:t>彩色扫描件。</w:t>
      </w:r>
      <w:r>
        <w:rPr>
          <w:rFonts w:hint="eastAsia" w:ascii="宋体" w:hAnsi="宋体" w:eastAsia="宋体" w:cs="宋体"/>
          <w:caps w:val="0"/>
          <w:smallCaps w:val="0"/>
          <w:snapToGrid w:val="0"/>
          <w:color w:val="auto"/>
          <w:spacing w:val="0"/>
          <w:kern w:val="0"/>
          <w:sz w:val="21"/>
          <w:szCs w:val="28"/>
          <w:highlight w:val="none"/>
          <w:lang w:val="en-US" w:eastAsia="zh-CN"/>
        </w:rPr>
        <w:t>拟派</w:t>
      </w:r>
      <w:r>
        <w:rPr>
          <w:rFonts w:hint="eastAsia" w:hAnsi="宋体" w:cs="宋体"/>
          <w:caps w:val="0"/>
          <w:smallCaps w:val="0"/>
          <w:snapToGrid w:val="0"/>
          <w:color w:val="auto"/>
          <w:spacing w:val="0"/>
          <w:kern w:val="0"/>
          <w:sz w:val="21"/>
          <w:szCs w:val="28"/>
          <w:highlight w:val="none"/>
          <w:lang w:val="en-US" w:eastAsia="zh-CN"/>
        </w:rPr>
        <w:t>人员</w:t>
      </w:r>
      <w:r>
        <w:rPr>
          <w:rFonts w:hint="eastAsia" w:ascii="宋体" w:hAnsi="宋体" w:eastAsia="宋体" w:cs="宋体"/>
          <w:caps w:val="0"/>
          <w:smallCaps w:val="0"/>
          <w:snapToGrid w:val="0"/>
          <w:color w:val="auto"/>
          <w:spacing w:val="0"/>
          <w:kern w:val="0"/>
          <w:sz w:val="21"/>
          <w:szCs w:val="28"/>
          <w:highlight w:val="none"/>
          <w:lang w:val="en-US" w:eastAsia="zh-CN"/>
        </w:rPr>
        <w:t>为退休返聘人员无法提供社保证明的，提供退休证和劳动合同彩色扫描件；</w:t>
      </w:r>
    </w:p>
    <w:p w14:paraId="14218DA9">
      <w:pPr>
        <w:pStyle w:val="9"/>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3.“进粤企业和人员诚信信息登记平台”个人信息情况截图。（适用于省外建筑企业）</w:t>
      </w:r>
    </w:p>
    <w:p w14:paraId="16DC49F0">
      <w:pPr>
        <w:rPr>
          <w:color w:val="auto"/>
          <w:highlight w:val="none"/>
        </w:rPr>
      </w:pPr>
      <w:bookmarkStart w:id="341" w:name="_Toc593"/>
      <w:bookmarkStart w:id="342" w:name="_Toc25312"/>
    </w:p>
    <w:p w14:paraId="4F5701AB">
      <w:pPr>
        <w:rPr>
          <w:color w:val="auto"/>
          <w:highlight w:val="none"/>
        </w:rPr>
      </w:pPr>
    </w:p>
    <w:p w14:paraId="0B0CC3A8">
      <w:pPr>
        <w:rPr>
          <w:color w:val="auto"/>
          <w:highlight w:val="none"/>
        </w:rPr>
      </w:pPr>
    </w:p>
    <w:p w14:paraId="0887FC9D">
      <w:pPr>
        <w:rPr>
          <w:color w:val="auto"/>
          <w:highlight w:val="none"/>
        </w:rPr>
      </w:pPr>
    </w:p>
    <w:p w14:paraId="4A3461BE">
      <w:pPr>
        <w:bidi w:val="0"/>
        <w:rPr>
          <w:color w:val="auto"/>
          <w:highlight w:val="none"/>
        </w:rPr>
      </w:pPr>
    </w:p>
    <w:p w14:paraId="20F0C669">
      <w:pPr>
        <w:pStyle w:val="4"/>
        <w:bidi w:val="0"/>
        <w:rPr>
          <w:rFonts w:hint="default"/>
          <w:b/>
          <w:bCs/>
          <w:color w:val="auto"/>
          <w:highlight w:val="none"/>
          <w:lang w:val="en-US" w:eastAsia="zh-CN"/>
        </w:rPr>
      </w:pPr>
      <w:bookmarkStart w:id="343" w:name="_Toc12078"/>
      <w:r>
        <w:rPr>
          <w:rFonts w:hint="eastAsia"/>
          <w:b/>
          <w:bCs/>
          <w:color w:val="auto"/>
          <w:highlight w:val="none"/>
          <w:lang w:val="en-US" w:eastAsia="zh-CN"/>
        </w:rPr>
        <w:t>格式十三 原件一览表</w:t>
      </w:r>
      <w:bookmarkEnd w:id="343"/>
    </w:p>
    <w:tbl>
      <w:tblPr>
        <w:tblStyle w:val="31"/>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40EA71A6">
            <w:pPr>
              <w:jc w:val="center"/>
              <w:rPr>
                <w:rFonts w:hAnsi="宋体" w:cs="宋体"/>
                <w:color w:val="auto"/>
                <w:highlight w:val="none"/>
              </w:rPr>
            </w:pPr>
            <w:r>
              <w:rPr>
                <w:rFonts w:hAnsi="宋体" w:cs="宋体"/>
                <w:b/>
                <w:color w:val="auto"/>
                <w:highlight w:val="none"/>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3EC5AAEE">
            <w:pPr>
              <w:jc w:val="center"/>
              <w:rPr>
                <w:rFonts w:hAnsi="宋体" w:cs="宋体"/>
                <w:color w:val="auto"/>
                <w:sz w:val="24"/>
                <w:szCs w:val="24"/>
                <w:highlight w:val="none"/>
              </w:rPr>
            </w:pPr>
            <w:r>
              <w:rPr>
                <w:rFonts w:hAnsi="宋体" w:cs="宋体"/>
                <w:color w:val="auto"/>
                <w:sz w:val="24"/>
                <w:szCs w:val="24"/>
                <w:highlight w:val="none"/>
              </w:rPr>
              <w:t>工程名称</w:t>
            </w:r>
          </w:p>
        </w:tc>
        <w:tc>
          <w:tcPr>
            <w:tcW w:w="6300" w:type="dxa"/>
            <w:gridSpan w:val="5"/>
            <w:shd w:val="clear" w:color="auto" w:fill="auto"/>
            <w:noWrap w:val="0"/>
            <w:tcMar>
              <w:left w:w="108" w:type="dxa"/>
              <w:right w:w="108" w:type="dxa"/>
            </w:tcMar>
            <w:vAlign w:val="center"/>
          </w:tcPr>
          <w:p w14:paraId="074CA825">
            <w:pPr>
              <w:jc w:val="center"/>
              <w:rPr>
                <w:rFonts w:hAnsi="宋体" w:cs="宋体"/>
                <w:color w:val="auto"/>
                <w:sz w:val="24"/>
                <w:szCs w:val="24"/>
                <w:highlight w:val="none"/>
              </w:rPr>
            </w:pPr>
            <w:r>
              <w:rPr>
                <w:rFonts w:hAnsi="宋体" w:cs="宋体"/>
                <w:color w:val="auto"/>
                <w:sz w:val="24"/>
                <w:szCs w:val="24"/>
                <w:highlight w:val="none"/>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1DB6D96">
            <w:pPr>
              <w:jc w:val="center"/>
              <w:rPr>
                <w:rFonts w:hAnsi="宋体" w:cs="宋体"/>
                <w:color w:val="auto"/>
                <w:sz w:val="24"/>
                <w:szCs w:val="24"/>
                <w:highlight w:val="none"/>
              </w:rPr>
            </w:pPr>
            <w:r>
              <w:rPr>
                <w:rFonts w:hAnsi="宋体" w:cs="宋体"/>
                <w:color w:val="auto"/>
                <w:sz w:val="24"/>
                <w:szCs w:val="24"/>
                <w:highlight w:val="none"/>
              </w:rPr>
              <w:t>投标人名称                (请务必填写单位全称)</w:t>
            </w:r>
          </w:p>
        </w:tc>
        <w:tc>
          <w:tcPr>
            <w:tcW w:w="6300" w:type="dxa"/>
            <w:gridSpan w:val="5"/>
            <w:shd w:val="clear" w:color="auto" w:fill="auto"/>
            <w:noWrap w:val="0"/>
            <w:tcMar>
              <w:left w:w="108" w:type="dxa"/>
              <w:right w:w="108" w:type="dxa"/>
            </w:tcMar>
            <w:vAlign w:val="center"/>
          </w:tcPr>
          <w:p w14:paraId="1613ACB8">
            <w:pPr>
              <w:jc w:val="center"/>
              <w:rPr>
                <w:rFonts w:hAnsi="宋体" w:cs="宋体"/>
                <w:color w:val="auto"/>
                <w:sz w:val="24"/>
                <w:szCs w:val="24"/>
                <w:highlight w:val="none"/>
              </w:rPr>
            </w:pPr>
            <w:r>
              <w:rPr>
                <w:rFonts w:hAnsi="宋体" w:cs="宋体"/>
                <w:color w:val="auto"/>
                <w:sz w:val="24"/>
                <w:szCs w:val="24"/>
                <w:highlight w:val="none"/>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C0A9E0C">
            <w:pPr>
              <w:jc w:val="center"/>
              <w:rPr>
                <w:rFonts w:hint="eastAsia" w:hAnsi="宋体" w:cs="宋体"/>
                <w:color w:val="auto"/>
                <w:sz w:val="24"/>
                <w:szCs w:val="24"/>
                <w:highlight w:val="none"/>
              </w:rPr>
            </w:pPr>
            <w:r>
              <w:rPr>
                <w:rFonts w:hAnsi="宋体" w:cs="宋体"/>
                <w:color w:val="auto"/>
                <w:sz w:val="24"/>
                <w:szCs w:val="24"/>
                <w:highlight w:val="none"/>
              </w:rPr>
              <w:t>投标人法定代表人或其</w:t>
            </w:r>
          </w:p>
          <w:p w14:paraId="77524DC3">
            <w:pPr>
              <w:jc w:val="center"/>
              <w:rPr>
                <w:rFonts w:hAnsi="宋体" w:cs="宋体"/>
                <w:color w:val="auto"/>
                <w:sz w:val="24"/>
                <w:szCs w:val="24"/>
                <w:highlight w:val="none"/>
              </w:rPr>
            </w:pPr>
            <w:r>
              <w:rPr>
                <w:rFonts w:hAnsi="宋体" w:cs="宋体"/>
                <w:color w:val="auto"/>
                <w:sz w:val="24"/>
                <w:szCs w:val="24"/>
                <w:highlight w:val="none"/>
              </w:rPr>
              <w:t>委托代理人签名</w:t>
            </w:r>
          </w:p>
        </w:tc>
        <w:tc>
          <w:tcPr>
            <w:tcW w:w="3018" w:type="dxa"/>
            <w:gridSpan w:val="2"/>
            <w:shd w:val="clear" w:color="auto" w:fill="auto"/>
            <w:noWrap w:val="0"/>
            <w:tcMar>
              <w:left w:w="108" w:type="dxa"/>
              <w:right w:w="108" w:type="dxa"/>
            </w:tcMar>
            <w:vAlign w:val="center"/>
          </w:tcPr>
          <w:p w14:paraId="36806628">
            <w:pPr>
              <w:jc w:val="center"/>
              <w:rPr>
                <w:rFonts w:hAnsi="宋体" w:cs="宋体"/>
                <w:color w:val="auto"/>
                <w:sz w:val="24"/>
                <w:szCs w:val="24"/>
                <w:highlight w:val="none"/>
              </w:rPr>
            </w:pPr>
            <w:r>
              <w:rPr>
                <w:rFonts w:hAnsi="宋体" w:cs="宋体"/>
                <w:color w:val="auto"/>
                <w:sz w:val="24"/>
                <w:szCs w:val="24"/>
                <w:highlight w:val="none"/>
              </w:rPr>
              <w:t>　</w:t>
            </w:r>
          </w:p>
        </w:tc>
        <w:tc>
          <w:tcPr>
            <w:tcW w:w="754" w:type="dxa"/>
            <w:shd w:val="clear" w:color="auto" w:fill="auto"/>
            <w:noWrap w:val="0"/>
            <w:tcMar>
              <w:left w:w="108" w:type="dxa"/>
              <w:right w:w="108" w:type="dxa"/>
            </w:tcMar>
            <w:vAlign w:val="center"/>
          </w:tcPr>
          <w:p w14:paraId="4060398A">
            <w:pPr>
              <w:jc w:val="center"/>
              <w:rPr>
                <w:rFonts w:hAnsi="宋体" w:cs="宋体"/>
                <w:color w:val="auto"/>
                <w:sz w:val="24"/>
                <w:szCs w:val="24"/>
                <w:highlight w:val="none"/>
              </w:rPr>
            </w:pPr>
            <w:r>
              <w:rPr>
                <w:rFonts w:hAnsi="宋体" w:cs="宋体"/>
                <w:color w:val="auto"/>
                <w:sz w:val="24"/>
                <w:szCs w:val="24"/>
                <w:highlight w:val="none"/>
              </w:rPr>
              <w:t>手机号码</w:t>
            </w:r>
          </w:p>
        </w:tc>
        <w:tc>
          <w:tcPr>
            <w:tcW w:w="2528" w:type="dxa"/>
            <w:gridSpan w:val="2"/>
            <w:shd w:val="clear" w:color="auto" w:fill="auto"/>
            <w:noWrap w:val="0"/>
            <w:tcMar>
              <w:left w:w="108" w:type="dxa"/>
              <w:right w:w="108" w:type="dxa"/>
            </w:tcMar>
            <w:vAlign w:val="center"/>
          </w:tcPr>
          <w:p w14:paraId="0AE79DB3">
            <w:pPr>
              <w:jc w:val="center"/>
              <w:rPr>
                <w:rFonts w:hAnsi="宋体" w:cs="宋体"/>
                <w:color w:val="auto"/>
                <w:sz w:val="24"/>
                <w:szCs w:val="24"/>
                <w:highlight w:val="none"/>
              </w:rPr>
            </w:pPr>
            <w:r>
              <w:rPr>
                <w:rFonts w:hAnsi="宋体" w:cs="宋体"/>
                <w:color w:val="auto"/>
                <w:sz w:val="24"/>
                <w:szCs w:val="24"/>
                <w:highlight w:val="none"/>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6543325B">
            <w:pPr>
              <w:jc w:val="center"/>
              <w:rPr>
                <w:rFonts w:hAnsi="宋体" w:cs="宋体"/>
                <w:color w:val="auto"/>
                <w:sz w:val="24"/>
                <w:szCs w:val="24"/>
                <w:highlight w:val="none"/>
              </w:rPr>
            </w:pPr>
            <w:r>
              <w:rPr>
                <w:rFonts w:hAnsi="宋体" w:cs="宋体"/>
                <w:color w:val="auto"/>
                <w:sz w:val="24"/>
                <w:szCs w:val="24"/>
                <w:highlight w:val="none"/>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3EDF76C">
            <w:pPr>
              <w:jc w:val="center"/>
              <w:rPr>
                <w:rFonts w:hAnsi="宋体" w:cs="宋体"/>
                <w:color w:val="auto"/>
                <w:sz w:val="24"/>
                <w:szCs w:val="24"/>
                <w:highlight w:val="none"/>
              </w:rPr>
            </w:pPr>
            <w:r>
              <w:rPr>
                <w:rFonts w:hAnsi="宋体" w:cs="宋体"/>
                <w:color w:val="auto"/>
                <w:sz w:val="24"/>
                <w:szCs w:val="24"/>
                <w:highlight w:val="none"/>
              </w:rPr>
              <w:t>序号</w:t>
            </w:r>
          </w:p>
        </w:tc>
        <w:tc>
          <w:tcPr>
            <w:tcW w:w="5125" w:type="dxa"/>
            <w:gridSpan w:val="4"/>
            <w:shd w:val="clear" w:color="auto" w:fill="auto"/>
            <w:noWrap w:val="0"/>
            <w:tcMar>
              <w:left w:w="108" w:type="dxa"/>
              <w:right w:w="108" w:type="dxa"/>
            </w:tcMar>
            <w:vAlign w:val="center"/>
          </w:tcPr>
          <w:p w14:paraId="559D06ED">
            <w:pPr>
              <w:jc w:val="center"/>
              <w:rPr>
                <w:rFonts w:hAnsi="宋体" w:cs="宋体"/>
                <w:color w:val="auto"/>
                <w:sz w:val="24"/>
                <w:szCs w:val="24"/>
                <w:highlight w:val="none"/>
              </w:rPr>
            </w:pPr>
            <w:r>
              <w:rPr>
                <w:rFonts w:hAnsi="宋体" w:cs="宋体"/>
                <w:color w:val="auto"/>
                <w:sz w:val="24"/>
                <w:szCs w:val="24"/>
                <w:highlight w:val="none"/>
              </w:rPr>
              <w:t>证明材料原件名称</w:t>
            </w:r>
          </w:p>
        </w:tc>
        <w:tc>
          <w:tcPr>
            <w:tcW w:w="1712" w:type="dxa"/>
            <w:gridSpan w:val="2"/>
            <w:shd w:val="clear" w:color="auto" w:fill="auto"/>
            <w:noWrap w:val="0"/>
            <w:tcMar>
              <w:left w:w="108" w:type="dxa"/>
              <w:right w:w="108" w:type="dxa"/>
            </w:tcMar>
            <w:vAlign w:val="center"/>
          </w:tcPr>
          <w:p w14:paraId="51CCC957">
            <w:pPr>
              <w:jc w:val="center"/>
              <w:rPr>
                <w:rFonts w:hAnsi="宋体" w:cs="宋体"/>
                <w:color w:val="auto"/>
                <w:sz w:val="24"/>
                <w:szCs w:val="24"/>
                <w:highlight w:val="none"/>
              </w:rPr>
            </w:pPr>
            <w:r>
              <w:rPr>
                <w:rFonts w:hAnsi="宋体" w:cs="宋体"/>
                <w:color w:val="auto"/>
                <w:sz w:val="24"/>
                <w:szCs w:val="24"/>
                <w:highlight w:val="none"/>
              </w:rPr>
              <w:t>单位</w:t>
            </w:r>
          </w:p>
        </w:tc>
        <w:tc>
          <w:tcPr>
            <w:tcW w:w="1570" w:type="dxa"/>
            <w:shd w:val="clear" w:color="auto" w:fill="auto"/>
            <w:noWrap w:val="0"/>
            <w:tcMar>
              <w:left w:w="108" w:type="dxa"/>
              <w:right w:w="108" w:type="dxa"/>
            </w:tcMar>
            <w:vAlign w:val="center"/>
          </w:tcPr>
          <w:p w14:paraId="3D03BCF5">
            <w:pPr>
              <w:jc w:val="center"/>
              <w:rPr>
                <w:rFonts w:hAnsi="宋体" w:cs="宋体"/>
                <w:color w:val="auto"/>
                <w:sz w:val="24"/>
                <w:szCs w:val="24"/>
                <w:highlight w:val="none"/>
              </w:rPr>
            </w:pPr>
            <w:r>
              <w:rPr>
                <w:rFonts w:hAnsi="宋体" w:cs="宋体"/>
                <w:color w:val="auto"/>
                <w:sz w:val="24"/>
                <w:szCs w:val="24"/>
                <w:highlight w:val="none"/>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5CBD3CF3">
            <w:pPr>
              <w:jc w:val="center"/>
              <w:rPr>
                <w:rFonts w:hint="eastAsia" w:hAnsi="宋体" w:cs="宋体"/>
                <w:color w:val="auto"/>
                <w:sz w:val="24"/>
                <w:szCs w:val="24"/>
                <w:highlight w:val="none"/>
              </w:rPr>
            </w:pPr>
            <w:r>
              <w:rPr>
                <w:rFonts w:hint="eastAsia" w:hAnsi="宋体" w:cs="宋体"/>
                <w:color w:val="auto"/>
                <w:sz w:val="24"/>
                <w:szCs w:val="24"/>
                <w:highlight w:val="none"/>
              </w:rPr>
              <w:t>1</w:t>
            </w:r>
          </w:p>
        </w:tc>
        <w:tc>
          <w:tcPr>
            <w:tcW w:w="5125" w:type="dxa"/>
            <w:gridSpan w:val="4"/>
            <w:shd w:val="clear" w:color="auto" w:fill="auto"/>
            <w:noWrap w:val="0"/>
            <w:tcMar>
              <w:left w:w="108" w:type="dxa"/>
              <w:right w:w="108" w:type="dxa"/>
            </w:tcMar>
            <w:vAlign w:val="center"/>
          </w:tcPr>
          <w:p w14:paraId="16DA3A6D">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24AA5BA0">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557B405">
            <w:pPr>
              <w:jc w:val="center"/>
              <w:rPr>
                <w:rFonts w:hAnsi="宋体" w:cs="宋体"/>
                <w:color w:val="auto"/>
                <w:sz w:val="24"/>
                <w:szCs w:val="24"/>
                <w:highlight w:val="none"/>
              </w:rPr>
            </w:pPr>
            <w:r>
              <w:rPr>
                <w:rFonts w:hAnsi="宋体" w:cs="宋体"/>
                <w:color w:val="auto"/>
                <w:sz w:val="24"/>
                <w:szCs w:val="24"/>
                <w:highlight w:val="none"/>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64D036">
            <w:pPr>
              <w:jc w:val="center"/>
              <w:rPr>
                <w:rFonts w:hint="eastAsia" w:hAnsi="宋体" w:cs="宋体"/>
                <w:color w:val="auto"/>
                <w:sz w:val="24"/>
                <w:szCs w:val="24"/>
                <w:highlight w:val="none"/>
              </w:rPr>
            </w:pPr>
            <w:r>
              <w:rPr>
                <w:rFonts w:hint="eastAsia" w:hAnsi="宋体" w:cs="宋体"/>
                <w:color w:val="auto"/>
                <w:sz w:val="24"/>
                <w:szCs w:val="24"/>
                <w:highlight w:val="none"/>
              </w:rPr>
              <w:t>2</w:t>
            </w:r>
          </w:p>
        </w:tc>
        <w:tc>
          <w:tcPr>
            <w:tcW w:w="5125" w:type="dxa"/>
            <w:gridSpan w:val="4"/>
            <w:shd w:val="clear" w:color="auto" w:fill="auto"/>
            <w:noWrap w:val="0"/>
            <w:tcMar>
              <w:left w:w="108" w:type="dxa"/>
              <w:right w:w="108" w:type="dxa"/>
            </w:tcMar>
            <w:vAlign w:val="center"/>
          </w:tcPr>
          <w:p w14:paraId="0F8926A6">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D88558">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5217A66">
            <w:pPr>
              <w:jc w:val="center"/>
              <w:rPr>
                <w:rFonts w:hAnsi="宋体" w:cs="宋体"/>
                <w:color w:val="auto"/>
                <w:sz w:val="24"/>
                <w:szCs w:val="24"/>
                <w:highlight w:val="none"/>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6D922145">
            <w:pPr>
              <w:jc w:val="center"/>
              <w:rPr>
                <w:rFonts w:hint="eastAsia" w:hAnsi="宋体" w:cs="宋体"/>
                <w:color w:val="auto"/>
                <w:sz w:val="24"/>
                <w:szCs w:val="24"/>
                <w:highlight w:val="none"/>
              </w:rPr>
            </w:pPr>
            <w:r>
              <w:rPr>
                <w:rFonts w:hint="eastAsia" w:hAnsi="宋体" w:cs="宋体"/>
                <w:color w:val="auto"/>
                <w:sz w:val="24"/>
                <w:szCs w:val="24"/>
                <w:highlight w:val="none"/>
              </w:rPr>
              <w:t>3</w:t>
            </w:r>
          </w:p>
        </w:tc>
        <w:tc>
          <w:tcPr>
            <w:tcW w:w="5125" w:type="dxa"/>
            <w:gridSpan w:val="4"/>
            <w:shd w:val="clear" w:color="auto" w:fill="auto"/>
            <w:noWrap w:val="0"/>
            <w:tcMar>
              <w:left w:w="108" w:type="dxa"/>
              <w:right w:w="108" w:type="dxa"/>
            </w:tcMar>
            <w:vAlign w:val="center"/>
          </w:tcPr>
          <w:p w14:paraId="42248857">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5BF155">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24BA07C">
            <w:pPr>
              <w:jc w:val="center"/>
              <w:rPr>
                <w:rFonts w:hAnsi="宋体" w:cs="宋体"/>
                <w:color w:val="auto"/>
                <w:sz w:val="24"/>
                <w:szCs w:val="24"/>
                <w:highlight w:val="none"/>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824CEAD">
            <w:pPr>
              <w:jc w:val="center"/>
              <w:rPr>
                <w:rFonts w:hint="eastAsia" w:hAnsi="宋体" w:cs="宋体"/>
                <w:color w:val="auto"/>
                <w:sz w:val="24"/>
                <w:szCs w:val="24"/>
                <w:highlight w:val="none"/>
              </w:rPr>
            </w:pPr>
            <w:r>
              <w:rPr>
                <w:rFonts w:hint="eastAsia" w:hAnsi="宋体" w:cs="宋体"/>
                <w:color w:val="auto"/>
                <w:sz w:val="24"/>
                <w:szCs w:val="24"/>
                <w:highlight w:val="none"/>
              </w:rPr>
              <w:t>...</w:t>
            </w:r>
          </w:p>
        </w:tc>
        <w:tc>
          <w:tcPr>
            <w:tcW w:w="5125" w:type="dxa"/>
            <w:gridSpan w:val="4"/>
            <w:shd w:val="clear" w:color="auto" w:fill="auto"/>
            <w:noWrap w:val="0"/>
            <w:tcMar>
              <w:left w:w="108" w:type="dxa"/>
              <w:right w:w="108" w:type="dxa"/>
            </w:tcMar>
            <w:vAlign w:val="center"/>
          </w:tcPr>
          <w:p w14:paraId="6D22B6D5">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0D3863C3">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3487C6D">
            <w:pPr>
              <w:jc w:val="center"/>
              <w:rPr>
                <w:rFonts w:hAnsi="宋体" w:cs="宋体"/>
                <w:color w:val="auto"/>
                <w:sz w:val="24"/>
                <w:szCs w:val="24"/>
                <w:highlight w:val="none"/>
              </w:rPr>
            </w:pPr>
            <w:r>
              <w:rPr>
                <w:rFonts w:hAnsi="宋体" w:cs="宋体"/>
                <w:color w:val="auto"/>
                <w:sz w:val="24"/>
                <w:szCs w:val="24"/>
                <w:highlight w:val="none"/>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12E8323D">
            <w:pPr>
              <w:ind w:left="8" w:hanging="94"/>
              <w:jc w:val="center"/>
              <w:rPr>
                <w:rFonts w:hint="eastAsia" w:hAnsi="宋体" w:cs="宋体"/>
                <w:color w:val="auto"/>
                <w:sz w:val="24"/>
                <w:szCs w:val="24"/>
                <w:highlight w:val="none"/>
              </w:rPr>
            </w:pPr>
            <w:r>
              <w:rPr>
                <w:rFonts w:hint="eastAsia" w:hAnsi="宋体" w:cs="宋体"/>
                <w:color w:val="auto"/>
                <w:sz w:val="24"/>
                <w:szCs w:val="24"/>
                <w:highlight w:val="none"/>
              </w:rPr>
              <w:t>注意：</w:t>
            </w:r>
          </w:p>
        </w:tc>
        <w:tc>
          <w:tcPr>
            <w:tcW w:w="8407" w:type="dxa"/>
            <w:gridSpan w:val="7"/>
            <w:shd w:val="clear" w:color="auto" w:fill="auto"/>
            <w:noWrap w:val="0"/>
            <w:tcMar>
              <w:left w:w="108" w:type="dxa"/>
              <w:right w:w="108" w:type="dxa"/>
            </w:tcMar>
            <w:vAlign w:val="center"/>
          </w:tcPr>
          <w:p w14:paraId="2276CCD2">
            <w:pPr>
              <w:ind w:firstLine="480"/>
              <w:rPr>
                <w:rFonts w:hint="eastAsia" w:hAnsi="宋体" w:cs="宋体"/>
                <w:color w:val="auto"/>
                <w:sz w:val="24"/>
                <w:szCs w:val="24"/>
                <w:highlight w:val="none"/>
              </w:rPr>
            </w:pPr>
            <w:r>
              <w:rPr>
                <w:rFonts w:hint="eastAsia" w:hAnsi="宋体" w:cs="宋体"/>
                <w:color w:val="auto"/>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3074F0EA">
            <w:pPr>
              <w:jc w:val="both"/>
              <w:rPr>
                <w:rFonts w:hint="eastAsia" w:hAnsi="宋体" w:cs="宋体"/>
                <w:color w:val="auto"/>
                <w:sz w:val="24"/>
                <w:szCs w:val="24"/>
                <w:highlight w:val="none"/>
              </w:rPr>
            </w:pPr>
            <w:r>
              <w:rPr>
                <w:rFonts w:hint="eastAsia" w:hAnsi="宋体" w:cs="宋体"/>
                <w:color w:val="auto"/>
                <w:sz w:val="24"/>
                <w:szCs w:val="24"/>
                <w:highlight w:val="none"/>
              </w:rPr>
              <w:t>接收原件经办人(招标代理)：</w:t>
            </w:r>
          </w:p>
        </w:tc>
        <w:tc>
          <w:tcPr>
            <w:tcW w:w="1994" w:type="dxa"/>
            <w:gridSpan w:val="2"/>
            <w:shd w:val="clear" w:color="auto" w:fill="auto"/>
            <w:noWrap w:val="0"/>
            <w:tcMar>
              <w:left w:w="108" w:type="dxa"/>
              <w:right w:w="108" w:type="dxa"/>
            </w:tcMar>
            <w:vAlign w:val="center"/>
          </w:tcPr>
          <w:p w14:paraId="7039FF5D">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6CFCB42E">
            <w:pPr>
              <w:jc w:val="center"/>
              <w:rPr>
                <w:rFonts w:hint="eastAsia" w:hAnsi="宋体" w:cs="宋体"/>
                <w:color w:val="auto"/>
                <w:sz w:val="24"/>
                <w:szCs w:val="24"/>
                <w:highlight w:val="none"/>
              </w:rPr>
            </w:pPr>
            <w:r>
              <w:rPr>
                <w:rFonts w:hint="eastAsia" w:hAnsi="宋体" w:cs="宋体"/>
                <w:color w:val="auto"/>
                <w:sz w:val="24"/>
                <w:szCs w:val="24"/>
                <w:highlight w:val="none"/>
              </w:rPr>
              <w:t>接收时间：</w:t>
            </w:r>
          </w:p>
        </w:tc>
        <w:tc>
          <w:tcPr>
            <w:tcW w:w="3282" w:type="dxa"/>
            <w:gridSpan w:val="3"/>
            <w:shd w:val="clear" w:color="auto" w:fill="auto"/>
            <w:noWrap w:val="0"/>
            <w:tcMar>
              <w:left w:w="108" w:type="dxa"/>
              <w:right w:w="108" w:type="dxa"/>
            </w:tcMar>
            <w:vAlign w:val="center"/>
          </w:tcPr>
          <w:p w14:paraId="5F3DDF19">
            <w:pPr>
              <w:ind w:firstLine="720" w:firstLineChars="300"/>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50C35FD0">
            <w:pPr>
              <w:jc w:val="center"/>
              <w:rPr>
                <w:rFonts w:hint="eastAsia" w:hAnsi="宋体" w:cs="宋体"/>
                <w:color w:val="auto"/>
                <w:sz w:val="24"/>
                <w:szCs w:val="24"/>
                <w:highlight w:val="none"/>
              </w:rPr>
            </w:pPr>
            <w:r>
              <w:rPr>
                <w:rFonts w:hint="eastAsia" w:hAnsi="宋体" w:cs="宋体"/>
                <w:color w:val="auto"/>
                <w:sz w:val="24"/>
                <w:szCs w:val="24"/>
                <w:highlight w:val="none"/>
              </w:rPr>
              <w:t>退还原件接收人(投标人)：</w:t>
            </w:r>
          </w:p>
        </w:tc>
        <w:tc>
          <w:tcPr>
            <w:tcW w:w="1994" w:type="dxa"/>
            <w:gridSpan w:val="2"/>
            <w:shd w:val="clear" w:color="auto" w:fill="auto"/>
            <w:noWrap w:val="0"/>
            <w:tcMar>
              <w:left w:w="108" w:type="dxa"/>
              <w:right w:w="108" w:type="dxa"/>
            </w:tcMar>
            <w:vAlign w:val="center"/>
          </w:tcPr>
          <w:p w14:paraId="2E306509">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330B90B6">
            <w:pPr>
              <w:jc w:val="center"/>
              <w:rPr>
                <w:rFonts w:hint="eastAsia" w:hAnsi="宋体" w:cs="宋体"/>
                <w:color w:val="auto"/>
                <w:sz w:val="24"/>
                <w:szCs w:val="24"/>
                <w:highlight w:val="none"/>
              </w:rPr>
            </w:pPr>
            <w:r>
              <w:rPr>
                <w:rFonts w:hint="eastAsia" w:hAnsi="宋体" w:cs="宋体"/>
                <w:color w:val="auto"/>
                <w:sz w:val="24"/>
                <w:szCs w:val="24"/>
                <w:highlight w:val="none"/>
              </w:rPr>
              <w:t>退还时间：</w:t>
            </w:r>
          </w:p>
        </w:tc>
        <w:tc>
          <w:tcPr>
            <w:tcW w:w="3282" w:type="dxa"/>
            <w:gridSpan w:val="3"/>
            <w:shd w:val="clear" w:color="auto" w:fill="auto"/>
            <w:noWrap w:val="0"/>
            <w:tcMar>
              <w:left w:w="108" w:type="dxa"/>
              <w:right w:w="108" w:type="dxa"/>
            </w:tcMar>
            <w:vAlign w:val="center"/>
          </w:tcPr>
          <w:p w14:paraId="1B2E0C0D">
            <w:pPr>
              <w:ind w:firstLine="720" w:firstLineChars="300"/>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bl>
    <w:p w14:paraId="2043B9AC">
      <w:pPr>
        <w:bidi w:val="0"/>
        <w:rPr>
          <w:color w:val="auto"/>
          <w:highlight w:val="none"/>
        </w:rPr>
      </w:pPr>
    </w:p>
    <w:p w14:paraId="59158BD3">
      <w:pPr>
        <w:rPr>
          <w:color w:val="auto"/>
          <w:highlight w:val="none"/>
        </w:rPr>
      </w:pPr>
    </w:p>
    <w:p w14:paraId="65603D6D">
      <w:pPr>
        <w:bidi w:val="0"/>
        <w:rPr>
          <w:color w:val="auto"/>
          <w:highlight w:val="none"/>
        </w:rPr>
      </w:pPr>
    </w:p>
    <w:p w14:paraId="2B3640DE">
      <w:pPr>
        <w:bidi w:val="0"/>
        <w:rPr>
          <w:color w:val="auto"/>
          <w:highlight w:val="none"/>
        </w:rPr>
      </w:pPr>
    </w:p>
    <w:p w14:paraId="1E5C483D">
      <w:pPr>
        <w:pStyle w:val="4"/>
        <w:bidi w:val="0"/>
        <w:rPr>
          <w:rFonts w:hint="default" w:ascii="宋体" w:hAnsi="Times New Roman" w:eastAsia="宋体" w:cs="Times New Roman"/>
          <w:b/>
          <w:bCs/>
          <w:color w:val="auto"/>
          <w:highlight w:val="none"/>
          <w:lang w:val="en-US" w:eastAsia="zh-CN"/>
        </w:rPr>
      </w:pPr>
      <w:bookmarkStart w:id="344" w:name="_Toc20950"/>
      <w:bookmarkStart w:id="345" w:name="_Toc26582"/>
      <w:bookmarkStart w:id="346" w:name="_Toc591"/>
      <w:r>
        <w:rPr>
          <w:rFonts w:hint="eastAsia" w:ascii="宋体" w:hAnsi="Times New Roman" w:eastAsia="宋体" w:cs="Times New Roman"/>
          <w:b/>
          <w:bCs/>
          <w:color w:val="auto"/>
          <w:highlight w:val="none"/>
          <w:lang w:val="en-US" w:eastAsia="zh-CN"/>
        </w:rPr>
        <w:t>格式十四 定标因素评审资料</w:t>
      </w:r>
      <w:bookmarkEnd w:id="344"/>
      <w:bookmarkEnd w:id="345"/>
      <w:bookmarkEnd w:id="346"/>
    </w:p>
    <w:p w14:paraId="24D780F8">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lang w:eastAsia="zh-CN"/>
        </w:rPr>
        <w:t>定标因素评审资料</w:t>
      </w:r>
    </w:p>
    <w:p w14:paraId="5DDF89F2">
      <w:pPr>
        <w:jc w:val="left"/>
        <w:rPr>
          <w:rFonts w:hint="eastAsia" w:ascii="宋体" w:hAnsi="宋体" w:eastAsia="宋体" w:cs="宋体"/>
          <w:color w:val="auto"/>
          <w:sz w:val="24"/>
          <w:highlight w:val="none"/>
          <w:lang w:eastAsia="zh-CN"/>
        </w:rPr>
      </w:pPr>
    </w:p>
    <w:p w14:paraId="430FF920">
      <w:pPr>
        <w:bidi w:val="0"/>
        <w:ind w:firstLine="560" w:firstLineChars="200"/>
        <w:rPr>
          <w:rFonts w:hint="eastAsia"/>
          <w:color w:val="auto"/>
          <w:highlight w:val="none"/>
        </w:rPr>
      </w:pPr>
      <w:r>
        <w:rPr>
          <w:rFonts w:hint="eastAsia" w:ascii="宋体" w:hAnsi="宋体" w:eastAsia="宋体" w:cs="宋体"/>
          <w:b w:val="0"/>
          <w:bCs w:val="0"/>
          <w:color w:val="auto"/>
          <w:sz w:val="28"/>
          <w:szCs w:val="28"/>
          <w:highlight w:val="none"/>
          <w:lang w:val="en-US" w:eastAsia="zh-CN"/>
        </w:rPr>
        <w:t>投标人根据“</w:t>
      </w: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一</w:t>
      </w:r>
      <w:r>
        <w:rPr>
          <w:rFonts w:hint="eastAsia" w:ascii="宋体" w:hAnsi="宋体" w:eastAsia="宋体" w:cs="宋体"/>
          <w:b w:val="0"/>
          <w:bCs w:val="0"/>
          <w:color w:val="auto"/>
          <w:sz w:val="28"/>
          <w:szCs w:val="28"/>
          <w:highlight w:val="none"/>
        </w:rPr>
        <w:t>章</w:t>
      </w:r>
      <w:r>
        <w:rPr>
          <w:rFonts w:hint="eastAsia" w:ascii="宋体" w:hAnsi="宋体" w:eastAsia="宋体" w:cs="宋体"/>
          <w:b w:val="0"/>
          <w:bCs w:val="0"/>
          <w:color w:val="auto"/>
          <w:sz w:val="28"/>
          <w:szCs w:val="28"/>
          <w:highlight w:val="none"/>
          <w:lang w:val="en-US" w:eastAsia="zh-CN"/>
        </w:rPr>
        <w:t xml:space="preserve"> 第五节 定标规定及细则”载明的</w:t>
      </w:r>
      <w:r>
        <w:rPr>
          <w:rFonts w:hint="eastAsia" w:ascii="宋体" w:hAnsi="宋体" w:eastAsia="宋体" w:cs="宋体"/>
          <w:b w:val="0"/>
          <w:bCs w:val="0"/>
          <w:color w:val="auto"/>
          <w:sz w:val="28"/>
          <w:szCs w:val="28"/>
          <w:highlight w:val="none"/>
          <w:lang w:eastAsia="zh-CN"/>
        </w:rPr>
        <w:t>定标因素，</w:t>
      </w:r>
      <w:r>
        <w:rPr>
          <w:rFonts w:hint="eastAsia" w:ascii="宋体" w:hAnsi="宋体" w:eastAsia="宋体" w:cs="宋体"/>
          <w:b w:val="0"/>
          <w:bCs w:val="0"/>
          <w:color w:val="auto"/>
          <w:sz w:val="28"/>
          <w:szCs w:val="28"/>
          <w:highlight w:val="none"/>
          <w:lang w:val="en-US" w:eastAsia="zh-CN"/>
        </w:rPr>
        <w:t>提交</w:t>
      </w:r>
      <w:r>
        <w:rPr>
          <w:rFonts w:hint="eastAsia" w:ascii="宋体" w:hAnsi="宋体" w:eastAsia="宋体" w:cs="宋体"/>
          <w:b w:val="0"/>
          <w:bCs w:val="0"/>
          <w:color w:val="auto"/>
          <w:sz w:val="28"/>
          <w:szCs w:val="28"/>
          <w:highlight w:val="none"/>
          <w:lang w:eastAsia="zh-CN"/>
        </w:rPr>
        <w:t>评审资料。</w:t>
      </w:r>
    </w:p>
    <w:p w14:paraId="7ADC733D">
      <w:pPr>
        <w:bidi w:val="0"/>
        <w:rPr>
          <w:color w:val="auto"/>
          <w:highlight w:val="none"/>
        </w:rPr>
      </w:pPr>
    </w:p>
    <w:p w14:paraId="62BBBD59">
      <w:pPr>
        <w:bidi w:val="0"/>
        <w:rPr>
          <w:color w:val="auto"/>
          <w:highlight w:val="none"/>
        </w:rPr>
      </w:pPr>
    </w:p>
    <w:p w14:paraId="5ABE802F">
      <w:pPr>
        <w:bidi w:val="0"/>
        <w:rPr>
          <w:color w:val="auto"/>
          <w:highlight w:val="none"/>
        </w:rPr>
      </w:pPr>
    </w:p>
    <w:p w14:paraId="52725042">
      <w:pPr>
        <w:bidi w:val="0"/>
        <w:rPr>
          <w:color w:val="auto"/>
          <w:highlight w:val="none"/>
        </w:rPr>
      </w:pPr>
    </w:p>
    <w:p w14:paraId="37C8388A">
      <w:pPr>
        <w:bidi w:val="0"/>
        <w:rPr>
          <w:color w:val="auto"/>
          <w:highlight w:val="none"/>
        </w:rPr>
      </w:pPr>
    </w:p>
    <w:p w14:paraId="11A8C02E">
      <w:pPr>
        <w:bidi w:val="0"/>
        <w:rPr>
          <w:color w:val="auto"/>
          <w:highlight w:val="none"/>
        </w:rPr>
      </w:pPr>
    </w:p>
    <w:p w14:paraId="2392D390">
      <w:pPr>
        <w:bidi w:val="0"/>
        <w:rPr>
          <w:color w:val="auto"/>
          <w:highlight w:val="none"/>
        </w:rPr>
      </w:pPr>
    </w:p>
    <w:p w14:paraId="6AC8BD70">
      <w:pPr>
        <w:bidi w:val="0"/>
        <w:rPr>
          <w:color w:val="auto"/>
          <w:highlight w:val="none"/>
        </w:rPr>
      </w:pPr>
    </w:p>
    <w:p w14:paraId="29FA3456">
      <w:pPr>
        <w:bidi w:val="0"/>
        <w:rPr>
          <w:color w:val="auto"/>
          <w:highlight w:val="none"/>
        </w:rPr>
      </w:pPr>
    </w:p>
    <w:p w14:paraId="6A29349A">
      <w:pPr>
        <w:bidi w:val="0"/>
        <w:rPr>
          <w:color w:val="auto"/>
          <w:highlight w:val="none"/>
        </w:rPr>
      </w:pPr>
    </w:p>
    <w:p w14:paraId="32CE6E86">
      <w:pPr>
        <w:bidi w:val="0"/>
        <w:rPr>
          <w:color w:val="auto"/>
          <w:highlight w:val="none"/>
        </w:rPr>
      </w:pPr>
    </w:p>
    <w:p w14:paraId="5E74C221">
      <w:pPr>
        <w:bidi w:val="0"/>
        <w:rPr>
          <w:color w:val="auto"/>
          <w:highlight w:val="none"/>
        </w:rPr>
      </w:pPr>
    </w:p>
    <w:p w14:paraId="4CF7A17E">
      <w:pPr>
        <w:bidi w:val="0"/>
        <w:rPr>
          <w:color w:val="auto"/>
          <w:highlight w:val="none"/>
        </w:rPr>
      </w:pPr>
    </w:p>
    <w:p w14:paraId="58D4A9FB">
      <w:pPr>
        <w:bidi w:val="0"/>
        <w:rPr>
          <w:color w:val="auto"/>
          <w:highlight w:val="none"/>
        </w:rPr>
      </w:pPr>
    </w:p>
    <w:p w14:paraId="46528A84">
      <w:pPr>
        <w:bidi w:val="0"/>
        <w:rPr>
          <w:color w:val="auto"/>
          <w:highlight w:val="none"/>
        </w:rPr>
      </w:pPr>
    </w:p>
    <w:p w14:paraId="5302C56F">
      <w:pPr>
        <w:bidi w:val="0"/>
        <w:rPr>
          <w:color w:val="auto"/>
          <w:highlight w:val="none"/>
        </w:rPr>
      </w:pPr>
    </w:p>
    <w:p w14:paraId="1CAB3E35">
      <w:pPr>
        <w:bidi w:val="0"/>
        <w:rPr>
          <w:color w:val="auto"/>
          <w:highlight w:val="none"/>
        </w:rPr>
      </w:pPr>
    </w:p>
    <w:p w14:paraId="365B93DB">
      <w:pPr>
        <w:bidi w:val="0"/>
        <w:rPr>
          <w:color w:val="auto"/>
          <w:highlight w:val="none"/>
        </w:rPr>
      </w:pPr>
    </w:p>
    <w:p w14:paraId="2B2AE304">
      <w:pPr>
        <w:bidi w:val="0"/>
        <w:rPr>
          <w:color w:val="auto"/>
          <w:highlight w:val="none"/>
        </w:rPr>
      </w:pPr>
    </w:p>
    <w:p w14:paraId="181109DD">
      <w:pPr>
        <w:bidi w:val="0"/>
        <w:rPr>
          <w:color w:val="auto"/>
          <w:highlight w:val="none"/>
        </w:rPr>
      </w:pPr>
    </w:p>
    <w:p w14:paraId="0357E4B1">
      <w:pPr>
        <w:bidi w:val="0"/>
        <w:rPr>
          <w:color w:val="auto"/>
          <w:highlight w:val="none"/>
        </w:rPr>
      </w:pPr>
    </w:p>
    <w:p w14:paraId="0CE5A8FC">
      <w:pPr>
        <w:bidi w:val="0"/>
        <w:rPr>
          <w:color w:val="auto"/>
          <w:highlight w:val="none"/>
        </w:rPr>
      </w:pPr>
    </w:p>
    <w:p w14:paraId="68831BDA">
      <w:pPr>
        <w:bidi w:val="0"/>
        <w:rPr>
          <w:color w:val="auto"/>
          <w:highlight w:val="none"/>
        </w:rPr>
      </w:pPr>
    </w:p>
    <w:p w14:paraId="05134154">
      <w:pPr>
        <w:bidi w:val="0"/>
        <w:rPr>
          <w:color w:val="auto"/>
          <w:highlight w:val="none"/>
        </w:rPr>
      </w:pPr>
    </w:p>
    <w:p w14:paraId="2E203DFC">
      <w:pPr>
        <w:bidi w:val="0"/>
        <w:rPr>
          <w:color w:val="auto"/>
          <w:highlight w:val="none"/>
        </w:rPr>
      </w:pPr>
    </w:p>
    <w:bookmarkEnd w:id="341"/>
    <w:bookmarkEnd w:id="342"/>
    <w:p w14:paraId="6FEFA5B3">
      <w:pPr>
        <w:pStyle w:val="149"/>
        <w:keepNext/>
        <w:keepLines/>
        <w:snapToGrid w:val="0"/>
        <w:spacing w:line="400" w:lineRule="exact"/>
        <w:jc w:val="center"/>
        <w:rPr>
          <w:rFonts w:ascii="宋体" w:hAnsi="宋体" w:cs="宋体"/>
          <w:b/>
          <w:color w:val="auto"/>
          <w:kern w:val="44"/>
          <w:sz w:val="32"/>
          <w:szCs w:val="22"/>
          <w:highlight w:val="none"/>
        </w:rPr>
      </w:pPr>
      <w:bookmarkStart w:id="347" w:name="_Toc13722"/>
      <w:bookmarkStart w:id="348" w:name="_Toc142468134"/>
      <w:bookmarkStart w:id="349" w:name="_Toc3174"/>
      <w:bookmarkStart w:id="350" w:name="_Toc137444778"/>
      <w:bookmarkStart w:id="351" w:name="_Toc1091"/>
      <w:bookmarkStart w:id="352" w:name="_Toc132687128"/>
      <w:bookmarkStart w:id="353" w:name="_Toc133160683"/>
      <w:bookmarkStart w:id="354" w:name="_Toc78794873"/>
      <w:bookmarkStart w:id="355" w:name="_Toc133815902"/>
      <w:r>
        <w:rPr>
          <w:rFonts w:hint="eastAsia" w:ascii="宋体" w:hAnsi="宋体" w:cs="宋体"/>
          <w:b/>
          <w:color w:val="auto"/>
          <w:kern w:val="44"/>
          <w:sz w:val="32"/>
          <w:szCs w:val="22"/>
          <w:highlight w:val="none"/>
        </w:rPr>
        <w:t>第六章 建设工程监理合同</w:t>
      </w:r>
      <w:bookmarkEnd w:id="347"/>
      <w:bookmarkEnd w:id="348"/>
      <w:bookmarkEnd w:id="349"/>
      <w:bookmarkEnd w:id="350"/>
      <w:bookmarkEnd w:id="351"/>
      <w:bookmarkEnd w:id="352"/>
      <w:bookmarkEnd w:id="353"/>
    </w:p>
    <w:p w14:paraId="489A5B59">
      <w:pPr>
        <w:wordWrap w:val="0"/>
        <w:adjustRightInd w:val="0"/>
        <w:snapToGrid w:val="0"/>
        <w:spacing w:before="360" w:beforeLines="150" w:line="400" w:lineRule="exact"/>
        <w:rPr>
          <w:rFonts w:hAnsi="宋体" w:cs="宋体"/>
          <w:color w:val="auto"/>
          <w:highlight w:val="none"/>
        </w:rPr>
      </w:pPr>
      <w:r>
        <w:rPr>
          <w:rFonts w:hint="eastAsia" w:hAnsi="宋体" w:cs="宋体"/>
          <w:snapToGrid w:val="0"/>
          <w:color w:val="auto"/>
          <w:kern w:val="0"/>
          <w:highlight w:val="none"/>
        </w:rPr>
        <w:t xml:space="preserve">    （略），</w:t>
      </w:r>
      <w:bookmarkEnd w:id="354"/>
      <w:bookmarkEnd w:id="355"/>
      <w:r>
        <w:rPr>
          <w:rFonts w:hint="eastAsia" w:hAnsi="宋体" w:cs="宋体"/>
          <w:snapToGrid w:val="0"/>
          <w:color w:val="auto"/>
          <w:kern w:val="0"/>
          <w:highlight w:val="none"/>
        </w:rPr>
        <w:t>按照《建设工程监理合同（示范文本）》（GF—2012—0202）执行。</w:t>
      </w:r>
    </w:p>
    <w:p w14:paraId="6CF11764">
      <w:pPr>
        <w:pStyle w:val="9"/>
        <w:snapToGrid w:val="0"/>
        <w:spacing w:line="400" w:lineRule="exact"/>
        <w:rPr>
          <w:rFonts w:hAnsi="宋体" w:cs="宋体"/>
          <w:snapToGrid w:val="0"/>
          <w:color w:val="auto"/>
          <w:highlight w:val="none"/>
        </w:rPr>
      </w:pPr>
    </w:p>
    <w:p w14:paraId="05AE5769">
      <w:pPr>
        <w:pStyle w:val="72"/>
        <w:widowControl w:val="0"/>
        <w:wordWrap w:val="0"/>
        <w:adjustRightInd w:val="0"/>
        <w:snapToGrid w:val="0"/>
        <w:spacing w:line="400" w:lineRule="exact"/>
        <w:ind w:firstLine="0"/>
        <w:rPr>
          <w:rFonts w:hAnsi="宋体" w:cs="宋体"/>
          <w:snapToGrid w:val="0"/>
          <w:color w:val="auto"/>
          <w:sz w:val="21"/>
          <w:highlight w:val="none"/>
        </w:rPr>
      </w:pPr>
    </w:p>
    <w:sectPr>
      <w:footerReference r:id="rId7" w:type="default"/>
      <w:endnotePr>
        <w:numFmt w:val="decimal"/>
      </w:endnotePr>
      <w:pgSz w:w="11906" w:h="16838"/>
      <w:pgMar w:top="1134" w:right="1134" w:bottom="1134" w:left="1134" w:header="850" w:footer="850" w:gutter="0"/>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D23B4">
    <w:pPr>
      <w:pStyle w:val="109"/>
      <w:pBdr>
        <w:between w:val="none" w:color="auto" w:sz="0" w:space="0"/>
      </w:pBdr>
      <w:tabs>
        <w:tab w:val="left" w:pos="4803"/>
        <w:tab w:val="clear" w:pos="4153"/>
      </w:tabs>
      <w:rPr>
        <w:rFonts w:hint="eastAsia"/>
      </w:rPr>
    </w:pPr>
    <w:r>
      <w:rPr>
        <w:rFonts w:hint="eastAsia"/>
      </w:rPr>
      <w:tab/>
    </w:r>
  </w:p>
  <w:p w14:paraId="3881DEF1">
    <w:pPr>
      <w:pStyle w:val="109"/>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D75B">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60097F">
                          <w:pPr>
                            <w:pStyle w:val="18"/>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ospqfXAQAAsgMAAA4AAAAAAAAAAQAgAAAA&#10;HgEAAGRycy9lMm9Eb2MueG1sUEsFBgAAAAAGAAYAWQEAAGcFAAAAAA==&#10;">
              <v:fill on="f" focussize="0,0"/>
              <v:stroke on="f"/>
              <v:imagedata o:title=""/>
              <o:lock v:ext="edit" aspectratio="f"/>
              <v:textbox inset="0mm,0mm,0mm,0mm" style="mso-fit-shape-to-text:t;">
                <w:txbxContent>
                  <w:p w14:paraId="6360097F">
                    <w:pPr>
                      <w:pStyle w:val="18"/>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A73AE3">
                          <w:pPr>
                            <w:pStyle w:val="18"/>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75A73AE3">
                    <w:pPr>
                      <w:pStyle w:val="18"/>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ZDA0NTY0Yzc5OGVjODYxNjc1ZjJjYjI0MTIwNjIifQ=="/>
  </w:docVars>
  <w:rsids>
    <w:rsidRoot w:val="00172A27"/>
    <w:rsid w:val="00041C36"/>
    <w:rsid w:val="00050F86"/>
    <w:rsid w:val="000C1D2D"/>
    <w:rsid w:val="00153E0E"/>
    <w:rsid w:val="00172A27"/>
    <w:rsid w:val="001F053E"/>
    <w:rsid w:val="002543A6"/>
    <w:rsid w:val="002A3912"/>
    <w:rsid w:val="002A7E8D"/>
    <w:rsid w:val="00410516"/>
    <w:rsid w:val="00484F5E"/>
    <w:rsid w:val="004B70BA"/>
    <w:rsid w:val="004D7577"/>
    <w:rsid w:val="00567655"/>
    <w:rsid w:val="00590B05"/>
    <w:rsid w:val="005B2D42"/>
    <w:rsid w:val="006E5B4D"/>
    <w:rsid w:val="00771397"/>
    <w:rsid w:val="00826BCD"/>
    <w:rsid w:val="008E4DA0"/>
    <w:rsid w:val="009329EC"/>
    <w:rsid w:val="00932BB8"/>
    <w:rsid w:val="00964E9C"/>
    <w:rsid w:val="00990279"/>
    <w:rsid w:val="00A110EA"/>
    <w:rsid w:val="00A32A2E"/>
    <w:rsid w:val="00A77565"/>
    <w:rsid w:val="00B5203F"/>
    <w:rsid w:val="00B640AC"/>
    <w:rsid w:val="00C04E46"/>
    <w:rsid w:val="00C933CE"/>
    <w:rsid w:val="00C970D2"/>
    <w:rsid w:val="00CB4415"/>
    <w:rsid w:val="00DA2408"/>
    <w:rsid w:val="00DC1846"/>
    <w:rsid w:val="00E40A50"/>
    <w:rsid w:val="00EF7950"/>
    <w:rsid w:val="00F214A7"/>
    <w:rsid w:val="00F679B3"/>
    <w:rsid w:val="0158531E"/>
    <w:rsid w:val="01AC7678"/>
    <w:rsid w:val="01AF70E0"/>
    <w:rsid w:val="01C427EB"/>
    <w:rsid w:val="01D07479"/>
    <w:rsid w:val="01D22CED"/>
    <w:rsid w:val="01DA01AC"/>
    <w:rsid w:val="01F86CD9"/>
    <w:rsid w:val="02647AB9"/>
    <w:rsid w:val="027C0AD0"/>
    <w:rsid w:val="02BB47BA"/>
    <w:rsid w:val="02BE191A"/>
    <w:rsid w:val="02D308F9"/>
    <w:rsid w:val="02D320E0"/>
    <w:rsid w:val="02E6644C"/>
    <w:rsid w:val="03280EF8"/>
    <w:rsid w:val="032B3195"/>
    <w:rsid w:val="03353615"/>
    <w:rsid w:val="03606DA8"/>
    <w:rsid w:val="03826431"/>
    <w:rsid w:val="03AA0611"/>
    <w:rsid w:val="03AE02E8"/>
    <w:rsid w:val="03B83805"/>
    <w:rsid w:val="0455083C"/>
    <w:rsid w:val="04780182"/>
    <w:rsid w:val="04841E6C"/>
    <w:rsid w:val="048707A2"/>
    <w:rsid w:val="04D81F7C"/>
    <w:rsid w:val="0510677C"/>
    <w:rsid w:val="05D37647"/>
    <w:rsid w:val="06096CBB"/>
    <w:rsid w:val="06336531"/>
    <w:rsid w:val="0636289C"/>
    <w:rsid w:val="06372B69"/>
    <w:rsid w:val="06403908"/>
    <w:rsid w:val="06437A4D"/>
    <w:rsid w:val="064E157F"/>
    <w:rsid w:val="06685A39"/>
    <w:rsid w:val="066863D5"/>
    <w:rsid w:val="0680104B"/>
    <w:rsid w:val="06B12BCD"/>
    <w:rsid w:val="06BD5A5C"/>
    <w:rsid w:val="06CE69E4"/>
    <w:rsid w:val="06F44232"/>
    <w:rsid w:val="071A4FFB"/>
    <w:rsid w:val="072F60EA"/>
    <w:rsid w:val="073C1416"/>
    <w:rsid w:val="07626CD1"/>
    <w:rsid w:val="076349FE"/>
    <w:rsid w:val="07BE1E2B"/>
    <w:rsid w:val="07CF4038"/>
    <w:rsid w:val="07F654CB"/>
    <w:rsid w:val="07F90245"/>
    <w:rsid w:val="08077FE9"/>
    <w:rsid w:val="08432B8E"/>
    <w:rsid w:val="085D1A1C"/>
    <w:rsid w:val="086557B5"/>
    <w:rsid w:val="0872069D"/>
    <w:rsid w:val="08767FD2"/>
    <w:rsid w:val="087D7F38"/>
    <w:rsid w:val="091B6406"/>
    <w:rsid w:val="0930374A"/>
    <w:rsid w:val="09702125"/>
    <w:rsid w:val="09B41737"/>
    <w:rsid w:val="09CA2D09"/>
    <w:rsid w:val="09E65669"/>
    <w:rsid w:val="09EA5159"/>
    <w:rsid w:val="09F5235C"/>
    <w:rsid w:val="0A0E69FD"/>
    <w:rsid w:val="0A1A6B67"/>
    <w:rsid w:val="0A3E54A5"/>
    <w:rsid w:val="0A570314"/>
    <w:rsid w:val="0A6523F4"/>
    <w:rsid w:val="0A685FB5"/>
    <w:rsid w:val="0A740EC6"/>
    <w:rsid w:val="0A9F6084"/>
    <w:rsid w:val="0B4006EB"/>
    <w:rsid w:val="0B6C7DF0"/>
    <w:rsid w:val="0B914627"/>
    <w:rsid w:val="0B9B6EF0"/>
    <w:rsid w:val="0B9E10B5"/>
    <w:rsid w:val="0B9E1CB0"/>
    <w:rsid w:val="0BBC2A29"/>
    <w:rsid w:val="0BC47C2C"/>
    <w:rsid w:val="0C0D7AE6"/>
    <w:rsid w:val="0CA02447"/>
    <w:rsid w:val="0CA20070"/>
    <w:rsid w:val="0CAA4063"/>
    <w:rsid w:val="0CC7733C"/>
    <w:rsid w:val="0CC80FED"/>
    <w:rsid w:val="0CD32A34"/>
    <w:rsid w:val="0CF12128"/>
    <w:rsid w:val="0D140105"/>
    <w:rsid w:val="0D2B0D04"/>
    <w:rsid w:val="0D364445"/>
    <w:rsid w:val="0D7E1192"/>
    <w:rsid w:val="0DB82B2F"/>
    <w:rsid w:val="0E0322E5"/>
    <w:rsid w:val="0E650489"/>
    <w:rsid w:val="0E75024E"/>
    <w:rsid w:val="0E8273DD"/>
    <w:rsid w:val="0E9438E5"/>
    <w:rsid w:val="0E954BA0"/>
    <w:rsid w:val="0EC544EB"/>
    <w:rsid w:val="0F177F3C"/>
    <w:rsid w:val="0F1B4006"/>
    <w:rsid w:val="0F1E7653"/>
    <w:rsid w:val="0F287BA3"/>
    <w:rsid w:val="0F3925E0"/>
    <w:rsid w:val="0F3B1552"/>
    <w:rsid w:val="0F823F1F"/>
    <w:rsid w:val="0FA1224B"/>
    <w:rsid w:val="0FAB1B4B"/>
    <w:rsid w:val="0FC147F0"/>
    <w:rsid w:val="0FC83017"/>
    <w:rsid w:val="0FDE143F"/>
    <w:rsid w:val="0FED49BA"/>
    <w:rsid w:val="103E1D5B"/>
    <w:rsid w:val="106141B0"/>
    <w:rsid w:val="106F6EDC"/>
    <w:rsid w:val="10BB100E"/>
    <w:rsid w:val="10CF5BBB"/>
    <w:rsid w:val="10E072B6"/>
    <w:rsid w:val="10FB5335"/>
    <w:rsid w:val="10FD39C4"/>
    <w:rsid w:val="112D1D65"/>
    <w:rsid w:val="11303196"/>
    <w:rsid w:val="11360437"/>
    <w:rsid w:val="113B11BA"/>
    <w:rsid w:val="11515ABE"/>
    <w:rsid w:val="116021A5"/>
    <w:rsid w:val="11A42091"/>
    <w:rsid w:val="11D67B34"/>
    <w:rsid w:val="11F70077"/>
    <w:rsid w:val="11FE6FE0"/>
    <w:rsid w:val="121459A3"/>
    <w:rsid w:val="123A47A4"/>
    <w:rsid w:val="1265442C"/>
    <w:rsid w:val="127C2803"/>
    <w:rsid w:val="127E10FD"/>
    <w:rsid w:val="12851648"/>
    <w:rsid w:val="128819B3"/>
    <w:rsid w:val="12884038"/>
    <w:rsid w:val="12C13398"/>
    <w:rsid w:val="12F876BF"/>
    <w:rsid w:val="13114669"/>
    <w:rsid w:val="132029E9"/>
    <w:rsid w:val="132F1E2E"/>
    <w:rsid w:val="13351019"/>
    <w:rsid w:val="135B72ED"/>
    <w:rsid w:val="136C6CCA"/>
    <w:rsid w:val="13841C28"/>
    <w:rsid w:val="139A08A3"/>
    <w:rsid w:val="13B3480E"/>
    <w:rsid w:val="13BE434A"/>
    <w:rsid w:val="13C925E9"/>
    <w:rsid w:val="13D87533"/>
    <w:rsid w:val="13E55A7C"/>
    <w:rsid w:val="13ED238A"/>
    <w:rsid w:val="144D28BE"/>
    <w:rsid w:val="14852625"/>
    <w:rsid w:val="14A11363"/>
    <w:rsid w:val="14AD3C82"/>
    <w:rsid w:val="14D507B4"/>
    <w:rsid w:val="14E82BDD"/>
    <w:rsid w:val="14FA0051"/>
    <w:rsid w:val="1530421B"/>
    <w:rsid w:val="15335E3C"/>
    <w:rsid w:val="154E749E"/>
    <w:rsid w:val="15585425"/>
    <w:rsid w:val="15632821"/>
    <w:rsid w:val="156E0438"/>
    <w:rsid w:val="159710CE"/>
    <w:rsid w:val="159D13D2"/>
    <w:rsid w:val="15FC7AD1"/>
    <w:rsid w:val="1613202A"/>
    <w:rsid w:val="161D4E95"/>
    <w:rsid w:val="162C017A"/>
    <w:rsid w:val="16435C60"/>
    <w:rsid w:val="165B50B5"/>
    <w:rsid w:val="16715F6C"/>
    <w:rsid w:val="16744260"/>
    <w:rsid w:val="168C342C"/>
    <w:rsid w:val="16921052"/>
    <w:rsid w:val="16991967"/>
    <w:rsid w:val="16A92C1F"/>
    <w:rsid w:val="16AB4918"/>
    <w:rsid w:val="16DF3B6C"/>
    <w:rsid w:val="16E216B8"/>
    <w:rsid w:val="17255A22"/>
    <w:rsid w:val="17292082"/>
    <w:rsid w:val="17394FF8"/>
    <w:rsid w:val="174437BC"/>
    <w:rsid w:val="17A50E24"/>
    <w:rsid w:val="17DE305B"/>
    <w:rsid w:val="17EB6EF9"/>
    <w:rsid w:val="17EF123E"/>
    <w:rsid w:val="181E2472"/>
    <w:rsid w:val="186F67C2"/>
    <w:rsid w:val="18AC5722"/>
    <w:rsid w:val="18BA750B"/>
    <w:rsid w:val="18C03544"/>
    <w:rsid w:val="18D45DFC"/>
    <w:rsid w:val="18DD6311"/>
    <w:rsid w:val="19000928"/>
    <w:rsid w:val="19183BAB"/>
    <w:rsid w:val="192341E3"/>
    <w:rsid w:val="192856B3"/>
    <w:rsid w:val="19506374"/>
    <w:rsid w:val="19AB63C4"/>
    <w:rsid w:val="19BF64ED"/>
    <w:rsid w:val="1A0D6313"/>
    <w:rsid w:val="1A3810FE"/>
    <w:rsid w:val="1A3D0F0C"/>
    <w:rsid w:val="1A3F521F"/>
    <w:rsid w:val="1A501F1B"/>
    <w:rsid w:val="1A7C0E8F"/>
    <w:rsid w:val="1A9A0468"/>
    <w:rsid w:val="1ABE60EB"/>
    <w:rsid w:val="1AFB4481"/>
    <w:rsid w:val="1B3626B5"/>
    <w:rsid w:val="1B544E28"/>
    <w:rsid w:val="1B5938A5"/>
    <w:rsid w:val="1B5D1E9E"/>
    <w:rsid w:val="1B6323E0"/>
    <w:rsid w:val="1BAE4064"/>
    <w:rsid w:val="1BD16179"/>
    <w:rsid w:val="1BD712B5"/>
    <w:rsid w:val="1BDB2B53"/>
    <w:rsid w:val="1C0D795C"/>
    <w:rsid w:val="1C0F788B"/>
    <w:rsid w:val="1C141501"/>
    <w:rsid w:val="1C3D55BC"/>
    <w:rsid w:val="1C7726C5"/>
    <w:rsid w:val="1C814C75"/>
    <w:rsid w:val="1C8F2794"/>
    <w:rsid w:val="1CAE7812"/>
    <w:rsid w:val="1CB20AFB"/>
    <w:rsid w:val="1CB751D0"/>
    <w:rsid w:val="1CB919A4"/>
    <w:rsid w:val="1CD83537"/>
    <w:rsid w:val="1CFC2D19"/>
    <w:rsid w:val="1D105D93"/>
    <w:rsid w:val="1D1E0445"/>
    <w:rsid w:val="1D270AE4"/>
    <w:rsid w:val="1D44283A"/>
    <w:rsid w:val="1D60342F"/>
    <w:rsid w:val="1D78009C"/>
    <w:rsid w:val="1D871C03"/>
    <w:rsid w:val="1D884CF0"/>
    <w:rsid w:val="1D8E0177"/>
    <w:rsid w:val="1DA3413D"/>
    <w:rsid w:val="1E170E52"/>
    <w:rsid w:val="1E543091"/>
    <w:rsid w:val="1E545B64"/>
    <w:rsid w:val="1E7B6870"/>
    <w:rsid w:val="1EC73280"/>
    <w:rsid w:val="1EFF124F"/>
    <w:rsid w:val="1F114792"/>
    <w:rsid w:val="1F444EB4"/>
    <w:rsid w:val="1F503858"/>
    <w:rsid w:val="1F8E7284"/>
    <w:rsid w:val="1FB360E7"/>
    <w:rsid w:val="1FB873A4"/>
    <w:rsid w:val="1FF232DB"/>
    <w:rsid w:val="1FF45850"/>
    <w:rsid w:val="201A430D"/>
    <w:rsid w:val="202D1235"/>
    <w:rsid w:val="203013AA"/>
    <w:rsid w:val="20327A15"/>
    <w:rsid w:val="206E565F"/>
    <w:rsid w:val="20C85CC2"/>
    <w:rsid w:val="20D364EF"/>
    <w:rsid w:val="20E97676"/>
    <w:rsid w:val="21002120"/>
    <w:rsid w:val="21295B5E"/>
    <w:rsid w:val="212D27FA"/>
    <w:rsid w:val="21746608"/>
    <w:rsid w:val="219E373C"/>
    <w:rsid w:val="21AF599B"/>
    <w:rsid w:val="21D0774F"/>
    <w:rsid w:val="223713D9"/>
    <w:rsid w:val="227B2B13"/>
    <w:rsid w:val="22A461F0"/>
    <w:rsid w:val="22C92E53"/>
    <w:rsid w:val="22E460C4"/>
    <w:rsid w:val="22FC4CE3"/>
    <w:rsid w:val="23187739"/>
    <w:rsid w:val="23291E8B"/>
    <w:rsid w:val="23437531"/>
    <w:rsid w:val="236457F5"/>
    <w:rsid w:val="236E081B"/>
    <w:rsid w:val="2387194A"/>
    <w:rsid w:val="238C2DA9"/>
    <w:rsid w:val="23E85901"/>
    <w:rsid w:val="241E63E6"/>
    <w:rsid w:val="24213A15"/>
    <w:rsid w:val="24372BE7"/>
    <w:rsid w:val="24390241"/>
    <w:rsid w:val="245105A4"/>
    <w:rsid w:val="245A0AF2"/>
    <w:rsid w:val="245C2F8D"/>
    <w:rsid w:val="249066DD"/>
    <w:rsid w:val="24A00DDE"/>
    <w:rsid w:val="24E707BB"/>
    <w:rsid w:val="251C369C"/>
    <w:rsid w:val="25536401"/>
    <w:rsid w:val="2566287E"/>
    <w:rsid w:val="259A2AD2"/>
    <w:rsid w:val="25B75565"/>
    <w:rsid w:val="25FD1164"/>
    <w:rsid w:val="2612287C"/>
    <w:rsid w:val="26196704"/>
    <w:rsid w:val="26217CFD"/>
    <w:rsid w:val="26623C6C"/>
    <w:rsid w:val="26C86BA7"/>
    <w:rsid w:val="26E06C71"/>
    <w:rsid w:val="26EA0CB5"/>
    <w:rsid w:val="26F078EA"/>
    <w:rsid w:val="26FD55DC"/>
    <w:rsid w:val="27017996"/>
    <w:rsid w:val="273C36E8"/>
    <w:rsid w:val="2744740D"/>
    <w:rsid w:val="274B251F"/>
    <w:rsid w:val="274B5F1C"/>
    <w:rsid w:val="274C5507"/>
    <w:rsid w:val="274E67F3"/>
    <w:rsid w:val="275D27F4"/>
    <w:rsid w:val="27725362"/>
    <w:rsid w:val="27B17B22"/>
    <w:rsid w:val="27C923FA"/>
    <w:rsid w:val="281250A7"/>
    <w:rsid w:val="28131DB1"/>
    <w:rsid w:val="28251659"/>
    <w:rsid w:val="283C7070"/>
    <w:rsid w:val="284618DF"/>
    <w:rsid w:val="285E0F07"/>
    <w:rsid w:val="286F2FA1"/>
    <w:rsid w:val="289531DE"/>
    <w:rsid w:val="289A5396"/>
    <w:rsid w:val="28E47B36"/>
    <w:rsid w:val="29114FDA"/>
    <w:rsid w:val="291C1B2F"/>
    <w:rsid w:val="29234F87"/>
    <w:rsid w:val="29554B1B"/>
    <w:rsid w:val="29671ECA"/>
    <w:rsid w:val="298A6B2C"/>
    <w:rsid w:val="29B66A0D"/>
    <w:rsid w:val="29F05B24"/>
    <w:rsid w:val="29F179E6"/>
    <w:rsid w:val="2A350D3C"/>
    <w:rsid w:val="2A3A75DF"/>
    <w:rsid w:val="2A4D7E90"/>
    <w:rsid w:val="2A960744"/>
    <w:rsid w:val="2AB51533"/>
    <w:rsid w:val="2AC60E73"/>
    <w:rsid w:val="2ADA3A0F"/>
    <w:rsid w:val="2AFF2BF3"/>
    <w:rsid w:val="2B037A34"/>
    <w:rsid w:val="2B593377"/>
    <w:rsid w:val="2B7C1908"/>
    <w:rsid w:val="2BC1086B"/>
    <w:rsid w:val="2BDC351D"/>
    <w:rsid w:val="2BE13AE1"/>
    <w:rsid w:val="2BEF2275"/>
    <w:rsid w:val="2C230203"/>
    <w:rsid w:val="2C8D32F9"/>
    <w:rsid w:val="2CEB0040"/>
    <w:rsid w:val="2CFD7C72"/>
    <w:rsid w:val="2D427EAD"/>
    <w:rsid w:val="2D9515C6"/>
    <w:rsid w:val="2DC826D3"/>
    <w:rsid w:val="2DEF1607"/>
    <w:rsid w:val="2DEF6D5D"/>
    <w:rsid w:val="2DF27D49"/>
    <w:rsid w:val="2DF803FC"/>
    <w:rsid w:val="2E0C16EA"/>
    <w:rsid w:val="2E910CDC"/>
    <w:rsid w:val="2EBD1EFD"/>
    <w:rsid w:val="2EC715D4"/>
    <w:rsid w:val="2F0B092E"/>
    <w:rsid w:val="2F1D4D98"/>
    <w:rsid w:val="2F4E3303"/>
    <w:rsid w:val="2F625641"/>
    <w:rsid w:val="2F692E79"/>
    <w:rsid w:val="2FA33530"/>
    <w:rsid w:val="2FBF699C"/>
    <w:rsid w:val="2FE51478"/>
    <w:rsid w:val="301C3E1D"/>
    <w:rsid w:val="303C6E79"/>
    <w:rsid w:val="30405223"/>
    <w:rsid w:val="304479DC"/>
    <w:rsid w:val="30564DF2"/>
    <w:rsid w:val="306B0278"/>
    <w:rsid w:val="308E63ED"/>
    <w:rsid w:val="30A77050"/>
    <w:rsid w:val="30BF65F3"/>
    <w:rsid w:val="30C16364"/>
    <w:rsid w:val="30C47C02"/>
    <w:rsid w:val="30F90DEB"/>
    <w:rsid w:val="315F570D"/>
    <w:rsid w:val="31615422"/>
    <w:rsid w:val="3163741B"/>
    <w:rsid w:val="316D2D7B"/>
    <w:rsid w:val="31E0281A"/>
    <w:rsid w:val="31E712E6"/>
    <w:rsid w:val="31FE12D4"/>
    <w:rsid w:val="322352A8"/>
    <w:rsid w:val="32364B30"/>
    <w:rsid w:val="32B271D3"/>
    <w:rsid w:val="32BA0022"/>
    <w:rsid w:val="332643F5"/>
    <w:rsid w:val="33791178"/>
    <w:rsid w:val="33CB12A8"/>
    <w:rsid w:val="33D267D7"/>
    <w:rsid w:val="33D66E83"/>
    <w:rsid w:val="33E82ECD"/>
    <w:rsid w:val="33E95E00"/>
    <w:rsid w:val="33F7209D"/>
    <w:rsid w:val="33FE7F5F"/>
    <w:rsid w:val="34022441"/>
    <w:rsid w:val="340D366E"/>
    <w:rsid w:val="3428064F"/>
    <w:rsid w:val="3460329E"/>
    <w:rsid w:val="34675E29"/>
    <w:rsid w:val="34BF2BBB"/>
    <w:rsid w:val="34E70363"/>
    <w:rsid w:val="34E76031"/>
    <w:rsid w:val="350C3E26"/>
    <w:rsid w:val="3511371C"/>
    <w:rsid w:val="352178D8"/>
    <w:rsid w:val="352251C2"/>
    <w:rsid w:val="353F2CB2"/>
    <w:rsid w:val="35435F75"/>
    <w:rsid w:val="357F2541"/>
    <w:rsid w:val="35827B62"/>
    <w:rsid w:val="358562B5"/>
    <w:rsid w:val="35AD5109"/>
    <w:rsid w:val="35B84990"/>
    <w:rsid w:val="35BA3E5B"/>
    <w:rsid w:val="35F21282"/>
    <w:rsid w:val="36171DC5"/>
    <w:rsid w:val="362F5B1E"/>
    <w:rsid w:val="36493477"/>
    <w:rsid w:val="364D6ED6"/>
    <w:rsid w:val="36673031"/>
    <w:rsid w:val="36B726AE"/>
    <w:rsid w:val="36C3101C"/>
    <w:rsid w:val="36F3211B"/>
    <w:rsid w:val="373525CE"/>
    <w:rsid w:val="374F73CF"/>
    <w:rsid w:val="375873B1"/>
    <w:rsid w:val="375A09AF"/>
    <w:rsid w:val="3766112D"/>
    <w:rsid w:val="37B46FED"/>
    <w:rsid w:val="37CF580A"/>
    <w:rsid w:val="37D1291E"/>
    <w:rsid w:val="37D4026E"/>
    <w:rsid w:val="37DA5E90"/>
    <w:rsid w:val="37EE502E"/>
    <w:rsid w:val="38170F5F"/>
    <w:rsid w:val="383A4B00"/>
    <w:rsid w:val="38A61F0C"/>
    <w:rsid w:val="38B03362"/>
    <w:rsid w:val="38B67EB0"/>
    <w:rsid w:val="38D26C34"/>
    <w:rsid w:val="38E01244"/>
    <w:rsid w:val="392A60A6"/>
    <w:rsid w:val="393A310B"/>
    <w:rsid w:val="39471031"/>
    <w:rsid w:val="39684A29"/>
    <w:rsid w:val="3971644D"/>
    <w:rsid w:val="397C551E"/>
    <w:rsid w:val="3994602B"/>
    <w:rsid w:val="39A92D27"/>
    <w:rsid w:val="39B953E3"/>
    <w:rsid w:val="3A081ED6"/>
    <w:rsid w:val="3A0B3E46"/>
    <w:rsid w:val="3A2C5B75"/>
    <w:rsid w:val="3A483652"/>
    <w:rsid w:val="3A5024DC"/>
    <w:rsid w:val="3A6366DE"/>
    <w:rsid w:val="3AE13585"/>
    <w:rsid w:val="3AE500CF"/>
    <w:rsid w:val="3B051543"/>
    <w:rsid w:val="3B071DE4"/>
    <w:rsid w:val="3B1F5DC1"/>
    <w:rsid w:val="3B3A4AB6"/>
    <w:rsid w:val="3B43221E"/>
    <w:rsid w:val="3B732D74"/>
    <w:rsid w:val="3B8B7F8C"/>
    <w:rsid w:val="3B9A46DD"/>
    <w:rsid w:val="3BA174BE"/>
    <w:rsid w:val="3BA34FDA"/>
    <w:rsid w:val="3BBB7C7B"/>
    <w:rsid w:val="3BBD0245"/>
    <w:rsid w:val="3BC5576C"/>
    <w:rsid w:val="3C35213B"/>
    <w:rsid w:val="3C5067EE"/>
    <w:rsid w:val="3C581218"/>
    <w:rsid w:val="3CD218F9"/>
    <w:rsid w:val="3CD704BD"/>
    <w:rsid w:val="3CE75849"/>
    <w:rsid w:val="3D1A6A65"/>
    <w:rsid w:val="3D4B689C"/>
    <w:rsid w:val="3D8F7C9A"/>
    <w:rsid w:val="3DDC2A2F"/>
    <w:rsid w:val="3E2D4876"/>
    <w:rsid w:val="3E570493"/>
    <w:rsid w:val="3E88226F"/>
    <w:rsid w:val="3EAD5AA8"/>
    <w:rsid w:val="3EBC63BD"/>
    <w:rsid w:val="3EDB4A95"/>
    <w:rsid w:val="3EE057E6"/>
    <w:rsid w:val="3F18690D"/>
    <w:rsid w:val="3F1B285B"/>
    <w:rsid w:val="3F2A3743"/>
    <w:rsid w:val="3F310B59"/>
    <w:rsid w:val="3F43243B"/>
    <w:rsid w:val="3F47212A"/>
    <w:rsid w:val="3F6A3CD5"/>
    <w:rsid w:val="3FC3432C"/>
    <w:rsid w:val="3FCB19D9"/>
    <w:rsid w:val="3FCB2D5B"/>
    <w:rsid w:val="3FE57C96"/>
    <w:rsid w:val="3FF81D2D"/>
    <w:rsid w:val="400B5793"/>
    <w:rsid w:val="402847E9"/>
    <w:rsid w:val="40302BBE"/>
    <w:rsid w:val="405E34A3"/>
    <w:rsid w:val="407C7161"/>
    <w:rsid w:val="407D5E86"/>
    <w:rsid w:val="40807762"/>
    <w:rsid w:val="409A44DC"/>
    <w:rsid w:val="40A92971"/>
    <w:rsid w:val="40BC08F6"/>
    <w:rsid w:val="40BE0F76"/>
    <w:rsid w:val="40CB718C"/>
    <w:rsid w:val="40DD59C2"/>
    <w:rsid w:val="41610361"/>
    <w:rsid w:val="41A8307D"/>
    <w:rsid w:val="41C06995"/>
    <w:rsid w:val="41DB1250"/>
    <w:rsid w:val="41E2613A"/>
    <w:rsid w:val="421B6FDC"/>
    <w:rsid w:val="42595C18"/>
    <w:rsid w:val="429E14C7"/>
    <w:rsid w:val="429F2762"/>
    <w:rsid w:val="42AB17FE"/>
    <w:rsid w:val="42B11DCD"/>
    <w:rsid w:val="42B94A9C"/>
    <w:rsid w:val="42FF5094"/>
    <w:rsid w:val="43202928"/>
    <w:rsid w:val="436C03B1"/>
    <w:rsid w:val="43C7528C"/>
    <w:rsid w:val="43CB220C"/>
    <w:rsid w:val="445415FA"/>
    <w:rsid w:val="445B3984"/>
    <w:rsid w:val="445B5455"/>
    <w:rsid w:val="44943A7F"/>
    <w:rsid w:val="44DF70BA"/>
    <w:rsid w:val="450F631C"/>
    <w:rsid w:val="453971E4"/>
    <w:rsid w:val="453C54BE"/>
    <w:rsid w:val="45476363"/>
    <w:rsid w:val="456069C3"/>
    <w:rsid w:val="456D040C"/>
    <w:rsid w:val="463F7FFF"/>
    <w:rsid w:val="46484BFF"/>
    <w:rsid w:val="46512233"/>
    <w:rsid w:val="46540D24"/>
    <w:rsid w:val="46A737E8"/>
    <w:rsid w:val="46C14018"/>
    <w:rsid w:val="46C73076"/>
    <w:rsid w:val="46D07EE5"/>
    <w:rsid w:val="46E465A3"/>
    <w:rsid w:val="46F806BD"/>
    <w:rsid w:val="47043CAB"/>
    <w:rsid w:val="472705CE"/>
    <w:rsid w:val="4770626C"/>
    <w:rsid w:val="479A2C46"/>
    <w:rsid w:val="479C5136"/>
    <w:rsid w:val="47E06018"/>
    <w:rsid w:val="48653A64"/>
    <w:rsid w:val="48811B8A"/>
    <w:rsid w:val="48C43988"/>
    <w:rsid w:val="48E83E36"/>
    <w:rsid w:val="49345B93"/>
    <w:rsid w:val="494C4B08"/>
    <w:rsid w:val="49951EFC"/>
    <w:rsid w:val="499A26FB"/>
    <w:rsid w:val="49B026D9"/>
    <w:rsid w:val="49B722B7"/>
    <w:rsid w:val="49C15E4A"/>
    <w:rsid w:val="49D955C3"/>
    <w:rsid w:val="49ED65A4"/>
    <w:rsid w:val="4A307756"/>
    <w:rsid w:val="4A442B1E"/>
    <w:rsid w:val="4A4F33AF"/>
    <w:rsid w:val="4A6D7DCA"/>
    <w:rsid w:val="4A9910AB"/>
    <w:rsid w:val="4A992597"/>
    <w:rsid w:val="4A9B332A"/>
    <w:rsid w:val="4AD625B4"/>
    <w:rsid w:val="4AFF509B"/>
    <w:rsid w:val="4B1D284D"/>
    <w:rsid w:val="4B4014D1"/>
    <w:rsid w:val="4B5E2E2F"/>
    <w:rsid w:val="4B675E1C"/>
    <w:rsid w:val="4B7E32F5"/>
    <w:rsid w:val="4BC73F17"/>
    <w:rsid w:val="4BEB73D9"/>
    <w:rsid w:val="4C166235"/>
    <w:rsid w:val="4C1C544C"/>
    <w:rsid w:val="4C313219"/>
    <w:rsid w:val="4C5D1828"/>
    <w:rsid w:val="4C6C738D"/>
    <w:rsid w:val="4C6D0CF6"/>
    <w:rsid w:val="4C7E6A54"/>
    <w:rsid w:val="4C865C08"/>
    <w:rsid w:val="4D317F76"/>
    <w:rsid w:val="4D7E2A50"/>
    <w:rsid w:val="4DA23565"/>
    <w:rsid w:val="4DA9629F"/>
    <w:rsid w:val="4DB7491F"/>
    <w:rsid w:val="4DD038A9"/>
    <w:rsid w:val="4DE1199C"/>
    <w:rsid w:val="4E49490E"/>
    <w:rsid w:val="4E551A8D"/>
    <w:rsid w:val="4EB250E6"/>
    <w:rsid w:val="4EE207BB"/>
    <w:rsid w:val="4EF75916"/>
    <w:rsid w:val="4F1720D5"/>
    <w:rsid w:val="4F1D51EC"/>
    <w:rsid w:val="4F1F0C9F"/>
    <w:rsid w:val="4F244C6A"/>
    <w:rsid w:val="4FB00148"/>
    <w:rsid w:val="4FE12F08"/>
    <w:rsid w:val="4FF63972"/>
    <w:rsid w:val="500B4BE0"/>
    <w:rsid w:val="504A7CCC"/>
    <w:rsid w:val="504B329A"/>
    <w:rsid w:val="50510FED"/>
    <w:rsid w:val="50580297"/>
    <w:rsid w:val="50697817"/>
    <w:rsid w:val="506F6B37"/>
    <w:rsid w:val="5086682B"/>
    <w:rsid w:val="5090365A"/>
    <w:rsid w:val="51096E4A"/>
    <w:rsid w:val="51106525"/>
    <w:rsid w:val="511A6C71"/>
    <w:rsid w:val="512567F5"/>
    <w:rsid w:val="513C4D1D"/>
    <w:rsid w:val="514C3DAD"/>
    <w:rsid w:val="515047BA"/>
    <w:rsid w:val="5157430C"/>
    <w:rsid w:val="51916F53"/>
    <w:rsid w:val="519B2DB4"/>
    <w:rsid w:val="51AA4C59"/>
    <w:rsid w:val="51AD182B"/>
    <w:rsid w:val="51CB4CC2"/>
    <w:rsid w:val="51D829D5"/>
    <w:rsid w:val="51ED0D38"/>
    <w:rsid w:val="51F31FFB"/>
    <w:rsid w:val="51FA103F"/>
    <w:rsid w:val="520170B1"/>
    <w:rsid w:val="524428F4"/>
    <w:rsid w:val="5247070E"/>
    <w:rsid w:val="5257047F"/>
    <w:rsid w:val="525B5D4E"/>
    <w:rsid w:val="52693AF2"/>
    <w:rsid w:val="52765BD3"/>
    <w:rsid w:val="52851E0F"/>
    <w:rsid w:val="529B0943"/>
    <w:rsid w:val="52F44E38"/>
    <w:rsid w:val="52FE3AEF"/>
    <w:rsid w:val="53284056"/>
    <w:rsid w:val="537038AC"/>
    <w:rsid w:val="537540CD"/>
    <w:rsid w:val="53911E0A"/>
    <w:rsid w:val="53E13EC3"/>
    <w:rsid w:val="53E415EA"/>
    <w:rsid w:val="54140409"/>
    <w:rsid w:val="546837CB"/>
    <w:rsid w:val="54723DA3"/>
    <w:rsid w:val="547A0454"/>
    <w:rsid w:val="548C2969"/>
    <w:rsid w:val="549624AE"/>
    <w:rsid w:val="54CF254E"/>
    <w:rsid w:val="55081F04"/>
    <w:rsid w:val="550B7745"/>
    <w:rsid w:val="554A42CB"/>
    <w:rsid w:val="55607267"/>
    <w:rsid w:val="556421BF"/>
    <w:rsid w:val="55676BB4"/>
    <w:rsid w:val="55835251"/>
    <w:rsid w:val="55913CA7"/>
    <w:rsid w:val="55CC6A83"/>
    <w:rsid w:val="560E3249"/>
    <w:rsid w:val="56186177"/>
    <w:rsid w:val="561B7A15"/>
    <w:rsid w:val="56293EE0"/>
    <w:rsid w:val="563F3703"/>
    <w:rsid w:val="56643F7B"/>
    <w:rsid w:val="56821842"/>
    <w:rsid w:val="569F0646"/>
    <w:rsid w:val="56B45E9F"/>
    <w:rsid w:val="56D3302D"/>
    <w:rsid w:val="56D973CF"/>
    <w:rsid w:val="56FC63ED"/>
    <w:rsid w:val="57035F7F"/>
    <w:rsid w:val="570E4942"/>
    <w:rsid w:val="573222F5"/>
    <w:rsid w:val="5737262D"/>
    <w:rsid w:val="579A0B0F"/>
    <w:rsid w:val="57A62FDE"/>
    <w:rsid w:val="57BA102C"/>
    <w:rsid w:val="57DD6DD0"/>
    <w:rsid w:val="582A366D"/>
    <w:rsid w:val="585169D2"/>
    <w:rsid w:val="585C225A"/>
    <w:rsid w:val="5861548F"/>
    <w:rsid w:val="586E664B"/>
    <w:rsid w:val="58861256"/>
    <w:rsid w:val="58D03F93"/>
    <w:rsid w:val="59016B9E"/>
    <w:rsid w:val="595963DC"/>
    <w:rsid w:val="595A456A"/>
    <w:rsid w:val="59607A95"/>
    <w:rsid w:val="59964FFE"/>
    <w:rsid w:val="59C4137C"/>
    <w:rsid w:val="59DB6FF7"/>
    <w:rsid w:val="59E20C6B"/>
    <w:rsid w:val="5A2515C6"/>
    <w:rsid w:val="5A2E66EC"/>
    <w:rsid w:val="5A395940"/>
    <w:rsid w:val="5A402FFF"/>
    <w:rsid w:val="5A513553"/>
    <w:rsid w:val="5A7632E8"/>
    <w:rsid w:val="5A782BA3"/>
    <w:rsid w:val="5A7F7348"/>
    <w:rsid w:val="5A8329E1"/>
    <w:rsid w:val="5A8D4028"/>
    <w:rsid w:val="5A976D2B"/>
    <w:rsid w:val="5A9B5D67"/>
    <w:rsid w:val="5AD059E8"/>
    <w:rsid w:val="5AE92B8E"/>
    <w:rsid w:val="5B075A06"/>
    <w:rsid w:val="5B153530"/>
    <w:rsid w:val="5B3168E5"/>
    <w:rsid w:val="5B4C3B08"/>
    <w:rsid w:val="5B520207"/>
    <w:rsid w:val="5B6D574D"/>
    <w:rsid w:val="5B8338B0"/>
    <w:rsid w:val="5B885B4D"/>
    <w:rsid w:val="5BFB6474"/>
    <w:rsid w:val="5C0D7037"/>
    <w:rsid w:val="5C2A7DE1"/>
    <w:rsid w:val="5C6829AF"/>
    <w:rsid w:val="5C6D1843"/>
    <w:rsid w:val="5C806B92"/>
    <w:rsid w:val="5C8E21D6"/>
    <w:rsid w:val="5C8F1D6F"/>
    <w:rsid w:val="5C9F5B4C"/>
    <w:rsid w:val="5CAC586B"/>
    <w:rsid w:val="5CF26970"/>
    <w:rsid w:val="5D1860EA"/>
    <w:rsid w:val="5D5B375C"/>
    <w:rsid w:val="5D5D1495"/>
    <w:rsid w:val="5D634689"/>
    <w:rsid w:val="5D6D26E9"/>
    <w:rsid w:val="5D703886"/>
    <w:rsid w:val="5D9A4716"/>
    <w:rsid w:val="5E0733DA"/>
    <w:rsid w:val="5E1406C1"/>
    <w:rsid w:val="5E1A1D20"/>
    <w:rsid w:val="5E2F7E48"/>
    <w:rsid w:val="5E602469"/>
    <w:rsid w:val="5E717821"/>
    <w:rsid w:val="5EAB5584"/>
    <w:rsid w:val="5EC52DEA"/>
    <w:rsid w:val="5ECB3D0A"/>
    <w:rsid w:val="5ED510A9"/>
    <w:rsid w:val="5EF263E7"/>
    <w:rsid w:val="5EF75F46"/>
    <w:rsid w:val="5F21609C"/>
    <w:rsid w:val="5F230BEF"/>
    <w:rsid w:val="5F622ECF"/>
    <w:rsid w:val="5FA665A1"/>
    <w:rsid w:val="5FA8661B"/>
    <w:rsid w:val="5FAB7FB5"/>
    <w:rsid w:val="5FAD2544"/>
    <w:rsid w:val="5FB66017"/>
    <w:rsid w:val="5FFE29B9"/>
    <w:rsid w:val="60786190"/>
    <w:rsid w:val="608E7761"/>
    <w:rsid w:val="60915473"/>
    <w:rsid w:val="6092153B"/>
    <w:rsid w:val="609B683C"/>
    <w:rsid w:val="60A00576"/>
    <w:rsid w:val="60AF2097"/>
    <w:rsid w:val="60B34A44"/>
    <w:rsid w:val="60B753A8"/>
    <w:rsid w:val="60BB7E2A"/>
    <w:rsid w:val="60C870C1"/>
    <w:rsid w:val="60F51603"/>
    <w:rsid w:val="615D7134"/>
    <w:rsid w:val="618F268C"/>
    <w:rsid w:val="61EA23B0"/>
    <w:rsid w:val="620A72BB"/>
    <w:rsid w:val="62287615"/>
    <w:rsid w:val="622F67B3"/>
    <w:rsid w:val="627D4254"/>
    <w:rsid w:val="62897466"/>
    <w:rsid w:val="62AD3683"/>
    <w:rsid w:val="62B261AF"/>
    <w:rsid w:val="62F57B08"/>
    <w:rsid w:val="6303429D"/>
    <w:rsid w:val="631A2E6B"/>
    <w:rsid w:val="63205356"/>
    <w:rsid w:val="63424833"/>
    <w:rsid w:val="635822A8"/>
    <w:rsid w:val="63583AEB"/>
    <w:rsid w:val="63737FC7"/>
    <w:rsid w:val="63C656BB"/>
    <w:rsid w:val="63CE3380"/>
    <w:rsid w:val="63E36016"/>
    <w:rsid w:val="63F21DB5"/>
    <w:rsid w:val="63FF6480"/>
    <w:rsid w:val="640A1EA8"/>
    <w:rsid w:val="642900E6"/>
    <w:rsid w:val="64302590"/>
    <w:rsid w:val="64495DD6"/>
    <w:rsid w:val="64623809"/>
    <w:rsid w:val="64746C6E"/>
    <w:rsid w:val="647C3D75"/>
    <w:rsid w:val="65080F89"/>
    <w:rsid w:val="651D10B4"/>
    <w:rsid w:val="651E4E2C"/>
    <w:rsid w:val="65436EA9"/>
    <w:rsid w:val="655A76A7"/>
    <w:rsid w:val="655C6589"/>
    <w:rsid w:val="66047425"/>
    <w:rsid w:val="661052EF"/>
    <w:rsid w:val="66207331"/>
    <w:rsid w:val="66272FE9"/>
    <w:rsid w:val="662830CF"/>
    <w:rsid w:val="66747DFB"/>
    <w:rsid w:val="66767F83"/>
    <w:rsid w:val="66AA160B"/>
    <w:rsid w:val="66D54C1C"/>
    <w:rsid w:val="66F41F1E"/>
    <w:rsid w:val="6701113C"/>
    <w:rsid w:val="671C40AC"/>
    <w:rsid w:val="672D4EE4"/>
    <w:rsid w:val="677658C0"/>
    <w:rsid w:val="6797113A"/>
    <w:rsid w:val="67AF1F51"/>
    <w:rsid w:val="67BC1DD1"/>
    <w:rsid w:val="67C86935"/>
    <w:rsid w:val="67D14F07"/>
    <w:rsid w:val="67D66924"/>
    <w:rsid w:val="67E07000"/>
    <w:rsid w:val="67E77C07"/>
    <w:rsid w:val="67EA3883"/>
    <w:rsid w:val="67EC51A3"/>
    <w:rsid w:val="680F17C8"/>
    <w:rsid w:val="681211EB"/>
    <w:rsid w:val="681C04AD"/>
    <w:rsid w:val="683A6B4A"/>
    <w:rsid w:val="68444162"/>
    <w:rsid w:val="686A6F2B"/>
    <w:rsid w:val="68825416"/>
    <w:rsid w:val="68AA0B6B"/>
    <w:rsid w:val="68AC217A"/>
    <w:rsid w:val="68C77ED2"/>
    <w:rsid w:val="68E24AEE"/>
    <w:rsid w:val="68E331BF"/>
    <w:rsid w:val="6922138F"/>
    <w:rsid w:val="69553CC1"/>
    <w:rsid w:val="69766FE4"/>
    <w:rsid w:val="699B3AEE"/>
    <w:rsid w:val="69F85C86"/>
    <w:rsid w:val="69FB2DD8"/>
    <w:rsid w:val="6A09523D"/>
    <w:rsid w:val="6A1B26B7"/>
    <w:rsid w:val="6A244C92"/>
    <w:rsid w:val="6A2809FC"/>
    <w:rsid w:val="6A883CBC"/>
    <w:rsid w:val="6A902328"/>
    <w:rsid w:val="6AF77EBF"/>
    <w:rsid w:val="6B19056F"/>
    <w:rsid w:val="6B340F05"/>
    <w:rsid w:val="6B345E30"/>
    <w:rsid w:val="6B3A216D"/>
    <w:rsid w:val="6B505357"/>
    <w:rsid w:val="6B735ED1"/>
    <w:rsid w:val="6B874EAB"/>
    <w:rsid w:val="6B985938"/>
    <w:rsid w:val="6BFB3E5A"/>
    <w:rsid w:val="6BFD3458"/>
    <w:rsid w:val="6C00034A"/>
    <w:rsid w:val="6C423778"/>
    <w:rsid w:val="6CAF118B"/>
    <w:rsid w:val="6CBB7E1F"/>
    <w:rsid w:val="6CC01E51"/>
    <w:rsid w:val="6CF372CA"/>
    <w:rsid w:val="6D027F59"/>
    <w:rsid w:val="6D1A6D54"/>
    <w:rsid w:val="6D2D1C64"/>
    <w:rsid w:val="6D475F5F"/>
    <w:rsid w:val="6D600E21"/>
    <w:rsid w:val="6D68133A"/>
    <w:rsid w:val="6D952804"/>
    <w:rsid w:val="6DA82289"/>
    <w:rsid w:val="6DAC29BA"/>
    <w:rsid w:val="6DE915B6"/>
    <w:rsid w:val="6E061A11"/>
    <w:rsid w:val="6E345B45"/>
    <w:rsid w:val="6E63668A"/>
    <w:rsid w:val="6E671CA5"/>
    <w:rsid w:val="6E741E30"/>
    <w:rsid w:val="6E9A5352"/>
    <w:rsid w:val="6EA0733B"/>
    <w:rsid w:val="6EBB122E"/>
    <w:rsid w:val="6EBB2C83"/>
    <w:rsid w:val="6EC77A48"/>
    <w:rsid w:val="6EC77E06"/>
    <w:rsid w:val="6EC97030"/>
    <w:rsid w:val="6F0E4F29"/>
    <w:rsid w:val="6F2B35AD"/>
    <w:rsid w:val="6F332F4A"/>
    <w:rsid w:val="6F3C2DD2"/>
    <w:rsid w:val="6F8063CA"/>
    <w:rsid w:val="6FB66044"/>
    <w:rsid w:val="6FE8588F"/>
    <w:rsid w:val="700A492A"/>
    <w:rsid w:val="703F6602"/>
    <w:rsid w:val="70F34F86"/>
    <w:rsid w:val="70F759D2"/>
    <w:rsid w:val="71211F2C"/>
    <w:rsid w:val="713E329A"/>
    <w:rsid w:val="7146159B"/>
    <w:rsid w:val="714D0321"/>
    <w:rsid w:val="715C7211"/>
    <w:rsid w:val="718D73C3"/>
    <w:rsid w:val="71900A0A"/>
    <w:rsid w:val="719A4E18"/>
    <w:rsid w:val="71BC787F"/>
    <w:rsid w:val="71BE3E19"/>
    <w:rsid w:val="72011EEA"/>
    <w:rsid w:val="720A0C12"/>
    <w:rsid w:val="723051E4"/>
    <w:rsid w:val="727517BE"/>
    <w:rsid w:val="72BB53F2"/>
    <w:rsid w:val="73004C22"/>
    <w:rsid w:val="733777E5"/>
    <w:rsid w:val="73530396"/>
    <w:rsid w:val="73555EBD"/>
    <w:rsid w:val="735B0092"/>
    <w:rsid w:val="7386317F"/>
    <w:rsid w:val="73920EBF"/>
    <w:rsid w:val="7395781C"/>
    <w:rsid w:val="73A53748"/>
    <w:rsid w:val="73B01345"/>
    <w:rsid w:val="73F00452"/>
    <w:rsid w:val="73F97D41"/>
    <w:rsid w:val="74A353FC"/>
    <w:rsid w:val="74B55FCA"/>
    <w:rsid w:val="751604C0"/>
    <w:rsid w:val="751E6462"/>
    <w:rsid w:val="7547670C"/>
    <w:rsid w:val="754B5EDD"/>
    <w:rsid w:val="756D7FC7"/>
    <w:rsid w:val="75B626CC"/>
    <w:rsid w:val="75D86956"/>
    <w:rsid w:val="75EE1EAC"/>
    <w:rsid w:val="761205FE"/>
    <w:rsid w:val="761518EF"/>
    <w:rsid w:val="761D11FC"/>
    <w:rsid w:val="76393874"/>
    <w:rsid w:val="76753CC2"/>
    <w:rsid w:val="768947FB"/>
    <w:rsid w:val="768A49A6"/>
    <w:rsid w:val="76BA279A"/>
    <w:rsid w:val="76BD3140"/>
    <w:rsid w:val="76D75E34"/>
    <w:rsid w:val="76DB2A57"/>
    <w:rsid w:val="76DD04DF"/>
    <w:rsid w:val="76EE5BC6"/>
    <w:rsid w:val="76F1318D"/>
    <w:rsid w:val="76F226CA"/>
    <w:rsid w:val="770245AD"/>
    <w:rsid w:val="77360703"/>
    <w:rsid w:val="773B1F42"/>
    <w:rsid w:val="77492189"/>
    <w:rsid w:val="776E61EE"/>
    <w:rsid w:val="777D019A"/>
    <w:rsid w:val="779D0C3B"/>
    <w:rsid w:val="77BA27C4"/>
    <w:rsid w:val="77C16217"/>
    <w:rsid w:val="781E6439"/>
    <w:rsid w:val="78214A6B"/>
    <w:rsid w:val="7824041B"/>
    <w:rsid w:val="78464D20"/>
    <w:rsid w:val="78897474"/>
    <w:rsid w:val="78A64B86"/>
    <w:rsid w:val="78BD078C"/>
    <w:rsid w:val="78DE3D6C"/>
    <w:rsid w:val="78E33867"/>
    <w:rsid w:val="78E52BDC"/>
    <w:rsid w:val="78EF290F"/>
    <w:rsid w:val="78F93EFF"/>
    <w:rsid w:val="790776EC"/>
    <w:rsid w:val="798701EE"/>
    <w:rsid w:val="798720C7"/>
    <w:rsid w:val="798B75C8"/>
    <w:rsid w:val="798D230A"/>
    <w:rsid w:val="79A3081B"/>
    <w:rsid w:val="79A8143C"/>
    <w:rsid w:val="79E65AC0"/>
    <w:rsid w:val="7A071D78"/>
    <w:rsid w:val="7A254C15"/>
    <w:rsid w:val="7A2D742D"/>
    <w:rsid w:val="7A5600FC"/>
    <w:rsid w:val="7A6447EC"/>
    <w:rsid w:val="7A6E489C"/>
    <w:rsid w:val="7A716D06"/>
    <w:rsid w:val="7AC662B5"/>
    <w:rsid w:val="7B347D8A"/>
    <w:rsid w:val="7B8F4980"/>
    <w:rsid w:val="7B972CB9"/>
    <w:rsid w:val="7BA61501"/>
    <w:rsid w:val="7BAF14B0"/>
    <w:rsid w:val="7BD06448"/>
    <w:rsid w:val="7CA103C5"/>
    <w:rsid w:val="7CA420D7"/>
    <w:rsid w:val="7CC52305"/>
    <w:rsid w:val="7CE922B5"/>
    <w:rsid w:val="7CF0056D"/>
    <w:rsid w:val="7CFD4359"/>
    <w:rsid w:val="7D196F8A"/>
    <w:rsid w:val="7D324E38"/>
    <w:rsid w:val="7D376D09"/>
    <w:rsid w:val="7D3A16E9"/>
    <w:rsid w:val="7D4A2A43"/>
    <w:rsid w:val="7D6852E4"/>
    <w:rsid w:val="7D7B5294"/>
    <w:rsid w:val="7D9D74DD"/>
    <w:rsid w:val="7DA92784"/>
    <w:rsid w:val="7DB37D69"/>
    <w:rsid w:val="7DCA019C"/>
    <w:rsid w:val="7DE5100B"/>
    <w:rsid w:val="7DE55723"/>
    <w:rsid w:val="7DED451A"/>
    <w:rsid w:val="7E0B01EB"/>
    <w:rsid w:val="7E2214CE"/>
    <w:rsid w:val="7E2F24BC"/>
    <w:rsid w:val="7E564EE1"/>
    <w:rsid w:val="7E6D3957"/>
    <w:rsid w:val="7E6D67B0"/>
    <w:rsid w:val="7E8D7C7B"/>
    <w:rsid w:val="7EA83077"/>
    <w:rsid w:val="7ECD0B10"/>
    <w:rsid w:val="7ED53E1B"/>
    <w:rsid w:val="7F1D6A6D"/>
    <w:rsid w:val="7F2554A7"/>
    <w:rsid w:val="7F2A34D9"/>
    <w:rsid w:val="7F4D44C9"/>
    <w:rsid w:val="7F6359A5"/>
    <w:rsid w:val="7F7A3881"/>
    <w:rsid w:val="7F9D53CD"/>
    <w:rsid w:val="7FA60682"/>
    <w:rsid w:val="7FB56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autoRedefine/>
    <w:qFormat/>
    <w:uiPriority w:val="0"/>
    <w:pPr>
      <w:autoSpaceDE w:val="0"/>
      <w:autoSpaceDN w:val="0"/>
      <w:adjustRightInd w:val="0"/>
      <w:jc w:val="left"/>
      <w:outlineLvl w:val="0"/>
    </w:pPr>
    <w:rPr>
      <w:kern w:val="0"/>
      <w:sz w:val="30"/>
    </w:rPr>
  </w:style>
  <w:style w:type="paragraph" w:styleId="4">
    <w:name w:val="heading 2"/>
    <w:basedOn w:val="1"/>
    <w:next w:val="1"/>
    <w:autoRedefine/>
    <w:qFormat/>
    <w:uiPriority w:val="0"/>
    <w:pPr>
      <w:autoSpaceDE w:val="0"/>
      <w:autoSpaceDN w:val="0"/>
      <w:adjustRightInd w:val="0"/>
      <w:jc w:val="left"/>
      <w:outlineLvl w:val="1"/>
    </w:pPr>
    <w:rPr>
      <w:kern w:val="0"/>
    </w:rPr>
  </w:style>
  <w:style w:type="paragraph" w:styleId="5">
    <w:name w:val="heading 3"/>
    <w:basedOn w:val="1"/>
    <w:next w:val="1"/>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2">
    <w:name w:val="heading 4"/>
    <w:basedOn w:val="1"/>
    <w:next w:val="1"/>
    <w:autoRedefine/>
    <w:qFormat/>
    <w:uiPriority w:val="0"/>
    <w:pPr>
      <w:keepNext/>
      <w:keepLines/>
      <w:spacing w:before="280" w:after="290" w:line="374" w:lineRule="auto"/>
      <w:outlineLvl w:val="3"/>
    </w:pPr>
    <w:rPr>
      <w:rFonts w:ascii="Arial" w:hAnsi="Arial"/>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680"/>
      <w:jc w:val="left"/>
    </w:pPr>
  </w:style>
  <w:style w:type="paragraph" w:styleId="7">
    <w:name w:val="table of authorities"/>
    <w:basedOn w:val="1"/>
    <w:next w:val="1"/>
    <w:autoRedefine/>
    <w:qFormat/>
    <w:uiPriority w:val="0"/>
    <w:pPr>
      <w:ind w:left="420" w:leftChars="200"/>
    </w:pPr>
  </w:style>
  <w:style w:type="paragraph" w:styleId="8">
    <w:name w:val="Document Map"/>
    <w:basedOn w:val="1"/>
    <w:autoRedefine/>
    <w:qFormat/>
    <w:uiPriority w:val="0"/>
    <w:pPr>
      <w:shd w:val="clear" w:color="auto" w:fill="000080"/>
    </w:pPr>
  </w:style>
  <w:style w:type="paragraph" w:styleId="9">
    <w:name w:val="annotation text"/>
    <w:basedOn w:val="1"/>
    <w:next w:val="1"/>
    <w:autoRedefine/>
    <w:qFormat/>
    <w:uiPriority w:val="0"/>
    <w:pPr>
      <w:adjustRightInd w:val="0"/>
      <w:spacing w:line="360" w:lineRule="atLeast"/>
      <w:jc w:val="left"/>
      <w:textAlignment w:val="baseline"/>
    </w:pPr>
    <w:rPr>
      <w:kern w:val="0"/>
    </w:rPr>
  </w:style>
  <w:style w:type="paragraph" w:styleId="10">
    <w:name w:val="Body Text"/>
    <w:basedOn w:val="1"/>
    <w:autoRedefine/>
    <w:qFormat/>
    <w:uiPriority w:val="0"/>
    <w:pPr>
      <w:spacing w:after="120"/>
    </w:pPr>
  </w:style>
  <w:style w:type="paragraph" w:styleId="11">
    <w:name w:val="Body Text Indent"/>
    <w:basedOn w:val="1"/>
    <w:link w:val="44"/>
    <w:autoRedefine/>
    <w:qFormat/>
    <w:uiPriority w:val="0"/>
    <w:pPr>
      <w:ind w:firstLine="560" w:firstLineChars="200"/>
    </w:pPr>
  </w:style>
  <w:style w:type="paragraph" w:styleId="12">
    <w:name w:val="toc 5"/>
    <w:basedOn w:val="1"/>
    <w:next w:val="1"/>
    <w:autoRedefine/>
    <w:qFormat/>
    <w:uiPriority w:val="0"/>
    <w:pPr>
      <w:ind w:left="1120"/>
      <w:jc w:val="left"/>
    </w:pPr>
  </w:style>
  <w:style w:type="paragraph" w:styleId="13">
    <w:name w:val="toc 3"/>
    <w:basedOn w:val="1"/>
    <w:next w:val="1"/>
    <w:autoRedefine/>
    <w:qFormat/>
    <w:uiPriority w:val="0"/>
    <w:pPr>
      <w:ind w:left="561"/>
      <w:jc w:val="left"/>
    </w:pPr>
  </w:style>
  <w:style w:type="paragraph" w:styleId="14">
    <w:name w:val="Plain Text"/>
    <w:basedOn w:val="1"/>
    <w:qFormat/>
    <w:uiPriority w:val="0"/>
    <w:rPr>
      <w:rFonts w:ascii="宋体" w:hAnsi="Courier New" w:eastAsia="宋体" w:cs="Courier New"/>
      <w:szCs w:val="21"/>
    </w:rPr>
  </w:style>
  <w:style w:type="paragraph" w:styleId="15">
    <w:name w:val="toc 8"/>
    <w:basedOn w:val="1"/>
    <w:next w:val="1"/>
    <w:autoRedefine/>
    <w:qFormat/>
    <w:uiPriority w:val="0"/>
    <w:pPr>
      <w:ind w:left="1960"/>
      <w:jc w:val="left"/>
    </w:pPr>
  </w:style>
  <w:style w:type="paragraph" w:styleId="16">
    <w:name w:val="Body Text Indent 2"/>
    <w:basedOn w:val="1"/>
    <w:autoRedefine/>
    <w:qFormat/>
    <w:uiPriority w:val="0"/>
    <w:pPr>
      <w:spacing w:line="480" w:lineRule="auto"/>
      <w:ind w:firstLine="561"/>
    </w:pPr>
  </w:style>
  <w:style w:type="paragraph" w:styleId="17">
    <w:name w:val="Balloon Text"/>
    <w:basedOn w:val="1"/>
    <w:autoRedefine/>
    <w:qFormat/>
    <w:uiPriority w:val="0"/>
    <w:rPr>
      <w:sz w:val="18"/>
      <w:szCs w:val="18"/>
    </w:rPr>
  </w:style>
  <w:style w:type="paragraph" w:styleId="18">
    <w:name w:val="footer"/>
    <w:basedOn w:val="1"/>
    <w:autoRedefine/>
    <w:qFormat/>
    <w:uiPriority w:val="0"/>
    <w:pPr>
      <w:widowControl/>
      <w:tabs>
        <w:tab w:val="center" w:pos="4153"/>
        <w:tab w:val="right" w:pos="8306"/>
      </w:tabs>
      <w:snapToGrid w:val="0"/>
      <w:jc w:val="left"/>
    </w:pPr>
    <w:rPr>
      <w:kern w:val="0"/>
      <w:sz w:val="18"/>
    </w:rPr>
  </w:style>
  <w:style w:type="paragraph" w:styleId="19">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0">
    <w:name w:val="toc 1"/>
    <w:basedOn w:val="1"/>
    <w:next w:val="1"/>
    <w:autoRedefine/>
    <w:qFormat/>
    <w:uiPriority w:val="0"/>
    <w:pPr>
      <w:spacing w:before="120" w:after="120"/>
      <w:jc w:val="left"/>
    </w:pPr>
    <w:rPr>
      <w:caps/>
    </w:rPr>
  </w:style>
  <w:style w:type="paragraph" w:styleId="21">
    <w:name w:val="toc 4"/>
    <w:basedOn w:val="1"/>
    <w:next w:val="1"/>
    <w:autoRedefine/>
    <w:qFormat/>
    <w:uiPriority w:val="0"/>
    <w:pPr>
      <w:ind w:left="840"/>
      <w:jc w:val="left"/>
    </w:pPr>
  </w:style>
  <w:style w:type="paragraph" w:styleId="22">
    <w:name w:val="toc 6"/>
    <w:basedOn w:val="1"/>
    <w:next w:val="1"/>
    <w:autoRedefine/>
    <w:qFormat/>
    <w:uiPriority w:val="0"/>
    <w:pPr>
      <w:ind w:left="1400"/>
      <w:jc w:val="left"/>
    </w:pPr>
  </w:style>
  <w:style w:type="paragraph" w:styleId="23">
    <w:name w:val="Body Text Indent 3"/>
    <w:basedOn w:val="1"/>
    <w:link w:val="45"/>
    <w:autoRedefine/>
    <w:qFormat/>
    <w:uiPriority w:val="0"/>
    <w:pPr>
      <w:ind w:firstLine="560"/>
    </w:pPr>
    <w:rPr>
      <w:color w:val="FF0000"/>
    </w:rPr>
  </w:style>
  <w:style w:type="paragraph" w:styleId="24">
    <w:name w:val="toc 2"/>
    <w:basedOn w:val="1"/>
    <w:next w:val="1"/>
    <w:autoRedefine/>
    <w:qFormat/>
    <w:uiPriority w:val="0"/>
    <w:pPr>
      <w:ind w:left="278"/>
      <w:jc w:val="left"/>
    </w:pPr>
    <w:rPr>
      <w:smallCaps/>
    </w:rPr>
  </w:style>
  <w:style w:type="paragraph" w:styleId="25">
    <w:name w:val="toc 9"/>
    <w:basedOn w:val="1"/>
    <w:next w:val="1"/>
    <w:autoRedefine/>
    <w:qFormat/>
    <w:uiPriority w:val="0"/>
    <w:pPr>
      <w:ind w:left="2240"/>
      <w:jc w:val="left"/>
    </w:pPr>
  </w:style>
  <w:style w:type="paragraph" w:styleId="26">
    <w:name w:val="Body Text 2"/>
    <w:basedOn w:val="1"/>
    <w:next w:val="10"/>
    <w:autoRedefine/>
    <w:qFormat/>
    <w:uiPriority w:val="0"/>
    <w:pPr>
      <w:spacing w:line="500" w:lineRule="exact"/>
    </w:pPr>
  </w:style>
  <w:style w:type="paragraph" w:styleId="27">
    <w:name w:val="Normal (Web)"/>
    <w:basedOn w:val="1"/>
    <w:autoRedefine/>
    <w:qFormat/>
    <w:uiPriority w:val="0"/>
    <w:pPr>
      <w:widowControl/>
      <w:spacing w:before="100" w:beforeAutospacing="1" w:after="100" w:afterAutospacing="1" w:line="240" w:lineRule="auto"/>
      <w:jc w:val="left"/>
    </w:pPr>
    <w:rPr>
      <w:rFonts w:hAnsi="宋体" w:cs="宋体"/>
      <w:color w:val="000000"/>
      <w:kern w:val="0"/>
      <w:szCs w:val="24"/>
    </w:rPr>
  </w:style>
  <w:style w:type="paragraph" w:styleId="28">
    <w:name w:val="Title"/>
    <w:basedOn w:val="1"/>
    <w:next w:val="1"/>
    <w:qFormat/>
    <w:uiPriority w:val="0"/>
    <w:pPr>
      <w:spacing w:line="360" w:lineRule="auto"/>
      <w:ind w:firstLine="200" w:firstLineChars="200"/>
      <w:jc w:val="both"/>
      <w:outlineLvl w:val="0"/>
    </w:pPr>
    <w:rPr>
      <w:b/>
      <w:bCs/>
      <w:sz w:val="28"/>
      <w:szCs w:val="32"/>
    </w:rPr>
  </w:style>
  <w:style w:type="paragraph" w:styleId="29">
    <w:name w:val="annotation subject"/>
    <w:basedOn w:val="9"/>
    <w:next w:val="9"/>
    <w:autoRedefine/>
    <w:qFormat/>
    <w:uiPriority w:val="0"/>
    <w:pPr>
      <w:adjustRightInd/>
      <w:spacing w:line="360" w:lineRule="auto"/>
      <w:textAlignment w:val="auto"/>
    </w:pPr>
    <w:rPr>
      <w:b/>
      <w:bCs/>
      <w:kern w:val="2"/>
    </w:rPr>
  </w:style>
  <w:style w:type="paragraph" w:styleId="30">
    <w:name w:val="Body Text First Indent 2"/>
    <w:autoRedefine/>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table" w:styleId="32">
    <w:name w:val="Table Grid"/>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autoRedefine/>
    <w:qFormat/>
    <w:uiPriority w:val="0"/>
    <w:rPr>
      <w:b/>
      <w:bCs/>
    </w:rPr>
  </w:style>
  <w:style w:type="character" w:styleId="35">
    <w:name w:val="page number"/>
    <w:basedOn w:val="33"/>
    <w:autoRedefine/>
    <w:qFormat/>
    <w:uiPriority w:val="0"/>
  </w:style>
  <w:style w:type="character" w:styleId="36">
    <w:name w:val="FollowedHyperlink"/>
    <w:autoRedefine/>
    <w:qFormat/>
    <w:uiPriority w:val="0"/>
    <w:rPr>
      <w:color w:val="800080"/>
      <w:u w:val="single"/>
    </w:rPr>
  </w:style>
  <w:style w:type="character" w:styleId="37">
    <w:name w:val="Hyperlink"/>
    <w:autoRedefine/>
    <w:qFormat/>
    <w:uiPriority w:val="0"/>
    <w:rPr>
      <w:color w:val="0000FF"/>
      <w:u w:val="single"/>
    </w:rPr>
  </w:style>
  <w:style w:type="character" w:styleId="38">
    <w:name w:val="annotation reference"/>
    <w:autoRedefine/>
    <w:qFormat/>
    <w:uiPriority w:val="0"/>
    <w:rPr>
      <w:sz w:val="21"/>
    </w:rPr>
  </w:style>
  <w:style w:type="paragraph" w:customStyle="1" w:styleId="39">
    <w:name w:val="Normal Indent1"/>
    <w:basedOn w:val="1"/>
    <w:autoRedefine/>
    <w:qFormat/>
    <w:uiPriority w:val="0"/>
    <w:pPr>
      <w:widowControl/>
      <w:ind w:firstLine="420"/>
      <w:jc w:val="left"/>
    </w:pPr>
    <w:rPr>
      <w:rFonts w:ascii="Times New Roman"/>
      <w:kern w:val="0"/>
    </w:rPr>
  </w:style>
  <w:style w:type="paragraph" w:customStyle="1" w:styleId="40">
    <w:name w:val="样式 宋体 行距: 1.5 倍行距"/>
    <w:basedOn w:val="41"/>
    <w:next w:val="1"/>
    <w:autoRedefine/>
    <w:qFormat/>
    <w:uiPriority w:val="0"/>
    <w:pPr>
      <w:jc w:val="center"/>
    </w:pPr>
    <w:rPr>
      <w:rFonts w:ascii="Times New Roman"/>
      <w:b/>
    </w:rPr>
  </w:style>
  <w:style w:type="paragraph" w:customStyle="1" w:styleId="4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0"/>
    <w:qFormat/>
    <w:uiPriority w:val="0"/>
    <w:pPr>
      <w:widowControl w:val="0"/>
      <w:jc w:val="both"/>
    </w:pPr>
    <w:rPr>
      <w:rFonts w:ascii="Calibri" w:hAnsi="Calibri" w:eastAsia="宋体" w:cs="黑体"/>
      <w:kern w:val="2"/>
      <w:sz w:val="21"/>
      <w:szCs w:val="24"/>
      <w:lang w:val="en-US" w:eastAsia="zh-CN" w:bidi="ar-SA"/>
    </w:rPr>
  </w:style>
  <w:style w:type="paragraph" w:customStyle="1" w:styleId="4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0"/>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3">
    <w:name w:val="Char Char2"/>
    <w:basedOn w:val="8"/>
    <w:autoRedefine/>
    <w:qFormat/>
    <w:uiPriority w:val="0"/>
    <w:pPr>
      <w:spacing w:line="240" w:lineRule="auto"/>
    </w:pPr>
  </w:style>
  <w:style w:type="character" w:customStyle="1" w:styleId="44">
    <w:name w:val="正文文本缩进 字符"/>
    <w:link w:val="11"/>
    <w:autoRedefine/>
    <w:qFormat/>
    <w:uiPriority w:val="0"/>
    <w:rPr>
      <w:rFonts w:ascii="宋体"/>
      <w:kern w:val="2"/>
      <w:sz w:val="24"/>
    </w:rPr>
  </w:style>
  <w:style w:type="character" w:customStyle="1" w:styleId="45">
    <w:name w:val="正文文本缩进 3 字符"/>
    <w:link w:val="23"/>
    <w:autoRedefine/>
    <w:qFormat/>
    <w:uiPriority w:val="0"/>
    <w:rPr>
      <w:rFonts w:ascii="宋体" w:eastAsia="宋体"/>
      <w:color w:val="FF0000"/>
      <w:kern w:val="2"/>
      <w:sz w:val="24"/>
      <w:lang w:val="en-US" w:eastAsia="zh-CN" w:bidi="ar-SA"/>
    </w:rPr>
  </w:style>
  <w:style w:type="character" w:customStyle="1" w:styleId="46">
    <w:name w:val="超链接 New New"/>
    <w:autoRedefine/>
    <w:qFormat/>
    <w:uiPriority w:val="0"/>
    <w:rPr>
      <w:color w:val="000000"/>
      <w:sz w:val="18"/>
      <w:szCs w:val="18"/>
      <w:u w:val="none"/>
    </w:rPr>
  </w:style>
  <w:style w:type="character" w:customStyle="1" w:styleId="47">
    <w:name w:val="超链接 New"/>
    <w:autoRedefine/>
    <w:qFormat/>
    <w:uiPriority w:val="0"/>
    <w:rPr>
      <w:color w:val="000000"/>
      <w:sz w:val="18"/>
      <w:szCs w:val="18"/>
      <w:u w:val="none"/>
    </w:rPr>
  </w:style>
  <w:style w:type="character" w:customStyle="1" w:styleId="48">
    <w:name w:val="默认段落字体1"/>
    <w:autoRedefine/>
    <w:qFormat/>
    <w:uiPriority w:val="0"/>
    <w:rPr>
      <w:rFonts w:hint="default"/>
    </w:rPr>
  </w:style>
  <w:style w:type="character" w:customStyle="1" w:styleId="49">
    <w:name w:val="默认段落字体 New New"/>
    <w:link w:val="50"/>
    <w:autoRedefine/>
    <w:qFormat/>
    <w:uiPriority w:val="0"/>
    <w:rPr>
      <w:rFonts w:ascii="Tahoma" w:hAnsi="Tahoma"/>
      <w:szCs w:val="24"/>
    </w:rPr>
  </w:style>
  <w:style w:type="paragraph" w:customStyle="1" w:styleId="50">
    <w:name w:val="Char New New"/>
    <w:basedOn w:val="1"/>
    <w:link w:val="49"/>
    <w:autoRedefine/>
    <w:qFormat/>
    <w:uiPriority w:val="0"/>
    <w:pPr>
      <w:spacing w:line="240" w:lineRule="auto"/>
    </w:pPr>
    <w:rPr>
      <w:rFonts w:ascii="Tahoma" w:hAnsi="Tahoma"/>
      <w:szCs w:val="24"/>
    </w:rPr>
  </w:style>
  <w:style w:type="character" w:customStyle="1" w:styleId="51">
    <w:name w:val="默认段落字体 New"/>
    <w:link w:val="52"/>
    <w:autoRedefine/>
    <w:qFormat/>
    <w:uiPriority w:val="0"/>
    <w:rPr>
      <w:rFonts w:ascii="Tahoma" w:hAnsi="Tahoma"/>
      <w:szCs w:val="24"/>
    </w:rPr>
  </w:style>
  <w:style w:type="paragraph" w:customStyle="1" w:styleId="52">
    <w:name w:val="Char New"/>
    <w:basedOn w:val="1"/>
    <w:link w:val="51"/>
    <w:autoRedefine/>
    <w:qFormat/>
    <w:uiPriority w:val="0"/>
    <w:pPr>
      <w:spacing w:line="240" w:lineRule="auto"/>
    </w:pPr>
    <w:rPr>
      <w:rFonts w:ascii="Tahoma" w:hAnsi="Tahoma"/>
      <w:szCs w:val="24"/>
    </w:rPr>
  </w:style>
  <w:style w:type="character" w:customStyle="1" w:styleId="53">
    <w:name w:val="页码 New New New"/>
    <w:autoRedefine/>
    <w:qFormat/>
    <w:uiPriority w:val="0"/>
    <w:rPr>
      <w:rFonts w:eastAsia="宋体"/>
      <w:kern w:val="2"/>
      <w:sz w:val="24"/>
      <w:szCs w:val="24"/>
      <w:lang w:val="en-US" w:eastAsia="zh-CN" w:bidi="ar-SA"/>
    </w:rPr>
  </w:style>
  <w:style w:type="character" w:customStyle="1" w:styleId="54">
    <w:name w:val="页码 New New"/>
    <w:autoRedefine/>
    <w:qFormat/>
    <w:uiPriority w:val="0"/>
    <w:rPr>
      <w:rFonts w:eastAsia="宋体"/>
      <w:kern w:val="2"/>
      <w:sz w:val="24"/>
      <w:szCs w:val="24"/>
      <w:lang w:val="en-US" w:eastAsia="zh-CN" w:bidi="ar-SA"/>
    </w:rPr>
  </w:style>
  <w:style w:type="character" w:customStyle="1" w:styleId="55">
    <w:name w:val="Char Char1"/>
    <w:autoRedefine/>
    <w:qFormat/>
    <w:uiPriority w:val="0"/>
    <w:rPr>
      <w:rFonts w:ascii="宋体" w:eastAsia="宋体"/>
      <w:color w:val="FF0000"/>
      <w:kern w:val="2"/>
      <w:sz w:val="24"/>
      <w:lang w:val="en-US" w:eastAsia="zh-CN" w:bidi="ar-SA"/>
    </w:rPr>
  </w:style>
  <w:style w:type="character" w:customStyle="1" w:styleId="56">
    <w:name w:val="页码 New"/>
    <w:autoRedefine/>
    <w:qFormat/>
    <w:uiPriority w:val="0"/>
    <w:rPr>
      <w:rFonts w:eastAsia="宋体"/>
      <w:kern w:val="2"/>
      <w:sz w:val="24"/>
      <w:szCs w:val="24"/>
      <w:lang w:val="en-US" w:eastAsia="zh-CN" w:bidi="ar-SA"/>
    </w:rPr>
  </w:style>
  <w:style w:type="paragraph" w:customStyle="1" w:styleId="57">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58">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9">
    <w:name w:val="页脚 New New New New New New New New New New New New New"/>
    <w:basedOn w:val="60"/>
    <w:autoRedefine/>
    <w:qFormat/>
    <w:uiPriority w:val="0"/>
    <w:pPr>
      <w:widowControl/>
      <w:tabs>
        <w:tab w:val="center" w:pos="4153"/>
        <w:tab w:val="right" w:pos="8306"/>
      </w:tabs>
      <w:snapToGrid w:val="0"/>
      <w:jc w:val="left"/>
    </w:pPr>
    <w:rPr>
      <w:sz w:val="18"/>
    </w:rPr>
  </w:style>
  <w:style w:type="paragraph" w:customStyle="1" w:styleId="60">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1">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3">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4">
    <w:name w:val="页脚 New New New New New"/>
    <w:basedOn w:val="65"/>
    <w:autoRedefine/>
    <w:qFormat/>
    <w:uiPriority w:val="0"/>
    <w:pPr>
      <w:tabs>
        <w:tab w:val="center" w:pos="4153"/>
        <w:tab w:val="right" w:pos="8306"/>
      </w:tabs>
      <w:snapToGrid w:val="0"/>
      <w:jc w:val="left"/>
    </w:pPr>
    <w:rPr>
      <w:sz w:val="18"/>
    </w:rPr>
  </w:style>
  <w:style w:type="paragraph" w:customStyle="1" w:styleId="65">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6">
    <w:name w:val="纯文本 New New"/>
    <w:basedOn w:val="67"/>
    <w:autoRedefine/>
    <w:qFormat/>
    <w:uiPriority w:val="0"/>
    <w:rPr>
      <w:rFonts w:ascii="宋体" w:hAnsi="Courier New"/>
      <w:szCs w:val="24"/>
    </w:rPr>
  </w:style>
  <w:style w:type="paragraph" w:customStyle="1" w:styleId="67">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8">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69">
    <w:name w:val="页脚1"/>
    <w:basedOn w:val="68"/>
    <w:autoRedefine/>
    <w:qFormat/>
    <w:uiPriority w:val="0"/>
    <w:pPr>
      <w:widowControl/>
      <w:tabs>
        <w:tab w:val="center" w:pos="4153"/>
        <w:tab w:val="right" w:pos="8306"/>
      </w:tabs>
      <w:snapToGrid w:val="0"/>
      <w:jc w:val="left"/>
    </w:pPr>
    <w:rPr>
      <w:kern w:val="0"/>
      <w:sz w:val="18"/>
    </w:rPr>
  </w:style>
  <w:style w:type="paragraph" w:customStyle="1" w:styleId="70">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1">
    <w:name w:val="标题 3 New New"/>
    <w:basedOn w:val="72"/>
    <w:next w:val="72"/>
    <w:autoRedefine/>
    <w:qFormat/>
    <w:uiPriority w:val="0"/>
    <w:pPr>
      <w:keepNext/>
      <w:keepLines/>
      <w:spacing w:before="120" w:after="120"/>
      <w:jc w:val="center"/>
      <w:outlineLvl w:val="2"/>
    </w:pPr>
    <w:rPr>
      <w:sz w:val="24"/>
    </w:rPr>
  </w:style>
  <w:style w:type="paragraph" w:customStyle="1" w:styleId="72">
    <w:name w:val="正文缩进 New"/>
    <w:basedOn w:val="73"/>
    <w:autoRedefine/>
    <w:qFormat/>
    <w:uiPriority w:val="0"/>
    <w:pPr>
      <w:widowControl/>
      <w:ind w:firstLine="420"/>
      <w:jc w:val="left"/>
    </w:pPr>
    <w:rPr>
      <w:kern w:val="0"/>
      <w:sz w:val="20"/>
    </w:rPr>
  </w:style>
  <w:style w:type="paragraph" w:customStyle="1" w:styleId="73">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4">
    <w:name w:val="普通(网站) New"/>
    <w:basedOn w:val="75"/>
    <w:autoRedefine/>
    <w:qFormat/>
    <w:uiPriority w:val="0"/>
    <w:rPr>
      <w:sz w:val="24"/>
    </w:rPr>
  </w:style>
  <w:style w:type="paragraph" w:customStyle="1" w:styleId="75">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6">
    <w:name w:val="正文文本缩进 New"/>
    <w:basedOn w:val="73"/>
    <w:autoRedefine/>
    <w:qFormat/>
    <w:uiPriority w:val="0"/>
    <w:pPr>
      <w:ind w:firstLine="560" w:firstLineChars="200"/>
    </w:pPr>
  </w:style>
  <w:style w:type="paragraph" w:customStyle="1" w:styleId="77">
    <w:name w:val="Char"/>
    <w:basedOn w:val="8"/>
    <w:autoRedefine/>
    <w:qFormat/>
    <w:uiPriority w:val="0"/>
    <w:pPr>
      <w:spacing w:line="240" w:lineRule="auto"/>
    </w:pPr>
  </w:style>
  <w:style w:type="paragraph" w:customStyle="1" w:styleId="78">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9">
    <w:name w:val="页脚 New New New New"/>
    <w:basedOn w:val="80"/>
    <w:autoRedefine/>
    <w:qFormat/>
    <w:uiPriority w:val="0"/>
    <w:pPr>
      <w:tabs>
        <w:tab w:val="center" w:pos="4153"/>
        <w:tab w:val="right" w:pos="8306"/>
      </w:tabs>
      <w:snapToGrid w:val="0"/>
      <w:jc w:val="left"/>
    </w:pPr>
    <w:rPr>
      <w:sz w:val="18"/>
      <w:szCs w:val="18"/>
    </w:rPr>
  </w:style>
  <w:style w:type="paragraph" w:customStyle="1" w:styleId="80">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3">
    <w:name w:val="页眉 New New New New New New New New New"/>
    <w:basedOn w:val="60"/>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4">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5">
    <w:name w:val="页眉 New New New New New New New New"/>
    <w:basedOn w:val="86"/>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6">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7">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8">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90">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1">
    <w:name w:val="样式2"/>
    <w:basedOn w:val="20"/>
    <w:autoRedefine/>
    <w:qFormat/>
    <w:uiPriority w:val="0"/>
    <w:pPr>
      <w:tabs>
        <w:tab w:val="right" w:leader="dot" w:pos="9345"/>
      </w:tabs>
    </w:pPr>
    <w:rPr>
      <w:rFonts w:hAnsi="宋体"/>
      <w:b/>
      <w:color w:val="0000FF"/>
      <w:u w:val="single"/>
    </w:rPr>
  </w:style>
  <w:style w:type="paragraph" w:customStyle="1" w:styleId="92">
    <w:name w:val="页脚 New New New New New New New New"/>
    <w:basedOn w:val="93"/>
    <w:autoRedefine/>
    <w:qFormat/>
    <w:uiPriority w:val="0"/>
    <w:pPr>
      <w:tabs>
        <w:tab w:val="center" w:pos="4153"/>
        <w:tab w:val="right" w:pos="8306"/>
      </w:tabs>
      <w:snapToGrid w:val="0"/>
      <w:jc w:val="left"/>
    </w:pPr>
    <w:rPr>
      <w:sz w:val="18"/>
      <w:szCs w:val="18"/>
    </w:rPr>
  </w:style>
  <w:style w:type="paragraph" w:customStyle="1" w:styleId="93">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5">
    <w:name w:val="页脚 New New New New New New New New New New"/>
    <w:basedOn w:val="90"/>
    <w:autoRedefine/>
    <w:qFormat/>
    <w:uiPriority w:val="0"/>
    <w:pPr>
      <w:widowControl/>
      <w:tabs>
        <w:tab w:val="center" w:pos="4153"/>
        <w:tab w:val="right" w:pos="8306"/>
      </w:tabs>
      <w:snapToGrid w:val="0"/>
      <w:jc w:val="left"/>
    </w:pPr>
    <w:rPr>
      <w:sz w:val="18"/>
    </w:rPr>
  </w:style>
  <w:style w:type="paragraph" w:customStyle="1" w:styleId="96">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7">
    <w:name w:val="页脚 New New New New New New"/>
    <w:basedOn w:val="75"/>
    <w:autoRedefine/>
    <w:qFormat/>
    <w:uiPriority w:val="0"/>
    <w:pPr>
      <w:tabs>
        <w:tab w:val="center" w:pos="4153"/>
        <w:tab w:val="right" w:pos="8306"/>
      </w:tabs>
      <w:snapToGrid w:val="0"/>
      <w:jc w:val="left"/>
    </w:pPr>
    <w:rPr>
      <w:sz w:val="18"/>
    </w:rPr>
  </w:style>
  <w:style w:type="paragraph" w:customStyle="1" w:styleId="98">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9">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0">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1">
    <w:name w:val="页眉 New New New New New"/>
    <w:basedOn w:val="75"/>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2">
    <w:name w:val="页脚 New New New New New New New New New New New"/>
    <w:basedOn w:val="86"/>
    <w:autoRedefine/>
    <w:qFormat/>
    <w:uiPriority w:val="0"/>
    <w:pPr>
      <w:widowControl/>
      <w:tabs>
        <w:tab w:val="center" w:pos="4153"/>
        <w:tab w:val="right" w:pos="8306"/>
      </w:tabs>
      <w:snapToGrid w:val="0"/>
      <w:jc w:val="left"/>
    </w:pPr>
    <w:rPr>
      <w:sz w:val="18"/>
    </w:rPr>
  </w:style>
  <w:style w:type="paragraph" w:customStyle="1" w:styleId="103">
    <w:name w:val="页眉 New New New New New New"/>
    <w:basedOn w:val="82"/>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4">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5">
    <w:name w:val="页眉 New New"/>
    <w:basedOn w:val="62"/>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6">
    <w:name w:val="页眉 New"/>
    <w:basedOn w:val="107"/>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7">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8">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9">
    <w:name w:val="页脚 New"/>
    <w:basedOn w:val="107"/>
    <w:autoRedefine/>
    <w:qFormat/>
    <w:uiPriority w:val="0"/>
    <w:pPr>
      <w:tabs>
        <w:tab w:val="center" w:pos="4153"/>
        <w:tab w:val="right" w:pos="8306"/>
      </w:tabs>
      <w:snapToGrid w:val="0"/>
      <w:jc w:val="left"/>
    </w:pPr>
    <w:rPr>
      <w:sz w:val="18"/>
      <w:szCs w:val="18"/>
    </w:rPr>
  </w:style>
  <w:style w:type="paragraph" w:customStyle="1" w:styleId="110">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2">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3">
    <w:name w:val="页脚 New New New"/>
    <w:basedOn w:val="67"/>
    <w:autoRedefine/>
    <w:qFormat/>
    <w:uiPriority w:val="0"/>
    <w:pPr>
      <w:tabs>
        <w:tab w:val="center" w:pos="4153"/>
        <w:tab w:val="right" w:pos="8306"/>
      </w:tabs>
      <w:snapToGrid w:val="0"/>
      <w:jc w:val="left"/>
    </w:pPr>
    <w:rPr>
      <w:sz w:val="18"/>
      <w:szCs w:val="18"/>
    </w:rPr>
  </w:style>
  <w:style w:type="paragraph" w:customStyle="1" w:styleId="114">
    <w:name w:val="页眉 New New New New"/>
    <w:basedOn w:val="65"/>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5">
    <w:name w:val="纯文本 New"/>
    <w:basedOn w:val="62"/>
    <w:autoRedefine/>
    <w:qFormat/>
    <w:uiPriority w:val="0"/>
    <w:rPr>
      <w:rFonts w:ascii="宋体" w:hAnsi="Courier New"/>
      <w:szCs w:val="24"/>
    </w:rPr>
  </w:style>
  <w:style w:type="paragraph" w:customStyle="1" w:styleId="116">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7">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9">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0">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页脚 New New New New New New New New New New New New"/>
    <w:basedOn w:val="122"/>
    <w:autoRedefine/>
    <w:qFormat/>
    <w:uiPriority w:val="0"/>
    <w:pPr>
      <w:tabs>
        <w:tab w:val="center" w:pos="4153"/>
        <w:tab w:val="right" w:pos="8306"/>
      </w:tabs>
      <w:snapToGrid w:val="0"/>
      <w:jc w:val="left"/>
    </w:pPr>
    <w:rPr>
      <w:sz w:val="18"/>
      <w:szCs w:val="18"/>
    </w:rPr>
  </w:style>
  <w:style w:type="paragraph" w:customStyle="1" w:styleId="122">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3">
    <w:name w:val="目录 31"/>
    <w:basedOn w:val="68"/>
    <w:next w:val="68"/>
    <w:autoRedefine/>
    <w:qFormat/>
    <w:uiPriority w:val="0"/>
    <w:pPr>
      <w:ind w:left="561"/>
      <w:jc w:val="left"/>
    </w:pPr>
  </w:style>
  <w:style w:type="paragraph" w:customStyle="1" w:styleId="124">
    <w:name w:val="p0"/>
    <w:basedOn w:val="61"/>
    <w:autoRedefine/>
    <w:qFormat/>
    <w:uiPriority w:val="0"/>
    <w:pPr>
      <w:widowControl/>
      <w:spacing w:line="360" w:lineRule="auto"/>
    </w:pPr>
    <w:rPr>
      <w:rFonts w:ascii="宋体" w:hAnsi="宋体" w:cs="宋体"/>
      <w:kern w:val="0"/>
      <w:sz w:val="24"/>
      <w:szCs w:val="24"/>
    </w:rPr>
  </w:style>
  <w:style w:type="paragraph" w:customStyle="1" w:styleId="125">
    <w:name w:val="页眉 New New New New New New New"/>
    <w:basedOn w:val="90"/>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6">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7">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28">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9">
    <w:name w:val="标题 2 New"/>
    <w:basedOn w:val="88"/>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30">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1">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2">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3">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4">
    <w:name w:val="正文文本缩进 New New New New"/>
    <w:basedOn w:val="127"/>
    <w:autoRedefine/>
    <w:qFormat/>
    <w:uiPriority w:val="0"/>
    <w:pPr>
      <w:ind w:firstLine="560" w:firstLineChars="200"/>
    </w:pPr>
    <w:rPr>
      <w:szCs w:val="28"/>
    </w:rPr>
  </w:style>
  <w:style w:type="paragraph" w:customStyle="1" w:styleId="135">
    <w:name w:val="页脚 New New New New New New New"/>
    <w:basedOn w:val="82"/>
    <w:autoRedefine/>
    <w:qFormat/>
    <w:uiPriority w:val="0"/>
    <w:pPr>
      <w:widowControl/>
      <w:tabs>
        <w:tab w:val="center" w:pos="4153"/>
        <w:tab w:val="right" w:pos="8306"/>
      </w:tabs>
      <w:snapToGrid w:val="0"/>
      <w:jc w:val="left"/>
    </w:pPr>
    <w:rPr>
      <w:kern w:val="0"/>
      <w:sz w:val="18"/>
      <w:szCs w:val="20"/>
    </w:rPr>
  </w:style>
  <w:style w:type="paragraph" w:customStyle="1" w:styleId="136">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页脚 New New New New New New New New New"/>
    <w:basedOn w:val="81"/>
    <w:autoRedefine/>
    <w:qFormat/>
    <w:uiPriority w:val="0"/>
    <w:pPr>
      <w:tabs>
        <w:tab w:val="center" w:pos="4153"/>
        <w:tab w:val="right" w:pos="8306"/>
      </w:tabs>
      <w:snapToGrid w:val="0"/>
      <w:jc w:val="left"/>
    </w:pPr>
    <w:rPr>
      <w:sz w:val="18"/>
      <w:szCs w:val="18"/>
    </w:rPr>
  </w:style>
  <w:style w:type="paragraph" w:customStyle="1" w:styleId="138">
    <w:name w:val="页脚 New New"/>
    <w:basedOn w:val="62"/>
    <w:autoRedefine/>
    <w:qFormat/>
    <w:uiPriority w:val="0"/>
    <w:pPr>
      <w:tabs>
        <w:tab w:val="center" w:pos="4153"/>
        <w:tab w:val="right" w:pos="8306"/>
      </w:tabs>
      <w:snapToGrid w:val="0"/>
      <w:jc w:val="left"/>
    </w:pPr>
    <w:rPr>
      <w:sz w:val="18"/>
      <w:szCs w:val="18"/>
    </w:rPr>
  </w:style>
  <w:style w:type="paragraph" w:customStyle="1" w:styleId="139">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0">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1">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2">
    <w:name w:val="样式1"/>
    <w:basedOn w:val="2"/>
    <w:autoRedefine/>
    <w:qFormat/>
    <w:uiPriority w:val="0"/>
    <w:pPr>
      <w:tabs>
        <w:tab w:val="right" w:leader="dot" w:pos="9345"/>
      </w:tabs>
    </w:pPr>
    <w:rPr>
      <w:rFonts w:ascii="宋体" w:hAnsi="宋体"/>
      <w:b/>
      <w:caps/>
      <w:u w:val="single"/>
    </w:rPr>
  </w:style>
  <w:style w:type="paragraph" w:customStyle="1" w:styleId="143">
    <w:name w:val="页眉 New New New"/>
    <w:basedOn w:val="67"/>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4">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5">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6">
    <w:name w:val="正文正"/>
    <w:basedOn w:val="1"/>
    <w:autoRedefine/>
    <w:qFormat/>
    <w:uiPriority w:val="0"/>
    <w:pPr>
      <w:spacing w:line="560" w:lineRule="exact"/>
      <w:ind w:firstLine="561"/>
    </w:pPr>
    <w:rPr>
      <w:rFonts w:ascii="Calibri" w:hAnsi="Calibri"/>
      <w:sz w:val="28"/>
      <w:szCs w:val="28"/>
    </w:rPr>
  </w:style>
  <w:style w:type="paragraph" w:customStyle="1" w:styleId="147">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8">
    <w:name w:val="标题 2 New New"/>
    <w:basedOn w:val="117"/>
    <w:next w:val="117"/>
    <w:autoRedefine/>
    <w:qFormat/>
    <w:uiPriority w:val="0"/>
    <w:pPr>
      <w:autoSpaceDE w:val="0"/>
      <w:autoSpaceDN w:val="0"/>
      <w:adjustRightInd w:val="0"/>
      <w:jc w:val="left"/>
      <w:outlineLvl w:val="1"/>
    </w:pPr>
    <w:rPr>
      <w:kern w:val="0"/>
      <w:sz w:val="24"/>
    </w:rPr>
  </w:style>
  <w:style w:type="paragraph" w:customStyle="1" w:styleId="149">
    <w:name w:val="标题 1 New"/>
    <w:basedOn w:val="117"/>
    <w:next w:val="117"/>
    <w:autoRedefine/>
    <w:qFormat/>
    <w:uiPriority w:val="0"/>
    <w:pPr>
      <w:autoSpaceDE w:val="0"/>
      <w:autoSpaceDN w:val="0"/>
      <w:adjustRightInd w:val="0"/>
      <w:jc w:val="left"/>
      <w:outlineLvl w:val="0"/>
    </w:pPr>
    <w:rPr>
      <w:kern w:val="0"/>
      <w:sz w:val="30"/>
    </w:rPr>
  </w:style>
  <w:style w:type="paragraph" w:customStyle="1" w:styleId="150">
    <w:name w:val="WPSOffice手动目录 1"/>
    <w:autoRedefine/>
    <w:qFormat/>
    <w:uiPriority w:val="0"/>
    <w:rPr>
      <w:rFonts w:ascii="Times New Roman" w:hAnsi="Times New Roman" w:eastAsia="宋体" w:cs="Times New Roman"/>
      <w:lang w:val="en-US" w:eastAsia="zh-CN" w:bidi="ar-SA"/>
    </w:rPr>
  </w:style>
  <w:style w:type="paragraph" w:customStyle="1" w:styleId="151">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52">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3">
    <w:name w:val="正文缩进1"/>
    <w:basedOn w:val="1"/>
    <w:autoRedefine/>
    <w:qFormat/>
    <w:uiPriority w:val="0"/>
    <w:pPr>
      <w:widowControl/>
      <w:ind w:firstLine="420"/>
      <w:jc w:val="left"/>
    </w:pPr>
    <w:rPr>
      <w:kern w:val="0"/>
    </w:rPr>
  </w:style>
  <w:style w:type="character" w:styleId="154">
    <w:name w:val="Placeholder Text"/>
    <w:basedOn w:val="33"/>
    <w:semiHidden/>
    <w:qFormat/>
    <w:uiPriority w:val="99"/>
    <w:rPr>
      <w:color w:val="808080"/>
    </w:rPr>
  </w:style>
  <w:style w:type="paragraph" w:customStyle="1" w:styleId="155">
    <w:name w:val="正文文本1"/>
    <w:basedOn w:val="1"/>
    <w:qFormat/>
    <w:uiPriority w:val="0"/>
    <w:pPr>
      <w:spacing w:after="120"/>
    </w:pPr>
  </w:style>
  <w:style w:type="character" w:customStyle="1" w:styleId="156">
    <w:name w:val="NormalCharacter"/>
    <w:autoRedefine/>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79</Pages>
  <Words>12060</Words>
  <Characters>13200</Characters>
  <Lines>292</Lines>
  <Paragraphs>82</Paragraphs>
  <TotalTime>0</TotalTime>
  <ScaleCrop>false</ScaleCrop>
  <LinksUpToDate>false</LinksUpToDate>
  <CharactersWithSpaces>13565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蔡小健 j1aN</cp:lastModifiedBy>
  <cp:lastPrinted>2026-06-02T03:58:00Z</cp:lastPrinted>
  <dcterms:modified xsi:type="dcterms:W3CDTF">2026-06-03T00:51:55Z</dcterms:modified>
  <dc:title>广东省韶关学院第三期学生公寓第一、二组团工程施工</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ribbonExt">
    <vt:lpwstr>{"WPSExtOfficeTab":{"OnGetEnabled":false,"OnGetVisible":false}}</vt:lpwstr>
  </property>
  <property fmtid="{D5CDD505-2E9C-101B-9397-08002B2CF9AE}" pid="4" name="ICV">
    <vt:lpwstr>1B501801416B4B6D8CE7912B6711C930</vt:lpwstr>
  </property>
  <property fmtid="{D5CDD505-2E9C-101B-9397-08002B2CF9AE}" pid="5" name="KSOTemplateDocerSaveRecord">
    <vt:lpwstr>eyJoZGlkIjoiZGRiN2NkNGE1NDg1MGJjMjRjMmE1ZjM1NTY0OGU1MTciLCJ1c2VySWQiOiIzMDE1NjQ2MzcifQ==</vt:lpwstr>
  </property>
</Properties>
</file>