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460FB">
      <w:pPr>
        <w:pStyle w:val="47"/>
        <w:spacing w:line="360" w:lineRule="auto"/>
        <w:jc w:val="center"/>
        <w:rPr>
          <w:rFonts w:hint="eastAsia" w:ascii="宋体" w:hAnsi="宋体" w:eastAsia="宋体" w:cs="宋体"/>
          <w:b/>
          <w:bCs/>
          <w:color w:val="auto"/>
          <w:spacing w:val="26"/>
          <w:sz w:val="48"/>
          <w:szCs w:val="48"/>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z w:val="52"/>
          <w:szCs w:val="52"/>
          <w:highlight w:val="none"/>
          <w:lang w:eastAsia="zh-CN"/>
        </w:rPr>
        <w:t>韶关市曲江区大塘镇原食品园地块土方平整工程项目施工</w:t>
      </w:r>
    </w:p>
    <w:p w14:paraId="3B4907CB">
      <w:pPr>
        <w:pStyle w:val="47"/>
        <w:spacing w:line="360" w:lineRule="auto"/>
        <w:jc w:val="center"/>
        <w:rPr>
          <w:rFonts w:hint="eastAsia" w:ascii="宋体" w:hAnsi="宋体" w:eastAsia="宋体" w:cs="宋体"/>
          <w:b/>
          <w:bCs/>
          <w:color w:val="auto"/>
          <w:spacing w:val="26"/>
          <w:sz w:val="72"/>
          <w:szCs w:val="72"/>
          <w:highlight w:val="none"/>
          <w14:shadow w14:blurRad="50800" w14:dist="38100" w14:dir="2700000" w14:sx="100000" w14:sy="100000" w14:kx="0" w14:ky="0" w14:algn="tl">
            <w14:srgbClr w14:val="000000">
              <w14:alpha w14:val="60000"/>
            </w14:srgbClr>
          </w14:shadow>
        </w:rPr>
      </w:pPr>
    </w:p>
    <w:p w14:paraId="6BC46ECF">
      <w:pPr>
        <w:pStyle w:val="47"/>
        <w:spacing w:line="360" w:lineRule="auto"/>
        <w:jc w:val="center"/>
        <w:rPr>
          <w:rFonts w:hint="eastAsia" w:ascii="宋体" w:hAnsi="宋体" w:eastAsia="宋体" w:cs="宋体"/>
          <w:b/>
          <w:bCs/>
          <w:color w:val="auto"/>
          <w:spacing w:val="26"/>
          <w:sz w:val="72"/>
          <w:szCs w:val="72"/>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6"/>
          <w:sz w:val="72"/>
          <w:szCs w:val="72"/>
          <w:highlight w:val="none"/>
          <w14:shadow w14:blurRad="50800" w14:dist="38100" w14:dir="2700000" w14:sx="100000" w14:sy="100000" w14:kx="0" w14:ky="0" w14:algn="tl">
            <w14:srgbClr w14:val="000000">
              <w14:alpha w14:val="60000"/>
            </w14:srgbClr>
          </w14:shadow>
        </w:rPr>
        <w:t>招标文件</w:t>
      </w:r>
    </w:p>
    <w:p w14:paraId="7DCD3DE8">
      <w:pPr>
        <w:pStyle w:val="47"/>
        <w:spacing w:line="360" w:lineRule="auto"/>
        <w:rPr>
          <w:rFonts w:hint="eastAsia" w:ascii="宋体" w:hAnsi="宋体" w:eastAsia="宋体" w:cs="宋体"/>
          <w:b/>
          <w:bCs/>
          <w:color w:val="auto"/>
          <w:spacing w:val="26"/>
          <w:sz w:val="52"/>
          <w:szCs w:val="52"/>
          <w:highlight w:val="none"/>
          <w14:shadow w14:blurRad="50800" w14:dist="38100" w14:dir="2700000" w14:sx="100000" w14:sy="100000" w14:kx="0" w14:ky="0" w14:algn="tl">
            <w14:srgbClr w14:val="000000">
              <w14:alpha w14:val="60000"/>
            </w14:srgbClr>
          </w14:shadow>
        </w:rPr>
      </w:pPr>
    </w:p>
    <w:tbl>
      <w:tblPr>
        <w:tblStyle w:val="14"/>
        <w:tblpPr w:leftFromText="180" w:rightFromText="180" w:vertAnchor="text" w:horzAnchor="page" w:tblpX="1312" w:tblpY="423"/>
        <w:tblOverlap w:val="never"/>
        <w:tblW w:w="9659" w:type="dxa"/>
        <w:tblInd w:w="0" w:type="dxa"/>
        <w:tblLayout w:type="fixed"/>
        <w:tblCellMar>
          <w:top w:w="0" w:type="dxa"/>
          <w:left w:w="0" w:type="dxa"/>
          <w:bottom w:w="0" w:type="dxa"/>
          <w:right w:w="0" w:type="dxa"/>
        </w:tblCellMar>
      </w:tblPr>
      <w:tblGrid>
        <w:gridCol w:w="4815"/>
        <w:gridCol w:w="4844"/>
      </w:tblGrid>
      <w:tr w14:paraId="603DDFDA">
        <w:tblPrEx>
          <w:tblCellMar>
            <w:top w:w="0" w:type="dxa"/>
            <w:left w:w="0" w:type="dxa"/>
            <w:bottom w:w="0" w:type="dxa"/>
            <w:right w:w="0" w:type="dxa"/>
          </w:tblCellMar>
        </w:tblPrEx>
        <w:trPr>
          <w:trHeight w:val="1057" w:hRule="atLeast"/>
        </w:trPr>
        <w:tc>
          <w:tcPr>
            <w:tcW w:w="4815" w:type="dxa"/>
            <w:noWrap w:val="0"/>
            <w:vAlign w:val="center"/>
          </w:tcPr>
          <w:p w14:paraId="1AA45157">
            <w:pPr>
              <w:pStyle w:val="48"/>
              <w:spacing w:line="240" w:lineRule="auto"/>
              <w:rPr>
                <w:rFonts w:hint="eastAsia" w:hAnsi="宋体" w:cs="宋体"/>
                <w:color w:val="auto"/>
                <w:sz w:val="28"/>
                <w:szCs w:val="28"/>
                <w:highlight w:val="none"/>
              </w:rPr>
            </w:pPr>
            <w:r>
              <w:rPr>
                <w:rFonts w:hint="eastAsia" w:hAnsi="宋体" w:cs="宋体"/>
                <w:color w:val="auto"/>
                <w:sz w:val="28"/>
                <w:szCs w:val="28"/>
                <w:highlight w:val="none"/>
              </w:rPr>
              <w:t xml:space="preserve"> 招        标        人（盖 章）：</w:t>
            </w:r>
          </w:p>
        </w:tc>
        <w:tc>
          <w:tcPr>
            <w:tcW w:w="4844" w:type="dxa"/>
            <w:noWrap w:val="0"/>
            <w:vAlign w:val="center"/>
          </w:tcPr>
          <w:p w14:paraId="29B0B35A">
            <w:pPr>
              <w:pStyle w:val="48"/>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韶关市曲江区土地储备中心</w:t>
            </w:r>
          </w:p>
        </w:tc>
      </w:tr>
      <w:tr w14:paraId="283EC587">
        <w:tblPrEx>
          <w:tblCellMar>
            <w:top w:w="0" w:type="dxa"/>
            <w:left w:w="0" w:type="dxa"/>
            <w:bottom w:w="0" w:type="dxa"/>
            <w:right w:w="0" w:type="dxa"/>
          </w:tblCellMar>
        </w:tblPrEx>
        <w:trPr>
          <w:trHeight w:val="1158" w:hRule="atLeast"/>
        </w:trPr>
        <w:tc>
          <w:tcPr>
            <w:tcW w:w="4815" w:type="dxa"/>
            <w:noWrap w:val="0"/>
            <w:vAlign w:val="center"/>
          </w:tcPr>
          <w:p w14:paraId="546E4F45">
            <w:pPr>
              <w:pStyle w:val="4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招标人工作领导小组负责人（签字）：</w:t>
            </w:r>
          </w:p>
        </w:tc>
        <w:tc>
          <w:tcPr>
            <w:tcW w:w="4844" w:type="dxa"/>
            <w:noWrap w:val="0"/>
            <w:vAlign w:val="center"/>
          </w:tcPr>
          <w:p w14:paraId="7C232D38">
            <w:pPr>
              <w:pStyle w:val="48"/>
              <w:spacing w:line="240" w:lineRule="auto"/>
              <w:rPr>
                <w:rFonts w:hint="eastAsia" w:hAnsi="宋体" w:cs="宋体"/>
                <w:color w:val="auto"/>
                <w:sz w:val="28"/>
                <w:szCs w:val="28"/>
                <w:highlight w:val="none"/>
              </w:rPr>
            </w:pPr>
          </w:p>
        </w:tc>
      </w:tr>
      <w:tr w14:paraId="00F7A803">
        <w:tblPrEx>
          <w:tblCellMar>
            <w:top w:w="0" w:type="dxa"/>
            <w:left w:w="0" w:type="dxa"/>
            <w:bottom w:w="0" w:type="dxa"/>
            <w:right w:w="0" w:type="dxa"/>
          </w:tblCellMar>
        </w:tblPrEx>
        <w:trPr>
          <w:trHeight w:val="1083" w:hRule="atLeast"/>
        </w:trPr>
        <w:tc>
          <w:tcPr>
            <w:tcW w:w="4815" w:type="dxa"/>
            <w:noWrap w:val="0"/>
            <w:vAlign w:val="center"/>
          </w:tcPr>
          <w:p w14:paraId="11F17759">
            <w:pPr>
              <w:pStyle w:val="4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代  理  机  构（盖 章）：</w:t>
            </w:r>
          </w:p>
        </w:tc>
        <w:tc>
          <w:tcPr>
            <w:tcW w:w="4844" w:type="dxa"/>
            <w:noWrap w:val="0"/>
            <w:vAlign w:val="center"/>
          </w:tcPr>
          <w:p w14:paraId="1D53D657">
            <w:pPr>
              <w:pStyle w:val="48"/>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广东顶骐建设工程咨询有限公司</w:t>
            </w:r>
          </w:p>
        </w:tc>
      </w:tr>
      <w:tr w14:paraId="4DDEDF31">
        <w:tblPrEx>
          <w:tblCellMar>
            <w:top w:w="0" w:type="dxa"/>
            <w:left w:w="0" w:type="dxa"/>
            <w:bottom w:w="0" w:type="dxa"/>
            <w:right w:w="0" w:type="dxa"/>
          </w:tblCellMar>
        </w:tblPrEx>
        <w:trPr>
          <w:trHeight w:val="1192" w:hRule="atLeast"/>
        </w:trPr>
        <w:tc>
          <w:tcPr>
            <w:tcW w:w="4815" w:type="dxa"/>
            <w:noWrap w:val="0"/>
            <w:vAlign w:val="center"/>
          </w:tcPr>
          <w:p w14:paraId="11DFDA6F">
            <w:pPr>
              <w:pStyle w:val="4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人 （签字）：</w:t>
            </w:r>
          </w:p>
        </w:tc>
        <w:tc>
          <w:tcPr>
            <w:tcW w:w="4844" w:type="dxa"/>
            <w:noWrap w:val="0"/>
            <w:vAlign w:val="center"/>
          </w:tcPr>
          <w:p w14:paraId="5E431CC2">
            <w:pPr>
              <w:pStyle w:val="48"/>
              <w:spacing w:line="240" w:lineRule="auto"/>
              <w:rPr>
                <w:rFonts w:hint="eastAsia" w:hAnsi="宋体" w:cs="宋体"/>
                <w:color w:val="auto"/>
                <w:sz w:val="28"/>
                <w:szCs w:val="28"/>
                <w:highlight w:val="none"/>
              </w:rPr>
            </w:pPr>
          </w:p>
        </w:tc>
      </w:tr>
      <w:tr w14:paraId="6C910399">
        <w:tblPrEx>
          <w:tblCellMar>
            <w:top w:w="0" w:type="dxa"/>
            <w:left w:w="0" w:type="dxa"/>
            <w:bottom w:w="0" w:type="dxa"/>
            <w:right w:w="0" w:type="dxa"/>
          </w:tblCellMar>
        </w:tblPrEx>
        <w:trPr>
          <w:trHeight w:val="1217" w:hRule="atLeast"/>
        </w:trPr>
        <w:tc>
          <w:tcPr>
            <w:tcW w:w="4815" w:type="dxa"/>
            <w:noWrap w:val="0"/>
            <w:vAlign w:val="center"/>
          </w:tcPr>
          <w:p w14:paraId="79310207">
            <w:pPr>
              <w:pStyle w:val="48"/>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招标代理机构项目负责人 （签字）：</w:t>
            </w:r>
          </w:p>
        </w:tc>
        <w:tc>
          <w:tcPr>
            <w:tcW w:w="4844" w:type="dxa"/>
            <w:noWrap w:val="0"/>
            <w:vAlign w:val="center"/>
          </w:tcPr>
          <w:p w14:paraId="70E9C3C5">
            <w:pPr>
              <w:pStyle w:val="48"/>
              <w:spacing w:line="240" w:lineRule="auto"/>
              <w:rPr>
                <w:rFonts w:hint="eastAsia" w:hAnsi="宋体" w:cs="宋体"/>
                <w:color w:val="auto"/>
                <w:sz w:val="28"/>
                <w:szCs w:val="28"/>
                <w:highlight w:val="none"/>
              </w:rPr>
            </w:pPr>
          </w:p>
        </w:tc>
      </w:tr>
      <w:tr w14:paraId="76E30F8E">
        <w:tblPrEx>
          <w:tblCellMar>
            <w:top w:w="0" w:type="dxa"/>
            <w:left w:w="0" w:type="dxa"/>
            <w:bottom w:w="0" w:type="dxa"/>
            <w:right w:w="0" w:type="dxa"/>
          </w:tblCellMar>
        </w:tblPrEx>
        <w:trPr>
          <w:trHeight w:val="950" w:hRule="atLeast"/>
        </w:trPr>
        <w:tc>
          <w:tcPr>
            <w:tcW w:w="4815" w:type="dxa"/>
            <w:noWrap w:val="0"/>
            <w:vAlign w:val="center"/>
          </w:tcPr>
          <w:p w14:paraId="64E894CD">
            <w:pPr>
              <w:pStyle w:val="48"/>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日  期： </w:t>
            </w:r>
          </w:p>
        </w:tc>
        <w:tc>
          <w:tcPr>
            <w:tcW w:w="4844" w:type="dxa"/>
            <w:noWrap w:val="0"/>
            <w:vAlign w:val="center"/>
          </w:tcPr>
          <w:p w14:paraId="04C4C7AC">
            <w:pPr>
              <w:pStyle w:val="48"/>
              <w:spacing w:line="240" w:lineRule="auto"/>
              <w:rPr>
                <w:rFonts w:hint="eastAsia" w:hAnsi="宋体" w:cs="宋体"/>
                <w:color w:val="auto"/>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6</w:t>
            </w:r>
            <w:r>
              <w:rPr>
                <w:rFonts w:hint="eastAsia" w:hAnsi="宋体" w:cs="宋体"/>
                <w:color w:val="auto"/>
                <w:sz w:val="28"/>
                <w:highlight w:val="none"/>
              </w:rPr>
              <w:t>年</w:t>
            </w:r>
            <w:r>
              <w:rPr>
                <w:rFonts w:hint="eastAsia" w:hAnsi="宋体" w:cs="宋体"/>
                <w:color w:val="auto"/>
                <w:sz w:val="28"/>
                <w:highlight w:val="none"/>
                <w:lang w:val="en-US" w:eastAsia="zh-CN"/>
              </w:rPr>
              <w:t>7</w:t>
            </w:r>
            <w:r>
              <w:rPr>
                <w:rFonts w:hint="eastAsia" w:hAnsi="宋体" w:cs="宋体"/>
                <w:color w:val="auto"/>
                <w:sz w:val="28"/>
                <w:highlight w:val="none"/>
              </w:rPr>
              <w:t>月</w:t>
            </w:r>
          </w:p>
        </w:tc>
      </w:tr>
    </w:tbl>
    <w:p w14:paraId="78748F2F">
      <w:pPr>
        <w:pStyle w:val="2"/>
        <w:rPr>
          <w:rFonts w:hint="eastAsia" w:ascii="宋体" w:hAnsi="宋体" w:eastAsia="宋体" w:cs="宋体"/>
          <w:b/>
          <w:bCs/>
          <w:color w:val="auto"/>
          <w:kern w:val="2"/>
          <w:sz w:val="56"/>
          <w:szCs w:val="72"/>
          <w:highlight w:val="none"/>
          <w:u w:val="none"/>
          <w:lang w:val="en-US" w:eastAsia="zh-CN" w:bidi="ar-SA"/>
        </w:rPr>
      </w:pPr>
    </w:p>
    <w:p w14:paraId="6E29DB7F">
      <w:pPr>
        <w:rPr>
          <w:rFonts w:hint="eastAsia" w:ascii="宋体" w:hAnsi="宋体" w:eastAsia="宋体" w:cs="宋体"/>
          <w:b/>
          <w:bCs/>
          <w:color w:val="auto"/>
          <w:kern w:val="2"/>
          <w:sz w:val="56"/>
          <w:szCs w:val="72"/>
          <w:highlight w:val="none"/>
          <w:u w:val="none"/>
          <w:lang w:val="en-US" w:eastAsia="zh-CN" w:bidi="ar-SA"/>
        </w:rPr>
      </w:pPr>
    </w:p>
    <w:p w14:paraId="7A96D5DD">
      <w:pPr>
        <w:rPr>
          <w:rFonts w:hint="eastAsia" w:ascii="宋体" w:hAnsi="宋体" w:eastAsia="宋体" w:cs="宋体"/>
          <w:b/>
          <w:bCs/>
          <w:color w:val="auto"/>
          <w:kern w:val="2"/>
          <w:sz w:val="56"/>
          <w:szCs w:val="72"/>
          <w:highlight w:val="none"/>
          <w:u w:val="none"/>
          <w:lang w:val="en-US" w:eastAsia="zh-CN" w:bidi="ar-SA"/>
        </w:rPr>
        <w:sectPr>
          <w:headerReference r:id="rId3" w:type="default"/>
          <w:pgSz w:w="11906" w:h="16839"/>
          <w:pgMar w:top="1134" w:right="1134" w:bottom="1134" w:left="1134" w:header="1200" w:footer="0" w:gutter="0"/>
          <w:pgBorders>
            <w:top w:val="none" w:sz="0" w:space="0"/>
            <w:left w:val="none" w:sz="0" w:space="0"/>
            <w:bottom w:val="none" w:sz="0" w:space="0"/>
            <w:right w:val="none" w:sz="0" w:space="0"/>
          </w:pgBorders>
          <w:pgNumType w:start="1"/>
          <w:cols w:space="720" w:num="1"/>
        </w:sectPr>
      </w:pPr>
    </w:p>
    <w:p w14:paraId="48CEB0F6">
      <w:pPr>
        <w:rPr>
          <w:rFonts w:hint="eastAsia"/>
          <w:color w:val="auto"/>
          <w:highlight w:val="none"/>
        </w:rPr>
      </w:pPr>
    </w:p>
    <w:p w14:paraId="6EF3391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3B9CCDC2">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_Toc30584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_Toc30584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55E0D1">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投标人须知前附表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_Toc1079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2F6BD3">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_Toc14297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第二节 重要事项时间地点一览表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_Toc14297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23004D">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_Toc9283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投标人须知正文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_Toc9283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9E5003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_Toc19017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4"/>
          <w:sz w:val="24"/>
          <w:szCs w:val="24"/>
          <w:highlight w:val="none"/>
        </w:rPr>
        <w:t>．项目概况、招标范围和标段划分、投标费用等</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_Toc19017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DFBB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_Toc21208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eastAsia="宋体" w:cs="宋体"/>
          <w:bCs w:val="0"/>
          <w:color w:val="auto"/>
          <w:sz w:val="24"/>
          <w:szCs w:val="24"/>
          <w:highlight w:val="none"/>
          <w:lang w:eastAsia="zh-CN"/>
        </w:rPr>
        <w:t>投标人</w:t>
      </w:r>
      <w:r>
        <w:rPr>
          <w:rFonts w:hint="eastAsia" w:ascii="宋体" w:hAnsi="宋体" w:eastAsia="宋体" w:cs="宋体"/>
          <w:bCs w:val="0"/>
          <w:color w:val="auto"/>
          <w:sz w:val="24"/>
          <w:szCs w:val="24"/>
          <w:highlight w:val="none"/>
        </w:rPr>
        <w:t>资质要求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_Toc21208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8C265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_Toc21490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3．招标文件的获取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_Toc21490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AD9867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_Toc8255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8"/>
          <w:sz w:val="24"/>
          <w:szCs w:val="24"/>
          <w:highlight w:val="none"/>
          <w:lang w:val="en-US" w:eastAsia="zh-CN"/>
        </w:rPr>
        <w:t xml:space="preserve"> </w:t>
      </w:r>
      <w:r>
        <w:rPr>
          <w:rFonts w:hint="eastAsia" w:ascii="宋体" w:hAnsi="宋体" w:eastAsia="宋体" w:cs="宋体"/>
          <w:bCs/>
          <w:color w:val="auto"/>
          <w:spacing w:val="-8"/>
          <w:sz w:val="24"/>
          <w:szCs w:val="24"/>
          <w:highlight w:val="none"/>
        </w:rPr>
        <w:t>．工期要求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_Toc8255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8D7623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_Toc11449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5</w:t>
      </w:r>
      <w:r>
        <w:rPr>
          <w:rFonts w:hint="eastAsia" w:ascii="宋体" w:hAnsi="宋体" w:eastAsia="宋体" w:cs="宋体"/>
          <w:bCs/>
          <w:color w:val="auto"/>
          <w:spacing w:val="-5"/>
          <w:sz w:val="24"/>
          <w:szCs w:val="24"/>
          <w:highlight w:val="none"/>
          <w:lang w:val="en-US" w:eastAsia="zh-CN"/>
        </w:rPr>
        <w:t xml:space="preserve"> </w:t>
      </w:r>
      <w:r>
        <w:rPr>
          <w:rFonts w:hint="eastAsia" w:ascii="宋体" w:hAnsi="宋体" w:eastAsia="宋体" w:cs="宋体"/>
          <w:bCs/>
          <w:color w:val="auto"/>
          <w:spacing w:val="-5"/>
          <w:sz w:val="24"/>
          <w:szCs w:val="24"/>
          <w:highlight w:val="none"/>
        </w:rPr>
        <w:t>．质量标准和材料、机械要求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_Toc11449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3ADD1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_Toc21146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6</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bCs/>
          <w:color w:val="auto"/>
          <w:spacing w:val="-6"/>
          <w:sz w:val="24"/>
          <w:szCs w:val="24"/>
          <w:highlight w:val="none"/>
        </w:rPr>
        <w:t>．施工条件及现场踏勘</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_Toc21146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106652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_Toc24768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7</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5"/>
          <w:sz w:val="24"/>
          <w:szCs w:val="24"/>
          <w:highlight w:val="none"/>
        </w:rPr>
        <w:t>．招标文件的提问和答疑</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_Toc24768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9F7B6A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8</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5"/>
          <w:sz w:val="24"/>
          <w:szCs w:val="24"/>
          <w:highlight w:val="none"/>
        </w:rPr>
        <w:t>．</w:t>
      </w:r>
      <w:r>
        <w:rPr>
          <w:rFonts w:hint="eastAsia" w:ascii="宋体" w:hAnsi="宋体" w:eastAsia="宋体" w:cs="宋体"/>
          <w:bCs/>
          <w:color w:val="auto"/>
          <w:spacing w:val="-1"/>
          <w:sz w:val="24"/>
          <w:szCs w:val="24"/>
          <w:highlight w:val="none"/>
          <w:lang w:eastAsia="zh-CN"/>
        </w:rPr>
        <w:t>最高投标限价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_Toc20958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F9B4D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_Toc6911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9</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8"/>
          <w:sz w:val="24"/>
          <w:szCs w:val="24"/>
          <w:highlight w:val="none"/>
        </w:rPr>
        <w:t>．投标报价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_Toc6911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73E1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_Toc23711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10</w:t>
      </w:r>
      <w:r>
        <w:rPr>
          <w:rFonts w:hint="eastAsia" w:ascii="宋体" w:hAnsi="宋体" w:eastAsia="宋体" w:cs="宋体"/>
          <w:bCs/>
          <w:color w:val="auto"/>
          <w:spacing w:val="-21"/>
          <w:sz w:val="24"/>
          <w:szCs w:val="24"/>
          <w:highlight w:val="none"/>
        </w:rPr>
        <w:t xml:space="preserve"> </w:t>
      </w:r>
      <w:r>
        <w:rPr>
          <w:rFonts w:hint="eastAsia" w:ascii="宋体" w:hAnsi="宋体" w:eastAsia="宋体" w:cs="宋体"/>
          <w:bCs/>
          <w:color w:val="auto"/>
          <w:spacing w:val="-6"/>
          <w:sz w:val="24"/>
          <w:szCs w:val="24"/>
          <w:highlight w:val="none"/>
        </w:rPr>
        <w:t>．投标文件的编制要求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_Toc23711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48DC7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_Toc10599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11.</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_Toc10599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D3E4D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_Toc5126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lang w:val="en-US" w:eastAsia="zh-CN"/>
        </w:rPr>
        <w:t>12.</w:t>
      </w:r>
      <w:r>
        <w:rPr>
          <w:rFonts w:hint="eastAsia" w:ascii="宋体" w:hAnsi="宋体" w:eastAsia="宋体" w:cs="宋体"/>
          <w:bCs/>
          <w:color w:val="auto"/>
          <w:spacing w:val="22"/>
          <w:w w:val="101"/>
          <w:sz w:val="24"/>
          <w:szCs w:val="24"/>
          <w:highlight w:val="none"/>
        </w:rPr>
        <w:t xml:space="preserve"> </w:t>
      </w:r>
      <w:r>
        <w:rPr>
          <w:rFonts w:hint="eastAsia" w:ascii="宋体" w:hAnsi="宋体" w:eastAsia="宋体" w:cs="宋体"/>
          <w:bCs/>
          <w:color w:val="auto"/>
          <w:spacing w:val="-4"/>
          <w:sz w:val="24"/>
          <w:szCs w:val="24"/>
          <w:highlight w:val="none"/>
        </w:rPr>
        <w:t>电子投标及投标解密失败及突发情况的补救方案</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_Toc5126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7427C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_Toc3957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13</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7"/>
          <w:sz w:val="24"/>
          <w:szCs w:val="24"/>
          <w:highlight w:val="none"/>
        </w:rPr>
        <w:t>．投标文件的提交</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_Toc3957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6683DD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_Toc8365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14</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．开标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_Toc8365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E81D09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15</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．评标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_Toc554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199EAB8">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firstLine="43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Cs/>
          <w:snapToGrid w:val="0"/>
          <w:color w:val="auto"/>
          <w:spacing w:val="-11"/>
          <w:sz w:val="24"/>
          <w:szCs w:val="24"/>
          <w:highlight w:val="none"/>
          <w:lang w:val="en-US" w:eastAsia="en-US" w:bidi="ar-SA"/>
        </w:rPr>
        <w:t>16</w:t>
      </w:r>
      <w:r>
        <w:rPr>
          <w:rFonts w:hint="eastAsia" w:ascii="宋体" w:hAnsi="宋体" w:eastAsia="宋体" w:cs="宋体"/>
          <w:bCs/>
          <w:snapToGrid w:val="0"/>
          <w:color w:val="auto"/>
          <w:spacing w:val="-11"/>
          <w:sz w:val="24"/>
          <w:szCs w:val="24"/>
          <w:highlight w:val="none"/>
          <w:lang w:val="en-US" w:eastAsia="zh-CN" w:bidi="ar-SA"/>
        </w:rPr>
        <w:t>.  评标结果公示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_Toc32569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E411346">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否决投标条件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_Toc16554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34CC3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_Toc15082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．资格评审环节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_Toc15082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8592D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．形式评审环节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_Toc5925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84F8B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_Toc19828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3</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6"/>
          <w:sz w:val="24"/>
          <w:szCs w:val="24"/>
          <w:highlight w:val="none"/>
        </w:rPr>
        <w:t>．响应性评审环节</w:t>
      </w:r>
      <w:bookmarkStart w:id="264" w:name="_GoBack"/>
      <w:bookmarkEnd w:id="264"/>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_Toc19828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6972F3E">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11"/>
          <w:sz w:val="24"/>
          <w:szCs w:val="24"/>
          <w:highlight w:val="none"/>
        </w:rPr>
        <w:t>．其他</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_Toc1458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354E14">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_Toc22243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五</w:t>
      </w:r>
      <w:r>
        <w:rPr>
          <w:rFonts w:hint="eastAsia" w:ascii="宋体" w:hAnsi="宋体" w:eastAsia="宋体" w:cs="宋体"/>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定标规定及细则（本项目采用票决数量法定标）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_Toc22243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2AC5C81">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_Toc4926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六</w:t>
      </w:r>
      <w:r>
        <w:rPr>
          <w:rFonts w:hint="eastAsia" w:ascii="宋体" w:hAnsi="宋体" w:eastAsia="宋体" w:cs="宋体"/>
          <w:bCs/>
          <w:color w:val="auto"/>
          <w:spacing w:val="-3"/>
          <w:sz w:val="24"/>
          <w:szCs w:val="24"/>
          <w:highlight w:val="none"/>
        </w:rPr>
        <w:t>节 中标确认</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_Toc4926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46E0E0">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_Toc13655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Cs/>
          <w:color w:val="auto"/>
          <w:spacing w:val="-7"/>
          <w:sz w:val="24"/>
          <w:szCs w:val="24"/>
          <w:highlight w:val="none"/>
        </w:rPr>
        <w:t>中标人须知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_Toc13655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8B1A00D">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9"/>
          <w:sz w:val="24"/>
          <w:szCs w:val="24"/>
          <w:highlight w:val="none"/>
        </w:rPr>
        <w:t>．中标通知书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_Toc21697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04134A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．中标结果公示</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_Toc979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FE0B9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_Toc13145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．履约保证</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_Toc13145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A9004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8"/>
          <w:sz w:val="24"/>
          <w:szCs w:val="24"/>
          <w:highlight w:val="none"/>
        </w:rPr>
        <w:t>．合同订立</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48F34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_Toc4089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5</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6"/>
          <w:sz w:val="24"/>
          <w:szCs w:val="24"/>
          <w:highlight w:val="none"/>
        </w:rPr>
        <w:t>．放弃中标的处理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_Toc4089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DBD987">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_Toc7715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拟签订合同的主要条款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_Toc7715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E2FC7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_Toc6603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．工程承包方式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_Toc6603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D3982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_Toc24910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．工程结算原则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_Toc24910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BAFD596">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_Toc5247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3. 工程付款办法</w:t>
      </w:r>
      <w:r>
        <w:rPr>
          <w:rFonts w:hint="eastAsia" w:ascii="宋体" w:hAnsi="宋体" w:eastAsia="宋体" w:cs="宋体"/>
          <w:color w:val="auto"/>
          <w:sz w:val="24"/>
          <w:szCs w:val="24"/>
          <w:highlight w:val="none"/>
        </w:rPr>
        <w:tab/>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t>8</w:t>
      </w:r>
    </w:p>
    <w:p w14:paraId="1E1CFE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_Toc29229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4</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7"/>
          <w:sz w:val="24"/>
          <w:szCs w:val="24"/>
          <w:highlight w:val="none"/>
        </w:rPr>
        <w:t>．其他专用合同条款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_Toc29229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A29D98">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_Toc30225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技术要求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_Toc30225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3CF21CB">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Cs/>
          <w:color w:val="auto"/>
          <w:spacing w:val="-5"/>
          <w:sz w:val="24"/>
          <w:szCs w:val="24"/>
          <w:highlight w:val="none"/>
        </w:rPr>
        <w:t>图纸和招标工程量清单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_Toc21699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E0BD2F">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_Toc27130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_Toc27130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6025A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left="0" w:leftChars="0"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_Toc11203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Cs/>
          <w:color w:val="auto"/>
          <w:spacing w:val="-4"/>
          <w:sz w:val="24"/>
          <w:szCs w:val="24"/>
          <w:highlight w:val="none"/>
        </w:rPr>
        <w:t>封面</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_Toc11203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39B5A9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left="0" w:leftChars="0"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格式二 投标函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_Toc24492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CADD78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left="0" w:leftChars="0"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格式三 各项承诺一览表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_Toc15958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58C44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left="0" w:leftChars="0"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格式四 授权委托书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_Toc16537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FB526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left="0" w:leftChars="0"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_Toc30394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格式五 法定代表人身份证明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_Toc30394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35359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left="0" w:leftChars="0"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_Toc5771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格式六 联合体协议书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_Toc5771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236CB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left="0" w:leftChars="0"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_Toc17838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格式七 投标人基本情况表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_Toc17838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C1E61C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left="0" w:leftChars="0"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格式八 项目经理简历表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_Toc19699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F7803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left="0" w:leftChars="0"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格式九 项目经理任职声明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_Toc30661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79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DBA08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left="0" w:leftChars="0"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_Toc31071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 项目技术负责人简历表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_Toc31071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ECC15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left="0" w:leftChars="0"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_Toc25235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格式十一 项目管理机构组成表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_Toc25235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F8F69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left="0" w:leftChars="0"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_Toc16480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格式十二 建造师查询页（有效期+建造师签字）</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_Toc16480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F2B0A9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left="0" w:leftChars="0"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_Toc28779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格式十三</w:t>
      </w:r>
      <w:r>
        <w:rPr>
          <w:rFonts w:hint="eastAsia" w:ascii="宋体" w:hAnsi="宋体" w:eastAsia="宋体" w:cs="宋体"/>
          <w:bCs/>
          <w:color w:val="auto"/>
          <w:spacing w:val="7"/>
          <w:sz w:val="24"/>
          <w:szCs w:val="24"/>
          <w:highlight w:val="none"/>
        </w:rPr>
        <w:t>危险性较大的分部分项工程清单及超过一定规模的危险性较大的</w:t>
      </w:r>
      <w:r>
        <w:rPr>
          <w:rFonts w:hint="eastAsia" w:ascii="宋体" w:hAnsi="宋体" w:eastAsia="宋体" w:cs="宋体"/>
          <w:bCs/>
          <w:color w:val="auto"/>
          <w:spacing w:val="5"/>
          <w:sz w:val="24"/>
          <w:szCs w:val="24"/>
          <w:highlight w:val="none"/>
        </w:rPr>
        <w:t>分部分项工程清单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_Toc28779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F484581">
      <w:pPr>
        <w:keepNext w:val="0"/>
        <w:keepLines w:val="0"/>
        <w:pageBreakBefore w:val="0"/>
        <w:widowControl/>
        <w:kinsoku w:val="0"/>
        <w:wordWrap/>
        <w:overflowPunct/>
        <w:topLinePunct w:val="0"/>
        <w:autoSpaceDE w:val="0"/>
        <w:autoSpaceDN w:val="0"/>
        <w:bidi w:val="0"/>
        <w:adjustRightInd w:val="0"/>
        <w:snapToGrid w:val="0"/>
        <w:ind w:left="0" w:leftChars="0" w:firstLine="696" w:firstLineChars="300"/>
        <w:textAlignment w:val="baseline"/>
        <w:rPr>
          <w:rFonts w:hint="eastAsia"/>
        </w:rPr>
      </w:pP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HYPERLINK \l _Toc26323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lang w:eastAsia="zh-CN"/>
        </w:rPr>
        <w:t>格式十</w:t>
      </w:r>
      <w:r>
        <w:rPr>
          <w:rFonts w:hint="eastAsia" w:ascii="宋体" w:hAnsi="宋体" w:eastAsia="宋体" w:cs="宋体"/>
          <w:bCs/>
          <w:color w:val="auto"/>
          <w:spacing w:val="-4"/>
          <w:sz w:val="24"/>
          <w:szCs w:val="24"/>
          <w:highlight w:val="none"/>
          <w:lang w:val="en-US" w:eastAsia="zh-CN"/>
        </w:rPr>
        <w:t>四  定标因素评审资料</w:t>
      </w:r>
      <w:r>
        <w:rPr>
          <w:rFonts w:hint="eastAsia" w:ascii="宋体" w:hAnsi="宋体" w:eastAsia="宋体" w:cs="宋体"/>
          <w:color w:val="auto"/>
          <w:sz w:val="24"/>
          <w:szCs w:val="24"/>
          <w:highlight w:val="none"/>
          <w:lang w:val="en-US" w:eastAsia="zh-CN"/>
        </w:rPr>
        <w:t>...............................................</w:t>
      </w: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PAGEREF _Toc26323 \h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88</w:t>
      </w:r>
      <w:r>
        <w:rPr>
          <w:rFonts w:hint="eastAsia" w:ascii="宋体" w:hAnsi="宋体" w:eastAsia="宋体" w:cs="宋体"/>
          <w:bCs/>
          <w:color w:val="auto"/>
          <w:spacing w:val="-4"/>
          <w:sz w:val="24"/>
          <w:szCs w:val="24"/>
          <w:highlight w:val="none"/>
        </w:rPr>
        <w:fldChar w:fldCharType="end"/>
      </w:r>
      <w:r>
        <w:rPr>
          <w:rFonts w:hint="eastAsia" w:ascii="宋体" w:hAnsi="宋体" w:eastAsia="宋体" w:cs="宋体"/>
          <w:bCs/>
          <w:color w:val="auto"/>
          <w:spacing w:val="-4"/>
          <w:sz w:val="24"/>
          <w:szCs w:val="24"/>
          <w:highlight w:val="none"/>
        </w:rPr>
        <w:fldChar w:fldCharType="end"/>
      </w:r>
    </w:p>
    <w:p w14:paraId="336785D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left="0" w:leftChars="0"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_Toc9960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w:t>
      </w:r>
      <w:r>
        <w:rPr>
          <w:rFonts w:hint="eastAsia" w:ascii="宋体" w:hAnsi="宋体" w:eastAsia="宋体" w:cs="宋体"/>
          <w:bCs/>
          <w:color w:val="auto"/>
          <w:spacing w:val="-4"/>
          <w:sz w:val="24"/>
          <w:szCs w:val="24"/>
          <w:highlight w:val="none"/>
          <w:lang w:eastAsia="zh-CN"/>
        </w:rPr>
        <w:t>五</w:t>
      </w:r>
      <w:r>
        <w:rPr>
          <w:rFonts w:hint="eastAsia" w:ascii="宋体" w:hAnsi="宋体" w:eastAsia="宋体" w:cs="宋体"/>
          <w:bCs/>
          <w:color w:val="auto"/>
          <w:spacing w:val="-4"/>
          <w:sz w:val="24"/>
          <w:szCs w:val="24"/>
          <w:highlight w:val="none"/>
        </w:rPr>
        <w:t xml:space="preserve">  原件一览表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_Toc9960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20D3556">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_Toc10482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建设工程施工合同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_Toc10482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headerReference r:id="rId4" w:type="default"/>
          <w:footerReference r:id="rId5" w:type="default"/>
          <w:pgSz w:w="11906" w:h="16839"/>
          <w:pgMar w:top="1134" w:right="1134" w:bottom="1134" w:left="1134"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6FAD710A">
      <w:pPr>
        <w:pStyle w:val="5"/>
        <w:spacing w:line="272" w:lineRule="auto"/>
        <w:rPr>
          <w:rFonts w:hint="eastAsia" w:ascii="宋体" w:hAnsi="宋体" w:eastAsia="宋体" w:cs="宋体"/>
          <w:color w:val="auto"/>
          <w:highlight w:val="none"/>
        </w:rPr>
      </w:pPr>
    </w:p>
    <w:p w14:paraId="41787C92">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3058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225EA8A0">
      <w:pP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107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7D4C9041">
      <w:pPr>
        <w:spacing w:before="25"/>
        <w:rPr>
          <w:rFonts w:hint="eastAsia" w:ascii="宋体" w:hAnsi="宋体" w:eastAsia="宋体" w:cs="宋体"/>
          <w:color w:val="auto"/>
          <w:highlight w:val="none"/>
        </w:rPr>
      </w:pPr>
    </w:p>
    <w:tbl>
      <w:tblPr>
        <w:tblStyle w:val="14"/>
        <w:tblW w:w="10507" w:type="dxa"/>
        <w:tblInd w:w="-5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7"/>
        <w:gridCol w:w="2326"/>
        <w:gridCol w:w="793"/>
        <w:gridCol w:w="3589"/>
        <w:gridCol w:w="3162"/>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top"/>
          </w:tcPr>
          <w:p w14:paraId="6E71DC35">
            <w:pPr>
              <w:spacing w:before="203" w:line="360" w:lineRule="auto"/>
              <w:ind w:left="0" w:leftChars="0" w:firstLine="0" w:firstLineChars="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序号</w:t>
            </w:r>
          </w:p>
        </w:tc>
        <w:tc>
          <w:tcPr>
            <w:tcW w:w="2326" w:type="dxa"/>
            <w:vAlign w:val="center"/>
          </w:tcPr>
          <w:p w14:paraId="4C2E1B8B">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内容</w:t>
            </w:r>
          </w:p>
        </w:tc>
        <w:tc>
          <w:tcPr>
            <w:tcW w:w="7544" w:type="dxa"/>
            <w:gridSpan w:val="3"/>
            <w:vAlign w:val="center"/>
          </w:tcPr>
          <w:p w14:paraId="5AEE0820">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3743D7C8">
            <w:pPr>
              <w:spacing w:before="223" w:line="360" w:lineRule="auto"/>
              <w:jc w:val="center"/>
              <w:rPr>
                <w:rFonts w:hint="eastAsia" w:asciiTheme="minorEastAsia" w:hAnsiTheme="minorEastAsia" w:eastAsiaTheme="minorEastAsia" w:cstheme="minorEastAsia"/>
                <w:color w:val="auto"/>
                <w:sz w:val="24"/>
                <w:szCs w:val="24"/>
                <w:highlight w:val="none"/>
              </w:rPr>
            </w:pPr>
            <w:bookmarkStart w:id="4" w:name="OLE_LINK2" w:colFirst="2" w:colLast="2"/>
            <w:r>
              <w:rPr>
                <w:rFonts w:hint="eastAsia" w:asciiTheme="minorEastAsia" w:hAnsiTheme="minorEastAsia" w:eastAsiaTheme="minorEastAsia" w:cstheme="minorEastAsia"/>
                <w:color w:val="auto"/>
                <w:sz w:val="24"/>
                <w:szCs w:val="24"/>
                <w:highlight w:val="none"/>
              </w:rPr>
              <w:t>1</w:t>
            </w:r>
          </w:p>
        </w:tc>
        <w:tc>
          <w:tcPr>
            <w:tcW w:w="2326" w:type="dxa"/>
            <w:vAlign w:val="center"/>
          </w:tcPr>
          <w:p w14:paraId="2DAD04FB">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项目名称</w:t>
            </w:r>
          </w:p>
        </w:tc>
        <w:tc>
          <w:tcPr>
            <w:tcW w:w="7544" w:type="dxa"/>
            <w:gridSpan w:val="3"/>
            <w:vAlign w:val="center"/>
          </w:tcPr>
          <w:p w14:paraId="495090BD">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韶关市曲江区大塘镇原食品园地块土方平整工程项目施工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6B02EA2B">
            <w:pPr>
              <w:spacing w:before="222"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2326" w:type="dxa"/>
            <w:vAlign w:val="center"/>
          </w:tcPr>
          <w:p w14:paraId="4498F624">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项目业主</w:t>
            </w:r>
          </w:p>
        </w:tc>
        <w:tc>
          <w:tcPr>
            <w:tcW w:w="7544" w:type="dxa"/>
            <w:gridSpan w:val="3"/>
            <w:vAlign w:val="center"/>
          </w:tcPr>
          <w:p w14:paraId="0533DE1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韶关市曲江区土地储备中心</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3A5F6D9F">
            <w:pPr>
              <w:spacing w:before="58"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2326" w:type="dxa"/>
            <w:vAlign w:val="center"/>
          </w:tcPr>
          <w:p w14:paraId="157B5048">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0000FF"/>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项目批准部门及项目批准文号</w:t>
            </w:r>
          </w:p>
        </w:tc>
        <w:tc>
          <w:tcPr>
            <w:tcW w:w="7544" w:type="dxa"/>
            <w:gridSpan w:val="3"/>
            <w:vAlign w:val="center"/>
          </w:tcPr>
          <w:p w14:paraId="667F29C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7E34B725">
            <w:pPr>
              <w:spacing w:before="225"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w:t>
            </w:r>
          </w:p>
        </w:tc>
        <w:tc>
          <w:tcPr>
            <w:tcW w:w="2326" w:type="dxa"/>
            <w:vAlign w:val="center"/>
          </w:tcPr>
          <w:p w14:paraId="1DD2D51F">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建设地点</w:t>
            </w:r>
          </w:p>
        </w:tc>
        <w:tc>
          <w:tcPr>
            <w:tcW w:w="7544" w:type="dxa"/>
            <w:gridSpan w:val="3"/>
            <w:tcMar>
              <w:top w:w="0" w:type="dxa"/>
              <w:left w:w="0" w:type="dxa"/>
              <w:bottom w:w="0" w:type="dxa"/>
              <w:right w:w="0" w:type="dxa"/>
            </w:tcMar>
            <w:vAlign w:val="center"/>
          </w:tcPr>
          <w:p w14:paraId="35204136">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韶关市曲江区</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318E89F5">
            <w:pPr>
              <w:spacing w:before="226"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2326" w:type="dxa"/>
            <w:vAlign w:val="center"/>
          </w:tcPr>
          <w:p w14:paraId="66CCEB4B">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项目代码</w:t>
            </w:r>
          </w:p>
        </w:tc>
        <w:tc>
          <w:tcPr>
            <w:tcW w:w="7544" w:type="dxa"/>
            <w:gridSpan w:val="3"/>
            <w:vAlign w:val="center"/>
          </w:tcPr>
          <w:p w14:paraId="4449217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Calibri"/>
                <w:bCs/>
                <w:color w:val="auto"/>
                <w:sz w:val="24"/>
                <w:szCs w:val="24"/>
                <w:highlight w:val="none"/>
                <w:lang w:eastAsia="zh-CN"/>
              </w:rPr>
              <w:t>2604-440205-04-01-482876</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6D804121">
            <w:pPr>
              <w:spacing w:before="58"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p>
        </w:tc>
        <w:tc>
          <w:tcPr>
            <w:tcW w:w="2326" w:type="dxa"/>
            <w:vAlign w:val="center"/>
          </w:tcPr>
          <w:p w14:paraId="5A6B5685">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资金来源及落实情况</w:t>
            </w:r>
          </w:p>
        </w:tc>
        <w:tc>
          <w:tcPr>
            <w:tcW w:w="7544" w:type="dxa"/>
            <w:gridSpan w:val="3"/>
            <w:vAlign w:val="center"/>
          </w:tcPr>
          <w:p w14:paraId="440E9E3D">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财政资金，100%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400528AE">
            <w:pPr>
              <w:spacing w:before="228"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p>
        </w:tc>
        <w:tc>
          <w:tcPr>
            <w:tcW w:w="2326" w:type="dxa"/>
            <w:vAlign w:val="center"/>
          </w:tcPr>
          <w:p w14:paraId="3CAF0EEB">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招标人</w:t>
            </w:r>
          </w:p>
        </w:tc>
        <w:tc>
          <w:tcPr>
            <w:tcW w:w="7544" w:type="dxa"/>
            <w:gridSpan w:val="3"/>
            <w:vAlign w:val="center"/>
          </w:tcPr>
          <w:p w14:paraId="5B71CC7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韶关市曲江区土地储备中心</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44304D14">
            <w:pPr>
              <w:spacing w:before="224"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p>
        </w:tc>
        <w:tc>
          <w:tcPr>
            <w:tcW w:w="2326" w:type="dxa"/>
            <w:vAlign w:val="center"/>
          </w:tcPr>
          <w:p w14:paraId="31C26FCB">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招标代理机构</w:t>
            </w:r>
          </w:p>
        </w:tc>
        <w:tc>
          <w:tcPr>
            <w:tcW w:w="7544" w:type="dxa"/>
            <w:gridSpan w:val="3"/>
            <w:vAlign w:val="center"/>
          </w:tcPr>
          <w:p w14:paraId="4E3C0A9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广东顶骐建设工程咨询有限公司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5A5AC857">
            <w:pPr>
              <w:spacing w:before="225"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p>
        </w:tc>
        <w:tc>
          <w:tcPr>
            <w:tcW w:w="2326" w:type="dxa"/>
            <w:vAlign w:val="center"/>
          </w:tcPr>
          <w:p w14:paraId="11B17F78">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设计单位</w:t>
            </w:r>
          </w:p>
        </w:tc>
        <w:tc>
          <w:tcPr>
            <w:tcW w:w="7544" w:type="dxa"/>
            <w:gridSpan w:val="3"/>
            <w:vAlign w:val="center"/>
          </w:tcPr>
          <w:p w14:paraId="2E0AD38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default" w:asciiTheme="minorEastAsia" w:hAnsiTheme="minorEastAsia" w:eastAsiaTheme="minorEastAsia" w:cstheme="minorEastAsia"/>
                <w:snapToGrid w:val="0"/>
                <w:color w:val="auto"/>
                <w:kern w:val="0"/>
                <w:sz w:val="24"/>
                <w:szCs w:val="24"/>
                <w:highlight w:val="none"/>
                <w:lang w:val="en-US" w:eastAsia="zh-CN"/>
              </w:rPr>
            </w:pPr>
            <w:r>
              <w:rPr>
                <w:rFonts w:hint="default" w:asciiTheme="minorEastAsia" w:hAnsiTheme="minorEastAsia" w:eastAsiaTheme="minorEastAsia" w:cstheme="minorEastAsia"/>
                <w:snapToGrid w:val="0"/>
                <w:color w:val="auto"/>
                <w:kern w:val="0"/>
                <w:sz w:val="24"/>
                <w:szCs w:val="24"/>
                <w:highlight w:val="none"/>
                <w:lang w:val="en-US" w:eastAsia="zh-CN"/>
              </w:rPr>
              <w:t>深圳市爱华勘测工程有限公司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1D58DA3A">
            <w:pPr>
              <w:spacing w:before="245"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10</w:t>
            </w:r>
          </w:p>
        </w:tc>
        <w:tc>
          <w:tcPr>
            <w:tcW w:w="2326" w:type="dxa"/>
            <w:vAlign w:val="center"/>
          </w:tcPr>
          <w:p w14:paraId="1DD07B75">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造价咨询单位</w:t>
            </w:r>
          </w:p>
        </w:tc>
        <w:tc>
          <w:tcPr>
            <w:tcW w:w="7544" w:type="dxa"/>
            <w:gridSpan w:val="3"/>
            <w:vAlign w:val="center"/>
          </w:tcPr>
          <w:p w14:paraId="7A3C8AC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韶关中一工程造价咨询有限公司</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5392F3A2">
            <w:pPr>
              <w:spacing w:before="242"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11</w:t>
            </w:r>
          </w:p>
        </w:tc>
        <w:tc>
          <w:tcPr>
            <w:tcW w:w="2326" w:type="dxa"/>
            <w:vAlign w:val="center"/>
          </w:tcPr>
          <w:p w14:paraId="12C094CC">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监理单位</w:t>
            </w:r>
          </w:p>
        </w:tc>
        <w:tc>
          <w:tcPr>
            <w:tcW w:w="7544" w:type="dxa"/>
            <w:gridSpan w:val="3"/>
            <w:vAlign w:val="center"/>
          </w:tcPr>
          <w:p w14:paraId="03F5A6D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 xml:space="preserve"> 待定</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1515EDE6">
            <w:pPr>
              <w:spacing w:before="58"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lang w:eastAsia="zh-CN"/>
              </w:rPr>
              <w:t>1</w:t>
            </w:r>
            <w:r>
              <w:rPr>
                <w:rFonts w:hint="eastAsia" w:asciiTheme="minorEastAsia" w:hAnsiTheme="minorEastAsia" w:eastAsiaTheme="minorEastAsia" w:cstheme="minorEastAsia"/>
                <w:color w:val="auto"/>
                <w:spacing w:val="-8"/>
                <w:sz w:val="24"/>
                <w:szCs w:val="24"/>
                <w:highlight w:val="none"/>
              </w:rPr>
              <w:t>2</w:t>
            </w:r>
          </w:p>
        </w:tc>
        <w:tc>
          <w:tcPr>
            <w:tcW w:w="2326" w:type="dxa"/>
            <w:vAlign w:val="center"/>
          </w:tcPr>
          <w:p w14:paraId="3DF6750B">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建设内容和规模</w:t>
            </w:r>
          </w:p>
        </w:tc>
        <w:tc>
          <w:tcPr>
            <w:tcW w:w="7544" w:type="dxa"/>
            <w:gridSpan w:val="3"/>
            <w:vAlign w:val="center"/>
          </w:tcPr>
          <w:p w14:paraId="33FB465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土方工程和挡土墙工程。</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5D9D5ABA">
            <w:pPr>
              <w:spacing w:before="57"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13</w:t>
            </w:r>
          </w:p>
        </w:tc>
        <w:tc>
          <w:tcPr>
            <w:tcW w:w="2326" w:type="dxa"/>
            <w:vAlign w:val="center"/>
          </w:tcPr>
          <w:p w14:paraId="280E5560">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项目总投资</w:t>
            </w:r>
          </w:p>
        </w:tc>
        <w:tc>
          <w:tcPr>
            <w:tcW w:w="7544" w:type="dxa"/>
            <w:gridSpan w:val="3"/>
            <w:vAlign w:val="center"/>
          </w:tcPr>
          <w:p w14:paraId="0C56FDED">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w:t>
            </w:r>
            <w:r>
              <w:rPr>
                <w:rFonts w:hint="default" w:asciiTheme="minorEastAsia" w:hAnsiTheme="minorEastAsia" w:eastAsiaTheme="minorEastAsia" w:cstheme="minorEastAsia"/>
                <w:snapToGrid w:val="0"/>
                <w:color w:val="auto"/>
                <w:kern w:val="0"/>
                <w:sz w:val="24"/>
                <w:szCs w:val="24"/>
                <w:highlight w:val="none"/>
                <w:lang w:val="en-US" w:eastAsia="zh-CN"/>
              </w:rPr>
              <w:t>总投资约4328</w:t>
            </w:r>
            <w:r>
              <w:rPr>
                <w:rFonts w:hint="eastAsia" w:asciiTheme="minorEastAsia" w:hAnsiTheme="minorEastAsia" w:eastAsiaTheme="minorEastAsia" w:cstheme="minorEastAsia"/>
                <w:snapToGrid w:val="0"/>
                <w:color w:val="auto"/>
                <w:kern w:val="0"/>
                <w:sz w:val="24"/>
                <w:szCs w:val="24"/>
                <w:highlight w:val="none"/>
                <w:lang w:val="en-US" w:eastAsia="zh-CN"/>
              </w:rPr>
              <w:t>.</w:t>
            </w:r>
            <w:r>
              <w:rPr>
                <w:rFonts w:hint="default" w:asciiTheme="minorEastAsia" w:hAnsiTheme="minorEastAsia" w:eastAsiaTheme="minorEastAsia" w:cstheme="minorEastAsia"/>
                <w:snapToGrid w:val="0"/>
                <w:color w:val="auto"/>
                <w:kern w:val="0"/>
                <w:sz w:val="24"/>
                <w:szCs w:val="24"/>
                <w:highlight w:val="none"/>
                <w:lang w:val="en-US" w:eastAsia="zh-CN"/>
              </w:rPr>
              <w:t>19</w:t>
            </w:r>
            <w:r>
              <w:rPr>
                <w:rFonts w:hint="eastAsia" w:asciiTheme="minorEastAsia" w:hAnsiTheme="minorEastAsia" w:eastAsiaTheme="minorEastAsia" w:cstheme="minorEastAsia"/>
                <w:snapToGrid w:val="0"/>
                <w:color w:val="auto"/>
                <w:kern w:val="0"/>
                <w:sz w:val="24"/>
                <w:szCs w:val="24"/>
                <w:highlight w:val="none"/>
                <w:lang w:val="en-US" w:eastAsia="zh-CN"/>
              </w:rPr>
              <w:t>万</w:t>
            </w:r>
            <w:r>
              <w:rPr>
                <w:rFonts w:hint="default" w:asciiTheme="minorEastAsia" w:hAnsiTheme="minorEastAsia" w:eastAsiaTheme="minorEastAsia" w:cstheme="minorEastAsia"/>
                <w:snapToGrid w:val="0"/>
                <w:color w:val="auto"/>
                <w:kern w:val="0"/>
                <w:sz w:val="24"/>
                <w:szCs w:val="24"/>
                <w:highlight w:val="none"/>
                <w:lang w:val="en-US" w:eastAsia="zh-CN"/>
              </w:rPr>
              <w:t>元</w:t>
            </w:r>
            <w:r>
              <w:rPr>
                <w:rFonts w:hint="eastAsia" w:asciiTheme="minorEastAsia" w:hAnsiTheme="minorEastAsia" w:eastAsiaTheme="minorEastAsia" w:cstheme="minorEastAsia"/>
                <w:snapToGrid w:val="0"/>
                <w:color w:val="auto"/>
                <w:kern w:val="0"/>
                <w:sz w:val="24"/>
                <w:szCs w:val="24"/>
                <w:highlight w:val="none"/>
                <w:lang w:val="en-US" w:eastAsia="zh-CN"/>
              </w:rPr>
              <w:t>。</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798375C9">
            <w:pPr>
              <w:spacing w:before="58"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w:t>
            </w:r>
          </w:p>
        </w:tc>
        <w:tc>
          <w:tcPr>
            <w:tcW w:w="2326" w:type="dxa"/>
            <w:vAlign w:val="center"/>
          </w:tcPr>
          <w:p w14:paraId="2A6F4982">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招标范围</w:t>
            </w:r>
          </w:p>
        </w:tc>
        <w:tc>
          <w:tcPr>
            <w:tcW w:w="7544" w:type="dxa"/>
            <w:gridSpan w:val="3"/>
            <w:vAlign w:val="center"/>
          </w:tcPr>
          <w:p w14:paraId="3DE01C1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施工图纸和工程量清单范围内等所有工程施工。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6EED9D8B">
            <w:pPr>
              <w:spacing w:before="58"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15</w:t>
            </w:r>
          </w:p>
        </w:tc>
        <w:tc>
          <w:tcPr>
            <w:tcW w:w="2326" w:type="dxa"/>
            <w:vAlign w:val="center"/>
          </w:tcPr>
          <w:p w14:paraId="5CD69A5F">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标段划分</w:t>
            </w:r>
          </w:p>
        </w:tc>
        <w:tc>
          <w:tcPr>
            <w:tcW w:w="7544" w:type="dxa"/>
            <w:gridSpan w:val="3"/>
            <w:vAlign w:val="center"/>
          </w:tcPr>
          <w:p w14:paraId="71E5B42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650937A5">
            <w:pPr>
              <w:spacing w:before="57" w:line="360"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rPr>
              <w:t>16</w:t>
            </w:r>
          </w:p>
        </w:tc>
        <w:tc>
          <w:tcPr>
            <w:tcW w:w="2326" w:type="dxa"/>
            <w:vAlign w:val="center"/>
          </w:tcPr>
          <w:p w14:paraId="00B1E991">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工期</w:t>
            </w:r>
          </w:p>
        </w:tc>
        <w:tc>
          <w:tcPr>
            <w:tcW w:w="7544" w:type="dxa"/>
            <w:gridSpan w:val="3"/>
            <w:vAlign w:val="top"/>
          </w:tcPr>
          <w:p w14:paraId="00A01DB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lang w:eastAsia="zh-CN"/>
              </w:rPr>
              <w:t>本招标项目施工工期为</w:t>
            </w:r>
            <w:r>
              <w:rPr>
                <w:rFonts w:hint="eastAsia" w:ascii="宋体" w:hAnsi="宋体" w:eastAsia="宋体" w:cs="宋体"/>
                <w:bCs/>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eastAsia="zh-CN"/>
              </w:rPr>
              <w:t>个日历天</w:t>
            </w:r>
            <w:r>
              <w:rPr>
                <w:rFonts w:hint="eastAsia" w:ascii="宋体" w:hAnsi="宋体" w:eastAsia="宋体" w:cs="宋体"/>
                <w:bCs/>
                <w:snapToGrid w:val="0"/>
                <w:color w:val="auto"/>
                <w:kern w:val="0"/>
                <w:sz w:val="24"/>
                <w:szCs w:val="24"/>
                <w:highlight w:val="none"/>
              </w:rPr>
              <w:t>。</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47B272B4">
            <w:pPr>
              <w:spacing w:before="57"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w:t>
            </w:r>
          </w:p>
        </w:tc>
        <w:tc>
          <w:tcPr>
            <w:tcW w:w="2326" w:type="dxa"/>
            <w:vAlign w:val="center"/>
          </w:tcPr>
          <w:p w14:paraId="29B95E6E">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质量标准</w:t>
            </w:r>
          </w:p>
        </w:tc>
        <w:tc>
          <w:tcPr>
            <w:tcW w:w="7544" w:type="dxa"/>
            <w:gridSpan w:val="3"/>
            <w:vAlign w:val="top"/>
          </w:tcPr>
          <w:p w14:paraId="6B00BF1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符合现行国家有关工程施工质量验收规范和标准的要求，质量目标达到合格。</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Merge w:val="restart"/>
            <w:vAlign w:val="center"/>
          </w:tcPr>
          <w:p w14:paraId="4BC67C17">
            <w:pPr>
              <w:spacing w:before="57"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18</w:t>
            </w:r>
          </w:p>
        </w:tc>
        <w:tc>
          <w:tcPr>
            <w:tcW w:w="2326" w:type="dxa"/>
            <w:vMerge w:val="restart"/>
            <w:vAlign w:val="center"/>
          </w:tcPr>
          <w:p w14:paraId="7C8582BA">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合同类型</w:t>
            </w:r>
          </w:p>
        </w:tc>
        <w:tc>
          <w:tcPr>
            <w:tcW w:w="7544" w:type="dxa"/>
            <w:gridSpan w:val="3"/>
            <w:vAlign w:val="top"/>
          </w:tcPr>
          <w:p w14:paraId="32295EB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☑单价合同：发承包双方约定以工程量清单及其综合单价进行合同价款计算、调整和确认的建设工程施工合同。</w:t>
            </w:r>
          </w:p>
          <w:p w14:paraId="2158BF3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Merge w:val="continue"/>
            <w:vAlign w:val="center"/>
          </w:tcPr>
          <w:p w14:paraId="2941AE80">
            <w:pPr>
              <w:spacing w:before="57" w:line="360" w:lineRule="auto"/>
              <w:jc w:val="center"/>
              <w:rPr>
                <w:rFonts w:hint="eastAsia" w:asciiTheme="minorEastAsia" w:hAnsiTheme="minorEastAsia" w:eastAsiaTheme="minorEastAsia" w:cstheme="minorEastAsia"/>
                <w:color w:val="auto"/>
                <w:spacing w:val="-8"/>
                <w:sz w:val="24"/>
                <w:szCs w:val="24"/>
                <w:highlight w:val="none"/>
              </w:rPr>
            </w:pPr>
          </w:p>
        </w:tc>
        <w:tc>
          <w:tcPr>
            <w:tcW w:w="2326" w:type="dxa"/>
            <w:vMerge w:val="continue"/>
            <w:vAlign w:val="center"/>
          </w:tcPr>
          <w:p w14:paraId="035DBDEF">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p>
        </w:tc>
        <w:tc>
          <w:tcPr>
            <w:tcW w:w="7544" w:type="dxa"/>
            <w:gridSpan w:val="3"/>
            <w:vAlign w:val="top"/>
          </w:tcPr>
          <w:p w14:paraId="7E667DD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 xml:space="preserve">□总价合同：发承包双方约定以施工图及其预算和有关条件进行合同价款计算、调整和确认的建设工程施工合同。 </w:t>
            </w:r>
          </w:p>
          <w:p w14:paraId="29EEDD8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5972A2CD">
            <w:pPr>
              <w:spacing w:before="19"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19</w:t>
            </w:r>
          </w:p>
        </w:tc>
        <w:tc>
          <w:tcPr>
            <w:tcW w:w="2326" w:type="dxa"/>
            <w:vAlign w:val="center"/>
          </w:tcPr>
          <w:p w14:paraId="2898AA7D">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房屋建筑工程绿色建筑标准</w:t>
            </w:r>
          </w:p>
        </w:tc>
        <w:tc>
          <w:tcPr>
            <w:tcW w:w="7544" w:type="dxa"/>
            <w:gridSpan w:val="3"/>
            <w:vAlign w:val="center"/>
          </w:tcPr>
          <w:p w14:paraId="43CBE360">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w:t>
            </w:r>
            <w:r>
              <w:rPr>
                <w:rFonts w:hint="eastAsia" w:asciiTheme="minorEastAsia" w:hAnsiTheme="minorEastAsia" w:eastAsiaTheme="minorEastAsia" w:cstheme="minorEastAsia"/>
                <w:snapToGrid w:val="0"/>
                <w:color w:val="auto"/>
                <w:kern w:val="0"/>
                <w:sz w:val="24"/>
                <w:szCs w:val="24"/>
                <w:highlight w:val="none"/>
                <w:u w:val="single"/>
                <w:lang w:val="en-US" w:eastAsia="zh-CN"/>
              </w:rPr>
              <w:t>不</w:t>
            </w:r>
            <w:r>
              <w:rPr>
                <w:rFonts w:hint="eastAsia" w:asciiTheme="minorEastAsia" w:hAnsiTheme="minorEastAsia" w:eastAsiaTheme="minorEastAsia" w:cstheme="minorEastAsia"/>
                <w:snapToGrid w:val="0"/>
                <w:color w:val="auto"/>
                <w:kern w:val="0"/>
                <w:sz w:val="24"/>
                <w:szCs w:val="24"/>
                <w:highlight w:val="none"/>
                <w:lang w:eastAsia="zh-CN"/>
              </w:rPr>
              <w:t>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73257DF0">
            <w:pPr>
              <w:spacing w:before="58"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19.</w:t>
            </w:r>
            <w:r>
              <w:rPr>
                <w:rFonts w:hint="eastAsia" w:asciiTheme="minorEastAsia" w:hAnsiTheme="minorEastAsia" w:eastAsiaTheme="minorEastAsia" w:cstheme="minorEastAsia"/>
                <w:color w:val="auto"/>
                <w:spacing w:val="-26"/>
                <w:sz w:val="24"/>
                <w:szCs w:val="24"/>
                <w:highlight w:val="none"/>
              </w:rPr>
              <w:t xml:space="preserve"> </w:t>
            </w:r>
            <w:r>
              <w:rPr>
                <w:rFonts w:hint="eastAsia" w:asciiTheme="minorEastAsia" w:hAnsiTheme="minorEastAsia" w:eastAsiaTheme="minorEastAsia" w:cstheme="minorEastAsia"/>
                <w:color w:val="auto"/>
                <w:spacing w:val="-3"/>
                <w:sz w:val="24"/>
                <w:szCs w:val="24"/>
                <w:highlight w:val="none"/>
              </w:rPr>
              <w:t>1</w:t>
            </w:r>
          </w:p>
        </w:tc>
        <w:tc>
          <w:tcPr>
            <w:tcW w:w="2326" w:type="dxa"/>
            <w:vAlign w:val="center"/>
          </w:tcPr>
          <w:p w14:paraId="25980190">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装配式建筑标准</w:t>
            </w:r>
          </w:p>
        </w:tc>
        <w:tc>
          <w:tcPr>
            <w:tcW w:w="7544" w:type="dxa"/>
            <w:gridSpan w:val="3"/>
            <w:vAlign w:val="center"/>
          </w:tcPr>
          <w:p w14:paraId="654C85A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w:t>
            </w:r>
            <w:r>
              <w:rPr>
                <w:rFonts w:hint="eastAsia" w:asciiTheme="minorEastAsia" w:hAnsiTheme="minorEastAsia" w:eastAsiaTheme="minorEastAsia" w:cstheme="minorEastAsia"/>
                <w:snapToGrid w:val="0"/>
                <w:color w:val="auto"/>
                <w:kern w:val="0"/>
                <w:sz w:val="24"/>
                <w:szCs w:val="24"/>
                <w:highlight w:val="none"/>
                <w:u w:val="single"/>
                <w:lang w:val="en-US" w:eastAsia="zh-CN"/>
              </w:rPr>
              <w:t>不</w:t>
            </w:r>
            <w:r>
              <w:rPr>
                <w:rFonts w:hint="eastAsia" w:asciiTheme="minorEastAsia" w:hAnsiTheme="minorEastAsia" w:eastAsiaTheme="minorEastAsia" w:cstheme="minorEastAsia"/>
                <w:snapToGrid w:val="0"/>
                <w:color w:val="auto"/>
                <w:kern w:val="0"/>
                <w:sz w:val="24"/>
                <w:szCs w:val="24"/>
                <w:highlight w:val="none"/>
                <w:lang w:eastAsia="zh-CN"/>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6F56262D">
            <w:pPr>
              <w:spacing w:before="69"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20</w:t>
            </w:r>
          </w:p>
        </w:tc>
        <w:tc>
          <w:tcPr>
            <w:tcW w:w="2326" w:type="dxa"/>
            <w:vAlign w:val="center"/>
          </w:tcPr>
          <w:p w14:paraId="7A9699B3">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发包人提供材料和工程设备</w:t>
            </w:r>
          </w:p>
        </w:tc>
        <w:tc>
          <w:tcPr>
            <w:tcW w:w="7544" w:type="dxa"/>
            <w:gridSpan w:val="3"/>
            <w:vAlign w:val="center"/>
          </w:tcPr>
          <w:p w14:paraId="041C9A4A">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2A7C3934">
            <w:pPr>
              <w:spacing w:before="69"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21</w:t>
            </w:r>
          </w:p>
        </w:tc>
        <w:tc>
          <w:tcPr>
            <w:tcW w:w="2326" w:type="dxa"/>
            <w:vAlign w:val="center"/>
          </w:tcPr>
          <w:p w14:paraId="2B19F4DA">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承包人提供材料和工程设备</w:t>
            </w:r>
          </w:p>
        </w:tc>
        <w:tc>
          <w:tcPr>
            <w:tcW w:w="7544" w:type="dxa"/>
            <w:gridSpan w:val="3"/>
            <w:vAlign w:val="top"/>
          </w:tcPr>
          <w:p w14:paraId="25B336F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5BDE6007">
            <w:pPr>
              <w:spacing w:before="69"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22</w:t>
            </w:r>
          </w:p>
        </w:tc>
        <w:tc>
          <w:tcPr>
            <w:tcW w:w="2326" w:type="dxa"/>
            <w:vAlign w:val="center"/>
          </w:tcPr>
          <w:p w14:paraId="079BF0EA">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最高投标限价</w:t>
            </w:r>
          </w:p>
        </w:tc>
        <w:tc>
          <w:tcPr>
            <w:tcW w:w="7544" w:type="dxa"/>
            <w:gridSpan w:val="3"/>
            <w:vAlign w:val="center"/>
          </w:tcPr>
          <w:p w14:paraId="00DC73E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olor w:val="auto"/>
                <w:sz w:val="24"/>
                <w:szCs w:val="24"/>
                <w:highlight w:val="none"/>
                <w:lang w:val="en-US" w:eastAsia="zh-CN"/>
              </w:rPr>
              <w:t>本招标项目最高投标限价、施工图纸、工程量清单在开标前15天另行发布于全国公共资源交易平台（广东省·韶关市）（https://ygp.gdzwfw.gov.cn/ggzy-portal/#/440200/index）、广东省招标投标监管网（http://zbtb.gd.gov.cn）网站。</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3E0E6845">
            <w:pPr>
              <w:spacing w:before="69"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23</w:t>
            </w:r>
          </w:p>
        </w:tc>
        <w:tc>
          <w:tcPr>
            <w:tcW w:w="2326" w:type="dxa"/>
            <w:vAlign w:val="center"/>
          </w:tcPr>
          <w:p w14:paraId="0D0D0A18">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投标人的投标报价</w:t>
            </w:r>
          </w:p>
        </w:tc>
        <w:tc>
          <w:tcPr>
            <w:tcW w:w="7544" w:type="dxa"/>
            <w:gridSpan w:val="3"/>
            <w:vAlign w:val="center"/>
          </w:tcPr>
          <w:p w14:paraId="7133753C">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2B41BF8F">
            <w:pPr>
              <w:spacing w:before="69"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24</w:t>
            </w:r>
          </w:p>
        </w:tc>
        <w:tc>
          <w:tcPr>
            <w:tcW w:w="2326" w:type="dxa"/>
            <w:vAlign w:val="center"/>
          </w:tcPr>
          <w:p w14:paraId="1820F47A">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投标报价风险</w:t>
            </w:r>
          </w:p>
        </w:tc>
        <w:tc>
          <w:tcPr>
            <w:tcW w:w="7544" w:type="dxa"/>
            <w:gridSpan w:val="3"/>
            <w:vAlign w:val="center"/>
          </w:tcPr>
          <w:p w14:paraId="2E356AE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☑投标人依据招标文件约定自行考虑风险因素，一旦中标，投标报价（合同价）除合同另有约定外将不因市场变化而调整。</w:t>
            </w:r>
          </w:p>
          <w:p w14:paraId="0602711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☑投标报价中应包括工程量清单项目所发生的人工费、材料费、机具费、管理费、利润、措施项目费、其它项目费、税金、暂列金额、暂估价以及所有风险、责任等各项费用。</w:t>
            </w:r>
          </w:p>
          <w:p w14:paraId="6588B20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4"/>
                <w:szCs w:val="24"/>
                <w:highlight w:val="none"/>
                <w:lang w:val="en-US" w:eastAsia="zh-CN"/>
              </w:rPr>
              <w:t>安全生产措施费</w:t>
            </w:r>
            <w:r>
              <w:rPr>
                <w:rFonts w:hint="eastAsia" w:asciiTheme="minorEastAsia" w:hAnsiTheme="minorEastAsia" w:eastAsiaTheme="minorEastAsia" w:cstheme="minorEastAsia"/>
                <w:snapToGrid w:val="0"/>
                <w:color w:val="auto"/>
                <w:kern w:val="0"/>
                <w:sz w:val="24"/>
                <w:szCs w:val="24"/>
                <w:highlight w:val="none"/>
                <w:lang w:eastAsia="zh-CN"/>
              </w:rPr>
              <w:t>）投标人漏报或不报，招标人视为有关费用已包括在工程量清单项目的其它单价及合价中不予另外增加。</w:t>
            </w:r>
          </w:p>
          <w:p w14:paraId="648E63A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b w:val="0"/>
                <w:bCs w:val="0"/>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w:t>
            </w:r>
            <w:r>
              <w:rPr>
                <w:rFonts w:hint="eastAsia" w:asciiTheme="minorEastAsia" w:hAnsiTheme="minorEastAsia" w:eastAsiaTheme="minorEastAsia" w:cstheme="minorEastAsia"/>
                <w:snapToGrid w:val="0"/>
                <w:color w:val="auto"/>
                <w:kern w:val="0"/>
                <w:sz w:val="24"/>
                <w:szCs w:val="24"/>
                <w:highlight w:val="none"/>
                <w:lang w:val="en-US" w:eastAsia="zh-CN"/>
              </w:rPr>
              <w:t>措施项目中的安全生产措施费，必须按国家、省级、市级（即工程所在地）行业建设主管部门的规定计算。</w:t>
            </w:r>
          </w:p>
          <w:p w14:paraId="7D8A46B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860A4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☑招标人向投标人提供的有关施工现场资料及数据，是招标人现有的能使投标人利用的资料，招标人对投标人据此作出的推论及理解概不负责。</w:t>
            </w:r>
          </w:p>
          <w:p w14:paraId="4E438C3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6414FDC8">
            <w:pPr>
              <w:spacing w:before="284"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25</w:t>
            </w:r>
          </w:p>
        </w:tc>
        <w:tc>
          <w:tcPr>
            <w:tcW w:w="2326" w:type="dxa"/>
            <w:vAlign w:val="center"/>
          </w:tcPr>
          <w:p w14:paraId="4C71A8E1">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投标费用</w:t>
            </w:r>
          </w:p>
        </w:tc>
        <w:tc>
          <w:tcPr>
            <w:tcW w:w="7544" w:type="dxa"/>
            <w:gridSpan w:val="3"/>
            <w:vAlign w:val="center"/>
          </w:tcPr>
          <w:p w14:paraId="225B857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投标人自行承担编制与递交投标文件的一切费用。</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4" w:hRule="atLeast"/>
        </w:trPr>
        <w:tc>
          <w:tcPr>
            <w:tcW w:w="637" w:type="dxa"/>
            <w:vMerge w:val="restart"/>
            <w:vAlign w:val="center"/>
          </w:tcPr>
          <w:p w14:paraId="7A4811E9">
            <w:pPr>
              <w:spacing w:before="69" w:line="360"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rPr>
              <w:t>2</w:t>
            </w:r>
            <w:r>
              <w:rPr>
                <w:rFonts w:hint="eastAsia" w:asciiTheme="minorEastAsia" w:hAnsiTheme="minorEastAsia" w:eastAsiaTheme="minorEastAsia" w:cstheme="minorEastAsia"/>
                <w:color w:val="auto"/>
                <w:spacing w:val="-3"/>
                <w:sz w:val="24"/>
                <w:szCs w:val="24"/>
                <w:highlight w:val="none"/>
                <w:lang w:val="en-US" w:eastAsia="zh-CN"/>
              </w:rPr>
              <w:t>6</w:t>
            </w:r>
          </w:p>
        </w:tc>
        <w:tc>
          <w:tcPr>
            <w:tcW w:w="2326" w:type="dxa"/>
            <w:vMerge w:val="restart"/>
            <w:vAlign w:val="center"/>
          </w:tcPr>
          <w:p w14:paraId="0786E8BE">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投标人资格要求</w:t>
            </w:r>
          </w:p>
        </w:tc>
        <w:tc>
          <w:tcPr>
            <w:tcW w:w="7544" w:type="dxa"/>
            <w:gridSpan w:val="3"/>
            <w:vAlign w:val="center"/>
          </w:tcPr>
          <w:p w14:paraId="1F0406C4">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righ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1.本次招标接受联合体投标，联合体以一个投标人的身份共同投标。</w:t>
            </w:r>
          </w:p>
          <w:p w14:paraId="5704578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240" w:firstLineChars="1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1.1 联合体成员数量不超过</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eastAsia="zh-CN"/>
              </w:rPr>
              <w:t>个。</w:t>
            </w:r>
          </w:p>
          <w:p w14:paraId="04489D9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240" w:firstLineChars="1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1.2 联合体各方应按招标文件提供的格式签订联合体协议书，明确联合体牵头人和各方权利义务，并承诺就中标项目向招标人承担连带责任。《联合体协议书》作为投标文件的组成部分向招标人提交。</w:t>
            </w:r>
          </w:p>
          <w:p w14:paraId="3CF41ED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240" w:firstLineChars="1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1.3 联合体成员单位均应具备拟承担的工作内容（以《联合体协议书》的约定为准）所规定的资格条件。若同一工作内容由两个或两个以上单位共同承担，该项工作内容按照资质等级较低的单位确定联合体资质等级。</w:t>
            </w:r>
          </w:p>
          <w:p w14:paraId="2D08EFA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1.4 联合体各方不得再以自己名义单独或参加其他联合体在本招标项目中投标，否则各相关投标均无效。</w:t>
            </w:r>
          </w:p>
          <w:p w14:paraId="7F49EB8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240" w:firstLineChars="1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2．资格资质要求</w:t>
            </w:r>
          </w:p>
          <w:p w14:paraId="3B8A93F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240" w:firstLineChars="1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投标人须具备独立法人资格，按国家法律经营。</w:t>
            </w:r>
          </w:p>
          <w:p w14:paraId="3B6AD2C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240" w:firstLineChars="1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2.2 </w:t>
            </w:r>
            <w:r>
              <w:rPr>
                <w:rFonts w:hint="eastAsia" w:ascii="宋体" w:hAnsi="宋体" w:eastAsia="宋体" w:cs="宋体"/>
                <w:snapToGrid w:val="0"/>
                <w:color w:val="auto"/>
                <w:kern w:val="0"/>
                <w:sz w:val="24"/>
                <w:szCs w:val="24"/>
                <w:highlight w:val="none"/>
                <w:lang w:eastAsia="zh-CN"/>
              </w:rPr>
              <w:t>投标人（组成联合体时指联合体</w:t>
            </w:r>
            <w:r>
              <w:rPr>
                <w:rFonts w:hint="eastAsia" w:ascii="宋体" w:hAnsi="宋体" w:eastAsia="宋体" w:cs="宋体"/>
                <w:snapToGrid w:val="0"/>
                <w:color w:val="auto"/>
                <w:kern w:val="0"/>
                <w:sz w:val="24"/>
                <w:szCs w:val="24"/>
                <w:highlight w:val="none"/>
                <w:lang w:val="en-US" w:eastAsia="zh-CN"/>
              </w:rPr>
              <w:t>双</w:t>
            </w:r>
            <w:r>
              <w:rPr>
                <w:rFonts w:hint="eastAsia" w:ascii="宋体" w:hAnsi="宋体" w:eastAsia="宋体" w:cs="宋体"/>
                <w:snapToGrid w:val="0"/>
                <w:color w:val="auto"/>
                <w:kern w:val="0"/>
                <w:sz w:val="24"/>
                <w:szCs w:val="24"/>
                <w:highlight w:val="none"/>
                <w:lang w:eastAsia="zh-CN"/>
              </w:rPr>
              <w:t>方）须持有建设行政主管部门颁发的企业资质证书及安全生产许可证。</w:t>
            </w:r>
          </w:p>
          <w:p w14:paraId="2069AC5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投标人须</w:t>
            </w:r>
            <w:r>
              <w:rPr>
                <w:rFonts w:hint="eastAsia" w:ascii="宋体" w:hAnsi="宋体" w:eastAsia="宋体" w:cs="宋体"/>
                <w:color w:val="auto"/>
                <w:sz w:val="24"/>
                <w:szCs w:val="24"/>
                <w:highlight w:val="none"/>
                <w:lang w:val="en-US" w:eastAsia="zh-CN"/>
              </w:rPr>
              <w:t>同时</w:t>
            </w:r>
            <w:r>
              <w:rPr>
                <w:rFonts w:hint="eastAsia" w:ascii="宋体" w:hAnsi="宋体" w:eastAsia="宋体" w:cs="宋体"/>
                <w:color w:val="auto"/>
                <w:sz w:val="24"/>
                <w:szCs w:val="24"/>
                <w:highlight w:val="none"/>
              </w:rPr>
              <w:t>具备以下资质</w:t>
            </w:r>
            <w:r>
              <w:rPr>
                <w:rFonts w:hint="eastAsia" w:ascii="宋体" w:hAnsi="宋体" w:eastAsia="宋体" w:cs="宋体"/>
                <w:color w:val="auto"/>
                <w:sz w:val="24"/>
                <w:szCs w:val="24"/>
                <w:highlight w:val="none"/>
                <w:lang w:eastAsia="zh-CN"/>
              </w:rPr>
              <w:t>：</w:t>
            </w:r>
            <w:r>
              <w:rPr>
                <w:rFonts w:hint="eastAsia" w:ascii="宋体" w:hAnsi="宋体" w:eastAsia="宋体" w:cs="宋体"/>
                <w:b/>
                <w:bCs/>
                <w:snapToGrid w:val="0"/>
                <w:color w:val="auto"/>
                <w:kern w:val="0"/>
                <w:sz w:val="24"/>
                <w:szCs w:val="24"/>
                <w:highlight w:val="none"/>
                <w:u w:val="single"/>
                <w:lang w:eastAsia="zh-CN"/>
              </w:rPr>
              <w:t>参加投标的投标人可以是单一独立法人或由不超过两家独立法人组成的联合体（必须注明其中一家为牵头人），联合体</w:t>
            </w:r>
            <w:r>
              <w:rPr>
                <w:rFonts w:hint="eastAsia" w:ascii="宋体" w:hAnsi="宋体" w:eastAsia="宋体" w:cs="宋体"/>
                <w:b/>
                <w:bCs/>
                <w:snapToGrid w:val="0"/>
                <w:color w:val="auto"/>
                <w:kern w:val="0"/>
                <w:sz w:val="24"/>
                <w:szCs w:val="24"/>
                <w:highlight w:val="none"/>
                <w:u w:val="single"/>
                <w:lang w:val="en-US" w:eastAsia="zh-CN"/>
              </w:rPr>
              <w:t>双</w:t>
            </w:r>
            <w:r>
              <w:rPr>
                <w:rFonts w:hint="eastAsia" w:ascii="宋体" w:hAnsi="宋体" w:eastAsia="宋体" w:cs="宋体"/>
                <w:b/>
                <w:bCs/>
                <w:snapToGrid w:val="0"/>
                <w:color w:val="auto"/>
                <w:kern w:val="0"/>
                <w:sz w:val="24"/>
                <w:szCs w:val="24"/>
                <w:highlight w:val="none"/>
                <w:u w:val="single"/>
                <w:lang w:eastAsia="zh-CN"/>
              </w:rPr>
              <w:t>方不得再以自己的名义单独申请，也不得同时参加两个或两个以上的联合体进行本项目的投标。</w:t>
            </w:r>
            <w:r>
              <w:rPr>
                <w:rFonts w:hint="eastAsia" w:ascii="宋体" w:hAnsi="宋体" w:eastAsia="宋体" w:cs="宋体"/>
                <w:b/>
                <w:bCs/>
                <w:snapToGrid w:val="0"/>
                <w:color w:val="auto"/>
                <w:kern w:val="0"/>
                <w:sz w:val="24"/>
                <w:szCs w:val="24"/>
                <w:highlight w:val="none"/>
                <w:u w:val="single"/>
                <w:lang w:val="en-US" w:eastAsia="zh-CN"/>
              </w:rPr>
              <w:t>投标人须具备建设行政主管部门颁发的市政公用工程施工总承包二级以上（含二级）资质（组成联合体投标的指联合体双方均须具备）。</w:t>
            </w:r>
          </w:p>
          <w:p w14:paraId="2C6909FD">
            <w:pPr>
              <w:keepNext w:val="0"/>
              <w:keepLines w:val="0"/>
              <w:pageBreakBefore w:val="0"/>
              <w:overflowPunct/>
              <w:topLinePunct w:val="0"/>
              <w:bidi w:val="0"/>
              <w:spacing w:line="360" w:lineRule="auto"/>
              <w:ind w:left="0" w:leftChars="0" w:right="0" w:rightChars="0" w:firstLine="240" w:firstLineChars="100"/>
              <w:rPr>
                <w:rFonts w:hint="eastAsia"/>
                <w:sz w:val="24"/>
                <w:szCs w:val="24"/>
                <w:lang w:eastAsia="zh-CN"/>
              </w:rPr>
            </w:pPr>
            <w:r>
              <w:rPr>
                <w:rFonts w:hint="eastAsia" w:ascii="宋体" w:hAnsi="宋体" w:eastAsia="宋体" w:cs="宋体"/>
                <w:color w:val="auto"/>
                <w:kern w:val="2"/>
                <w:sz w:val="24"/>
                <w:szCs w:val="24"/>
                <w:highlight w:val="none"/>
                <w:lang w:val="en-US" w:eastAsia="zh-CN" w:bidi="ar-SA"/>
              </w:rPr>
              <w:t>2.4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w:t>
            </w:r>
            <w:r>
              <w:rPr>
                <w:rFonts w:hint="eastAsia" w:asciiTheme="minorEastAsia" w:hAnsiTheme="minorEastAsia" w:eastAsiaTheme="minorEastAsia" w:cstheme="minorEastAsia"/>
                <w:snapToGrid w:val="0"/>
                <w:color w:val="auto"/>
                <w:kern w:val="0"/>
                <w:sz w:val="24"/>
                <w:szCs w:val="24"/>
                <w:highlight w:val="none"/>
                <w:lang w:val="en-US" w:eastAsia="zh-CN"/>
              </w:rPr>
              <w:t>.</w:t>
            </w:r>
            <w:r>
              <w:rPr>
                <w:rFonts w:hint="eastAsia" w:asciiTheme="minorEastAsia" w:hAnsiTheme="minorEastAsia" w:eastAsiaTheme="minorEastAsia" w:cstheme="minorEastAsia"/>
                <w:snapToGrid w:val="0"/>
                <w:color w:val="auto"/>
                <w:kern w:val="0"/>
                <w:sz w:val="24"/>
                <w:szCs w:val="24"/>
                <w:highlight w:val="none"/>
                <w:lang w:eastAsia="zh-CN"/>
              </w:rPr>
              <w:t>相关人员要求</w:t>
            </w:r>
          </w:p>
          <w:p w14:paraId="6FC8303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3.1</w:t>
            </w:r>
            <w:r>
              <w:rPr>
                <w:rFonts w:hint="eastAsia" w:asciiTheme="minorEastAsia" w:hAnsiTheme="minorEastAsia" w:eastAsiaTheme="minorEastAsia" w:cstheme="minorEastAsia"/>
                <w:snapToGrid w:val="0"/>
                <w:color w:val="auto"/>
                <w:kern w:val="0"/>
                <w:sz w:val="24"/>
                <w:szCs w:val="24"/>
                <w:highlight w:val="none"/>
                <w:lang w:val="en-US" w:eastAsia="zh-CN"/>
              </w:rPr>
              <w:t>拟派项目经理为</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市政公用工程</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val="en-US" w:eastAsia="zh-CN"/>
              </w:rPr>
              <w:t>专业一级注册建造师，应持有住建部门印发的在使用有效期内的有效电子注册证书。同时均须具备有效安全生产考核合格证明（B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auto"/>
                <w:kern w:val="0"/>
                <w:sz w:val="24"/>
                <w:szCs w:val="24"/>
                <w:highlight w:val="none"/>
                <w:lang w:eastAsia="zh-CN"/>
              </w:rPr>
              <w:t>。</w:t>
            </w:r>
          </w:p>
          <w:p w14:paraId="60D9B5C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3.2 拟派项目技术负责人须具备</w:t>
            </w:r>
            <w:r>
              <w:rPr>
                <w:rFonts w:hint="eastAsia" w:asciiTheme="minorEastAsia" w:hAnsiTheme="minorEastAsia" w:eastAsiaTheme="minorEastAsia" w:cstheme="minorEastAsia"/>
                <w:snapToGrid w:val="0"/>
                <w:color w:val="auto"/>
                <w:kern w:val="0"/>
                <w:sz w:val="24"/>
                <w:szCs w:val="24"/>
                <w:highlight w:val="none"/>
                <w:u w:val="single"/>
                <w:lang w:val="en-US" w:eastAsia="zh-CN"/>
              </w:rPr>
              <w:t>中</w:t>
            </w:r>
            <w:r>
              <w:rPr>
                <w:rFonts w:hint="eastAsia" w:asciiTheme="minorEastAsia" w:hAnsiTheme="minorEastAsia" w:eastAsiaTheme="minorEastAsia" w:cstheme="minorEastAsia"/>
                <w:snapToGrid w:val="0"/>
                <w:color w:val="auto"/>
                <w:kern w:val="0"/>
                <w:sz w:val="24"/>
                <w:szCs w:val="24"/>
                <w:highlight w:val="none"/>
                <w:u w:val="single"/>
                <w:lang w:eastAsia="zh-CN"/>
              </w:rPr>
              <w:t>级</w:t>
            </w:r>
            <w:r>
              <w:rPr>
                <w:rFonts w:hint="eastAsia" w:asciiTheme="minorEastAsia" w:hAnsiTheme="minorEastAsia" w:eastAsiaTheme="minorEastAsia" w:cstheme="minorEastAsia"/>
                <w:snapToGrid w:val="0"/>
                <w:color w:val="auto"/>
                <w:kern w:val="0"/>
                <w:sz w:val="24"/>
                <w:szCs w:val="24"/>
                <w:highlight w:val="none"/>
                <w:lang w:eastAsia="zh-CN"/>
              </w:rPr>
              <w:t>以上（含</w:t>
            </w:r>
            <w:r>
              <w:rPr>
                <w:rFonts w:hint="eastAsia" w:asciiTheme="minorEastAsia" w:hAnsiTheme="minorEastAsia" w:eastAsiaTheme="minorEastAsia" w:cstheme="minorEastAsia"/>
                <w:snapToGrid w:val="0"/>
                <w:color w:val="auto"/>
                <w:kern w:val="0"/>
                <w:sz w:val="24"/>
                <w:szCs w:val="24"/>
                <w:highlight w:val="none"/>
                <w:u w:val="single"/>
                <w:lang w:val="en-US" w:eastAsia="zh-CN"/>
              </w:rPr>
              <w:t>中</w:t>
            </w:r>
            <w:r>
              <w:rPr>
                <w:rFonts w:hint="eastAsia" w:asciiTheme="minorEastAsia" w:hAnsiTheme="minorEastAsia" w:eastAsiaTheme="minorEastAsia" w:cstheme="minorEastAsia"/>
                <w:snapToGrid w:val="0"/>
                <w:color w:val="auto"/>
                <w:kern w:val="0"/>
                <w:sz w:val="24"/>
                <w:szCs w:val="24"/>
                <w:highlight w:val="none"/>
                <w:u w:val="single"/>
                <w:lang w:eastAsia="zh-CN"/>
              </w:rPr>
              <w:t>级</w:t>
            </w:r>
            <w:r>
              <w:rPr>
                <w:rFonts w:hint="eastAsia" w:asciiTheme="minorEastAsia" w:hAnsiTheme="minorEastAsia" w:eastAsiaTheme="minorEastAsia" w:cstheme="minorEastAsia"/>
                <w:snapToGrid w:val="0"/>
                <w:color w:val="auto"/>
                <w:kern w:val="0"/>
                <w:sz w:val="24"/>
                <w:szCs w:val="24"/>
                <w:highlight w:val="none"/>
                <w:lang w:eastAsia="zh-CN"/>
              </w:rPr>
              <w:t>）技术职称。</w:t>
            </w:r>
          </w:p>
          <w:p w14:paraId="2030FE5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 w:val="24"/>
                <w:szCs w:val="24"/>
                <w:highlight w:val="none"/>
                <w:lang w:eastAsia="zh-CN"/>
              </w:rPr>
              <w:t xml:space="preserve"> 人。</w:t>
            </w:r>
          </w:p>
          <w:p w14:paraId="21CFF58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4626643C">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4</w:t>
            </w:r>
            <w:r>
              <w:rPr>
                <w:rFonts w:hint="eastAsia" w:asciiTheme="minorEastAsia" w:hAnsiTheme="minorEastAsia" w:eastAsiaTheme="minorEastAsia" w:cstheme="minorEastAsia"/>
                <w:snapToGrid w:val="0"/>
                <w:color w:val="auto"/>
                <w:kern w:val="0"/>
                <w:sz w:val="24"/>
                <w:szCs w:val="24"/>
                <w:highlight w:val="none"/>
                <w:lang w:val="en-US" w:eastAsia="zh-CN"/>
              </w:rPr>
              <w:t>.</w:t>
            </w:r>
            <w:r>
              <w:rPr>
                <w:rFonts w:hint="eastAsia" w:asciiTheme="minorEastAsia" w:hAnsiTheme="minorEastAsia" w:eastAsiaTheme="minorEastAsia" w:cstheme="minorEastAsia"/>
                <w:snapToGrid w:val="0"/>
                <w:color w:val="auto"/>
                <w:kern w:val="0"/>
                <w:sz w:val="24"/>
                <w:szCs w:val="24"/>
                <w:highlight w:val="none"/>
                <w:lang w:eastAsia="zh-CN"/>
              </w:rPr>
              <w:t>禁止投标条款：</w:t>
            </w:r>
          </w:p>
          <w:p w14:paraId="74FC150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4.1  投标人不得存在下列情形之一：</w:t>
            </w:r>
          </w:p>
          <w:p w14:paraId="6B9ABBE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（1）为招标人不具有独立法人资格的附属机构（单位）；</w:t>
            </w:r>
          </w:p>
          <w:p w14:paraId="633C9F8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（2）为本招标项目前期准备提供设计或咨询服务的；</w:t>
            </w:r>
          </w:p>
          <w:p w14:paraId="7070AC1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（3）与本招标项目的其他投标人为同一个单位负责人；</w:t>
            </w:r>
          </w:p>
          <w:p w14:paraId="49F4C83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（4）与本招标项目的其他投标人存在控股、管理关系；</w:t>
            </w:r>
          </w:p>
          <w:p w14:paraId="29D809C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（5）为本招标项目的监理人；</w:t>
            </w:r>
          </w:p>
          <w:p w14:paraId="040C32BC">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（6）为本招标项目的代建人；</w:t>
            </w:r>
          </w:p>
          <w:p w14:paraId="249688B3">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（7）为本招标项目的招标代理机构；</w:t>
            </w:r>
          </w:p>
          <w:p w14:paraId="0D904BC3">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（8）与本招标项目的监理人或代建人或招标代理机构同为一个法定代表人；</w:t>
            </w:r>
          </w:p>
          <w:p w14:paraId="2A03126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（9）与本招标项目的监理人或代建人或招标代理机构存在控股或参股关系；</w:t>
            </w:r>
          </w:p>
          <w:p w14:paraId="4426A53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（10）与本招标项目的监理人或代建人或招标代理机构存在相互任职或工作关系；</w:t>
            </w:r>
          </w:p>
          <w:p w14:paraId="033E4C8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（11）被依法暂停或者取消投标资格；</w:t>
            </w:r>
          </w:p>
          <w:p w14:paraId="56D9D60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（12）被责令停产停业、暂扣或者吊销许可证、暂扣或者吊销执照；</w:t>
            </w:r>
          </w:p>
          <w:p w14:paraId="1992EDFC">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（13）进入清算程序，或被宣告破产，或其他丧失履约能力的情形；</w:t>
            </w:r>
          </w:p>
          <w:p w14:paraId="56C6214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（14）在最近三年内发生重大工程质量或安全问题（以相关行业 主管部门的行政处罚决定或司法机关出具的有关法律文书为准）；</w:t>
            </w:r>
          </w:p>
          <w:p w14:paraId="5C943DD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（15）被“信用中国 ”网站（https://www.creditchina.gov.cn）发布的《法人和非法人组织公共信用信息报告》列为严重失信主体名单的。</w:t>
            </w:r>
          </w:p>
          <w:p w14:paraId="1C70EAF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4.2  招标人拒绝以下名单中的单位参加本次投标：</w:t>
            </w:r>
          </w:p>
        </w:tc>
      </w:tr>
      <w:tr w14:paraId="1A9B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trPr>
        <w:tc>
          <w:tcPr>
            <w:tcW w:w="637" w:type="dxa"/>
            <w:vMerge w:val="continue"/>
            <w:vAlign w:val="center"/>
          </w:tcPr>
          <w:p w14:paraId="5B369B1D">
            <w:pPr>
              <w:spacing w:before="69" w:line="360" w:lineRule="auto"/>
              <w:jc w:val="center"/>
              <w:rPr>
                <w:rFonts w:hint="eastAsia" w:asciiTheme="minorEastAsia" w:hAnsiTheme="minorEastAsia" w:eastAsiaTheme="minorEastAsia" w:cstheme="minorEastAsia"/>
                <w:color w:val="auto"/>
                <w:spacing w:val="-3"/>
                <w:sz w:val="24"/>
                <w:szCs w:val="24"/>
                <w:highlight w:val="none"/>
              </w:rPr>
            </w:pPr>
          </w:p>
        </w:tc>
        <w:tc>
          <w:tcPr>
            <w:tcW w:w="2326" w:type="dxa"/>
            <w:vMerge w:val="continue"/>
            <w:vAlign w:val="center"/>
          </w:tcPr>
          <w:p w14:paraId="3A950E11">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p>
        </w:tc>
        <w:tc>
          <w:tcPr>
            <w:tcW w:w="793" w:type="dxa"/>
            <w:vAlign w:val="center"/>
          </w:tcPr>
          <w:p w14:paraId="4F61D7B3">
            <w:pPr>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序号</w:t>
            </w:r>
          </w:p>
        </w:tc>
        <w:tc>
          <w:tcPr>
            <w:tcW w:w="3589" w:type="dxa"/>
            <w:vAlign w:val="center"/>
          </w:tcPr>
          <w:p w14:paraId="22B4363B">
            <w:pPr>
              <w:pageBreakBefore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olor w:val="auto"/>
                <w:sz w:val="24"/>
                <w:szCs w:val="24"/>
                <w:highlight w:val="none"/>
              </w:rPr>
              <w:t>单位名称</w:t>
            </w:r>
          </w:p>
        </w:tc>
        <w:tc>
          <w:tcPr>
            <w:tcW w:w="3162" w:type="dxa"/>
            <w:vAlign w:val="center"/>
          </w:tcPr>
          <w:p w14:paraId="41D171A8">
            <w:pPr>
              <w:pageBreakBefore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olor w:val="auto"/>
                <w:sz w:val="24"/>
                <w:szCs w:val="24"/>
                <w:highlight w:val="none"/>
              </w:rPr>
              <w:t>拒绝原因</w:t>
            </w:r>
          </w:p>
        </w:tc>
      </w:tr>
      <w:tr w14:paraId="2ED9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trPr>
        <w:tc>
          <w:tcPr>
            <w:tcW w:w="637" w:type="dxa"/>
            <w:vMerge w:val="continue"/>
            <w:vAlign w:val="center"/>
          </w:tcPr>
          <w:p w14:paraId="721CFBC4">
            <w:pPr>
              <w:spacing w:before="69" w:line="360" w:lineRule="auto"/>
              <w:jc w:val="center"/>
              <w:rPr>
                <w:rFonts w:hint="eastAsia" w:asciiTheme="minorEastAsia" w:hAnsiTheme="minorEastAsia" w:eastAsiaTheme="minorEastAsia" w:cstheme="minorEastAsia"/>
                <w:color w:val="auto"/>
                <w:spacing w:val="-3"/>
                <w:sz w:val="24"/>
                <w:szCs w:val="24"/>
                <w:highlight w:val="none"/>
              </w:rPr>
            </w:pPr>
          </w:p>
        </w:tc>
        <w:tc>
          <w:tcPr>
            <w:tcW w:w="2326" w:type="dxa"/>
            <w:vMerge w:val="continue"/>
            <w:vAlign w:val="center"/>
          </w:tcPr>
          <w:p w14:paraId="11230746">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p>
        </w:tc>
        <w:tc>
          <w:tcPr>
            <w:tcW w:w="793" w:type="dxa"/>
            <w:vAlign w:val="center"/>
          </w:tcPr>
          <w:p w14:paraId="3FA8301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0" w:firstLineChars="0"/>
              <w:jc w:val="center"/>
              <w:textAlignment w:val="auto"/>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1</w:t>
            </w:r>
          </w:p>
        </w:tc>
        <w:tc>
          <w:tcPr>
            <w:tcW w:w="3589" w:type="dxa"/>
            <w:vAlign w:val="center"/>
          </w:tcPr>
          <w:p w14:paraId="1C30626D">
            <w:pPr>
              <w:pStyle w:val="22"/>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韶关市曲江区土地储备中心</w:t>
            </w:r>
          </w:p>
        </w:tc>
        <w:tc>
          <w:tcPr>
            <w:tcW w:w="3162" w:type="dxa"/>
            <w:vAlign w:val="center"/>
          </w:tcPr>
          <w:p w14:paraId="4CF43133">
            <w:pPr>
              <w:pStyle w:val="22"/>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为本招标项目的招标人</w:t>
            </w:r>
          </w:p>
        </w:tc>
      </w:tr>
      <w:tr w14:paraId="3D03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trPr>
        <w:tc>
          <w:tcPr>
            <w:tcW w:w="637" w:type="dxa"/>
            <w:vMerge w:val="continue"/>
            <w:vAlign w:val="center"/>
          </w:tcPr>
          <w:p w14:paraId="3E90395B">
            <w:pPr>
              <w:spacing w:before="69" w:line="360" w:lineRule="auto"/>
              <w:jc w:val="center"/>
              <w:rPr>
                <w:rFonts w:hint="eastAsia" w:asciiTheme="minorEastAsia" w:hAnsiTheme="minorEastAsia" w:eastAsiaTheme="minorEastAsia" w:cstheme="minorEastAsia"/>
                <w:color w:val="auto"/>
                <w:spacing w:val="-3"/>
                <w:sz w:val="24"/>
                <w:szCs w:val="24"/>
                <w:highlight w:val="none"/>
              </w:rPr>
            </w:pPr>
          </w:p>
        </w:tc>
        <w:tc>
          <w:tcPr>
            <w:tcW w:w="2326" w:type="dxa"/>
            <w:vMerge w:val="continue"/>
            <w:vAlign w:val="center"/>
          </w:tcPr>
          <w:p w14:paraId="2088E7B7">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p>
        </w:tc>
        <w:tc>
          <w:tcPr>
            <w:tcW w:w="793" w:type="dxa"/>
            <w:vAlign w:val="center"/>
          </w:tcPr>
          <w:p w14:paraId="18B3763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0" w:firstLineChars="0"/>
              <w:jc w:val="center"/>
              <w:textAlignment w:val="auto"/>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2</w:t>
            </w:r>
          </w:p>
        </w:tc>
        <w:tc>
          <w:tcPr>
            <w:tcW w:w="3589" w:type="dxa"/>
            <w:vAlign w:val="center"/>
          </w:tcPr>
          <w:p w14:paraId="683E28DE">
            <w:pPr>
              <w:pStyle w:val="22"/>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z w:val="24"/>
                <w:szCs w:val="24"/>
                <w:highlight w:val="none"/>
                <w:lang w:val="en-US" w:eastAsia="zh-CN"/>
              </w:rPr>
              <w:t>广东顶骐建设工程咨询有限公司</w:t>
            </w:r>
          </w:p>
        </w:tc>
        <w:tc>
          <w:tcPr>
            <w:tcW w:w="3162" w:type="dxa"/>
            <w:vAlign w:val="center"/>
          </w:tcPr>
          <w:p w14:paraId="4B429849">
            <w:pPr>
              <w:pStyle w:val="22"/>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为本招标项目的招标代理机构</w:t>
            </w:r>
          </w:p>
        </w:tc>
      </w:tr>
      <w:tr w14:paraId="2380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trPr>
        <w:tc>
          <w:tcPr>
            <w:tcW w:w="637" w:type="dxa"/>
            <w:vMerge w:val="continue"/>
            <w:vAlign w:val="center"/>
          </w:tcPr>
          <w:p w14:paraId="6973D067">
            <w:pPr>
              <w:spacing w:before="69" w:line="360" w:lineRule="auto"/>
              <w:jc w:val="center"/>
              <w:rPr>
                <w:rFonts w:hint="eastAsia" w:asciiTheme="minorEastAsia" w:hAnsiTheme="minorEastAsia" w:eastAsiaTheme="minorEastAsia" w:cstheme="minorEastAsia"/>
                <w:color w:val="auto"/>
                <w:spacing w:val="-3"/>
                <w:sz w:val="24"/>
                <w:szCs w:val="24"/>
                <w:highlight w:val="none"/>
              </w:rPr>
            </w:pPr>
          </w:p>
        </w:tc>
        <w:tc>
          <w:tcPr>
            <w:tcW w:w="2326" w:type="dxa"/>
            <w:vMerge w:val="continue"/>
            <w:vAlign w:val="center"/>
          </w:tcPr>
          <w:p w14:paraId="20D65EC3">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p>
        </w:tc>
        <w:tc>
          <w:tcPr>
            <w:tcW w:w="793" w:type="dxa"/>
            <w:vAlign w:val="center"/>
          </w:tcPr>
          <w:p w14:paraId="18C7D0C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0" w:firstLineChars="0"/>
              <w:jc w:val="center"/>
              <w:textAlignment w:val="auto"/>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3</w:t>
            </w:r>
          </w:p>
        </w:tc>
        <w:tc>
          <w:tcPr>
            <w:tcW w:w="3589" w:type="dxa"/>
            <w:vAlign w:val="center"/>
          </w:tcPr>
          <w:p w14:paraId="4B11596E">
            <w:pPr>
              <w:pStyle w:val="22"/>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深圳市爱华勘测工程有限公司</w:t>
            </w:r>
          </w:p>
        </w:tc>
        <w:tc>
          <w:tcPr>
            <w:tcW w:w="3162" w:type="dxa"/>
            <w:vAlign w:val="center"/>
          </w:tcPr>
          <w:p w14:paraId="4BCB98BA">
            <w:pPr>
              <w:pStyle w:val="22"/>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设计单位</w:t>
            </w:r>
          </w:p>
        </w:tc>
      </w:tr>
      <w:tr w14:paraId="631F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trPr>
        <w:tc>
          <w:tcPr>
            <w:tcW w:w="637" w:type="dxa"/>
            <w:vMerge w:val="continue"/>
            <w:vAlign w:val="center"/>
          </w:tcPr>
          <w:p w14:paraId="73D8CDB5">
            <w:pPr>
              <w:spacing w:before="69" w:line="360" w:lineRule="auto"/>
              <w:jc w:val="center"/>
              <w:rPr>
                <w:rFonts w:hint="eastAsia" w:asciiTheme="minorEastAsia" w:hAnsiTheme="minorEastAsia" w:eastAsiaTheme="minorEastAsia" w:cstheme="minorEastAsia"/>
                <w:color w:val="auto"/>
                <w:spacing w:val="-3"/>
                <w:sz w:val="24"/>
                <w:szCs w:val="24"/>
                <w:highlight w:val="none"/>
              </w:rPr>
            </w:pPr>
          </w:p>
        </w:tc>
        <w:tc>
          <w:tcPr>
            <w:tcW w:w="2326" w:type="dxa"/>
            <w:vMerge w:val="continue"/>
            <w:vAlign w:val="center"/>
          </w:tcPr>
          <w:p w14:paraId="437593B6">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p>
        </w:tc>
        <w:tc>
          <w:tcPr>
            <w:tcW w:w="793" w:type="dxa"/>
            <w:vAlign w:val="center"/>
          </w:tcPr>
          <w:p w14:paraId="4A1171D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0" w:firstLineChars="0"/>
              <w:jc w:val="center"/>
              <w:textAlignment w:val="auto"/>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4</w:t>
            </w:r>
          </w:p>
        </w:tc>
        <w:tc>
          <w:tcPr>
            <w:tcW w:w="3589" w:type="dxa"/>
            <w:vAlign w:val="center"/>
          </w:tcPr>
          <w:p w14:paraId="75DB0455">
            <w:pPr>
              <w:pStyle w:val="22"/>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韶关中一工程造价咨询有限公司</w:t>
            </w:r>
          </w:p>
        </w:tc>
        <w:tc>
          <w:tcPr>
            <w:tcW w:w="3162" w:type="dxa"/>
            <w:vAlign w:val="center"/>
          </w:tcPr>
          <w:p w14:paraId="68118AC6">
            <w:pPr>
              <w:pStyle w:val="22"/>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为本招标项目的造价咨询单位</w:t>
            </w:r>
          </w:p>
        </w:tc>
      </w:tr>
      <w:tr w14:paraId="64A2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trPr>
        <w:tc>
          <w:tcPr>
            <w:tcW w:w="637" w:type="dxa"/>
            <w:vMerge w:val="continue"/>
            <w:vAlign w:val="center"/>
          </w:tcPr>
          <w:p w14:paraId="692F0E7E">
            <w:pPr>
              <w:spacing w:before="69" w:line="360" w:lineRule="auto"/>
              <w:jc w:val="center"/>
              <w:rPr>
                <w:rFonts w:hint="eastAsia" w:asciiTheme="minorEastAsia" w:hAnsiTheme="minorEastAsia" w:eastAsiaTheme="minorEastAsia" w:cstheme="minorEastAsia"/>
                <w:color w:val="auto"/>
                <w:spacing w:val="-3"/>
                <w:sz w:val="24"/>
                <w:szCs w:val="24"/>
                <w:highlight w:val="none"/>
              </w:rPr>
            </w:pPr>
          </w:p>
        </w:tc>
        <w:tc>
          <w:tcPr>
            <w:tcW w:w="2326" w:type="dxa"/>
            <w:vMerge w:val="continue"/>
            <w:vAlign w:val="center"/>
          </w:tcPr>
          <w:p w14:paraId="4803F1E3">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p>
        </w:tc>
        <w:tc>
          <w:tcPr>
            <w:tcW w:w="793" w:type="dxa"/>
            <w:vAlign w:val="center"/>
          </w:tcPr>
          <w:p w14:paraId="210838A3">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0" w:firstLineChars="0"/>
              <w:jc w:val="center"/>
              <w:textAlignment w:val="auto"/>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5</w:t>
            </w:r>
          </w:p>
        </w:tc>
        <w:tc>
          <w:tcPr>
            <w:tcW w:w="3589" w:type="dxa"/>
            <w:vAlign w:val="center"/>
          </w:tcPr>
          <w:p w14:paraId="329B35F3">
            <w:pPr>
              <w:pStyle w:val="22"/>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广东普蓝地理信息服务有限公司</w:t>
            </w:r>
          </w:p>
        </w:tc>
        <w:tc>
          <w:tcPr>
            <w:tcW w:w="3162" w:type="dxa"/>
            <w:vAlign w:val="center"/>
          </w:tcPr>
          <w:p w14:paraId="38D64AC4">
            <w:pPr>
              <w:pStyle w:val="22"/>
              <w:wordWrap w:val="0"/>
              <w:adjustRightInd w:val="0"/>
              <w:snapToGrid w:val="0"/>
              <w:spacing w:line="340" w:lineRule="exact"/>
              <w:jc w:val="center"/>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为本招标项目的</w:t>
            </w:r>
            <w:r>
              <w:rPr>
                <w:rFonts w:hint="eastAsia" w:ascii="宋体" w:hAnsi="宋体" w:cs="宋体"/>
                <w:snapToGrid w:val="0"/>
                <w:color w:val="auto"/>
                <w:kern w:val="0"/>
                <w:sz w:val="24"/>
                <w:szCs w:val="24"/>
                <w:highlight w:val="none"/>
                <w:lang w:val="en-US" w:eastAsia="zh-CN"/>
              </w:rPr>
              <w:t>测绘单位</w:t>
            </w:r>
          </w:p>
        </w:tc>
      </w:tr>
      <w:tr w14:paraId="6CF4A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7" w:hRule="atLeast"/>
        </w:trPr>
        <w:tc>
          <w:tcPr>
            <w:tcW w:w="637" w:type="dxa"/>
            <w:vMerge w:val="continue"/>
            <w:vAlign w:val="center"/>
          </w:tcPr>
          <w:p w14:paraId="23918460">
            <w:pPr>
              <w:spacing w:before="69" w:line="360" w:lineRule="auto"/>
              <w:jc w:val="center"/>
              <w:rPr>
                <w:rFonts w:hint="eastAsia" w:asciiTheme="minorEastAsia" w:hAnsiTheme="minorEastAsia" w:eastAsiaTheme="minorEastAsia" w:cstheme="minorEastAsia"/>
                <w:color w:val="auto"/>
                <w:spacing w:val="-3"/>
                <w:sz w:val="24"/>
                <w:szCs w:val="24"/>
                <w:highlight w:val="none"/>
              </w:rPr>
            </w:pPr>
          </w:p>
        </w:tc>
        <w:tc>
          <w:tcPr>
            <w:tcW w:w="2326" w:type="dxa"/>
            <w:vMerge w:val="continue"/>
            <w:vAlign w:val="center"/>
          </w:tcPr>
          <w:p w14:paraId="5A4DE0A8">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p>
        </w:tc>
        <w:tc>
          <w:tcPr>
            <w:tcW w:w="7544" w:type="dxa"/>
            <w:gridSpan w:val="3"/>
            <w:vAlign w:val="center"/>
          </w:tcPr>
          <w:p w14:paraId="0B367075">
            <w:pPr>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5</w:t>
            </w:r>
            <w:r>
              <w:rPr>
                <w:rFonts w:hint="eastAsia" w:asciiTheme="minorEastAsia" w:hAnsiTheme="minorEastAsia" w:eastAsiaTheme="minorEastAsia" w:cstheme="minorEastAsia"/>
                <w:snapToGrid w:val="0"/>
                <w:color w:val="auto"/>
                <w:kern w:val="0"/>
                <w:sz w:val="24"/>
                <w:szCs w:val="24"/>
                <w:highlight w:val="none"/>
                <w:lang w:val="en-US" w:eastAsia="zh-CN"/>
              </w:rPr>
              <w:t>.</w:t>
            </w:r>
            <w:r>
              <w:rPr>
                <w:rFonts w:hint="eastAsia" w:asciiTheme="minorEastAsia" w:hAnsiTheme="minorEastAsia" w:eastAsiaTheme="minorEastAsia" w:cstheme="minorEastAsia"/>
                <w:snapToGrid w:val="0"/>
                <w:color w:val="auto"/>
                <w:kern w:val="0"/>
                <w:sz w:val="24"/>
                <w:szCs w:val="24"/>
                <w:highlight w:val="none"/>
                <w:lang w:eastAsia="zh-CN"/>
              </w:rPr>
              <w:t>其他要求</w:t>
            </w:r>
          </w:p>
          <w:p w14:paraId="22DA4D11">
            <w:pPr>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6C795553">
            <w:pPr>
              <w:spacing w:before="19" w:line="360"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rPr>
              <w:t>2</w:t>
            </w:r>
            <w:r>
              <w:rPr>
                <w:rFonts w:hint="eastAsia" w:asciiTheme="minorEastAsia" w:hAnsiTheme="minorEastAsia" w:eastAsiaTheme="minorEastAsia" w:cstheme="minorEastAsia"/>
                <w:color w:val="auto"/>
                <w:spacing w:val="-3"/>
                <w:sz w:val="24"/>
                <w:szCs w:val="24"/>
                <w:highlight w:val="none"/>
                <w:lang w:val="en-US" w:eastAsia="zh-CN"/>
              </w:rPr>
              <w:t>7</w:t>
            </w:r>
          </w:p>
        </w:tc>
        <w:tc>
          <w:tcPr>
            <w:tcW w:w="2326" w:type="dxa"/>
            <w:vAlign w:val="center"/>
          </w:tcPr>
          <w:p w14:paraId="315C6AC5">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投标有效期</w:t>
            </w:r>
          </w:p>
        </w:tc>
        <w:tc>
          <w:tcPr>
            <w:tcW w:w="7544" w:type="dxa"/>
            <w:gridSpan w:val="3"/>
            <w:vAlign w:val="center"/>
          </w:tcPr>
          <w:p w14:paraId="10AD7497">
            <w:pPr>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本次招标的投标有效期为</w:t>
            </w:r>
            <w:r>
              <w:rPr>
                <w:rFonts w:hint="eastAsia" w:asciiTheme="minorEastAsia" w:hAnsiTheme="minorEastAsia" w:eastAsiaTheme="minorEastAsia" w:cstheme="minorEastAsia"/>
                <w:snapToGrid w:val="0"/>
                <w:color w:val="auto"/>
                <w:kern w:val="0"/>
                <w:sz w:val="24"/>
                <w:szCs w:val="24"/>
                <w:highlight w:val="none"/>
                <w:u w:val="single"/>
                <w:lang w:eastAsia="zh-CN"/>
              </w:rPr>
              <w:t>90</w:t>
            </w:r>
            <w:r>
              <w:rPr>
                <w:rFonts w:hint="eastAsia" w:asciiTheme="minorEastAsia" w:hAnsiTheme="minorEastAsia" w:eastAsiaTheme="minorEastAsia" w:cstheme="minorEastAsia"/>
                <w:snapToGrid w:val="0"/>
                <w:color w:val="auto"/>
                <w:kern w:val="0"/>
                <w:sz w:val="24"/>
                <w:szCs w:val="24"/>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7E0149C9">
            <w:pPr>
              <w:spacing w:before="69" w:line="360" w:lineRule="auto"/>
              <w:ind w:left="205"/>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3"/>
                <w:sz w:val="24"/>
                <w:szCs w:val="24"/>
                <w:highlight w:val="none"/>
                <w:lang w:val="en-US" w:eastAsia="zh-CN"/>
              </w:rPr>
              <w:t>28</w:t>
            </w:r>
          </w:p>
        </w:tc>
        <w:tc>
          <w:tcPr>
            <w:tcW w:w="2326" w:type="dxa"/>
            <w:vAlign w:val="center"/>
          </w:tcPr>
          <w:p w14:paraId="21626DA8">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投标文件组成</w:t>
            </w:r>
          </w:p>
        </w:tc>
        <w:tc>
          <w:tcPr>
            <w:tcW w:w="7544" w:type="dxa"/>
            <w:gridSpan w:val="3"/>
            <w:vAlign w:val="center"/>
          </w:tcPr>
          <w:p w14:paraId="0891F660">
            <w:pPr>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投标文件包括商务标书、经济标书、施工组织设计</w:t>
            </w:r>
            <w:r>
              <w:rPr>
                <w:rFonts w:hint="eastAsia" w:asciiTheme="minorEastAsia" w:hAnsiTheme="minorEastAsia" w:eastAsiaTheme="minorEastAsia" w:cstheme="minorEastAsia"/>
                <w:snapToGrid w:val="0"/>
                <w:color w:val="auto"/>
                <w:kern w:val="0"/>
                <w:sz w:val="24"/>
                <w:szCs w:val="24"/>
                <w:highlight w:val="none"/>
                <w:lang w:val="en-US" w:eastAsia="zh-CN"/>
              </w:rPr>
              <w:t>和</w:t>
            </w:r>
            <w:r>
              <w:rPr>
                <w:rFonts w:hint="eastAsia" w:asciiTheme="minorEastAsia" w:hAnsiTheme="minorEastAsia" w:eastAsiaTheme="minorEastAsia" w:cstheme="minorEastAsia"/>
                <w:snapToGrid w:val="0"/>
                <w:color w:val="auto"/>
                <w:kern w:val="0"/>
                <w:sz w:val="24"/>
                <w:szCs w:val="24"/>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080D10B9">
            <w:pPr>
              <w:spacing w:before="69" w:line="360" w:lineRule="auto"/>
              <w:ind w:left="205"/>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3"/>
                <w:sz w:val="24"/>
                <w:szCs w:val="24"/>
                <w:highlight w:val="none"/>
                <w:lang w:val="en-US" w:eastAsia="zh-CN"/>
              </w:rPr>
              <w:t>29</w:t>
            </w:r>
          </w:p>
        </w:tc>
        <w:tc>
          <w:tcPr>
            <w:tcW w:w="2326" w:type="dxa"/>
            <w:vAlign w:val="center"/>
          </w:tcPr>
          <w:p w14:paraId="60E20252">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施工组织设计评审方式</w:t>
            </w:r>
          </w:p>
        </w:tc>
        <w:tc>
          <w:tcPr>
            <w:tcW w:w="7544" w:type="dxa"/>
            <w:gridSpan w:val="3"/>
            <w:vAlign w:val="center"/>
          </w:tcPr>
          <w:p w14:paraId="044BE8C7">
            <w:pPr>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2A7F5E06">
            <w:pPr>
              <w:spacing w:before="69" w:line="360" w:lineRule="auto"/>
              <w:ind w:left="209"/>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rPr>
              <w:t>3</w:t>
            </w:r>
            <w:r>
              <w:rPr>
                <w:rFonts w:hint="eastAsia" w:asciiTheme="minorEastAsia" w:hAnsiTheme="minorEastAsia" w:eastAsiaTheme="minorEastAsia" w:cstheme="minorEastAsia"/>
                <w:color w:val="auto"/>
                <w:spacing w:val="-5"/>
                <w:sz w:val="24"/>
                <w:szCs w:val="24"/>
                <w:highlight w:val="none"/>
                <w:lang w:val="en-US" w:eastAsia="zh-CN"/>
              </w:rPr>
              <w:t>0</w:t>
            </w:r>
          </w:p>
        </w:tc>
        <w:tc>
          <w:tcPr>
            <w:tcW w:w="2326" w:type="dxa"/>
            <w:vAlign w:val="center"/>
          </w:tcPr>
          <w:p w14:paraId="01061539">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评标委员会</w:t>
            </w:r>
          </w:p>
        </w:tc>
        <w:tc>
          <w:tcPr>
            <w:tcW w:w="7544" w:type="dxa"/>
            <w:gridSpan w:val="3"/>
            <w:vAlign w:val="top"/>
          </w:tcPr>
          <w:p w14:paraId="1DF9186C">
            <w:pPr>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评标委员会由 5 人组成，其中招标人代表 0 人，专家 5 人。专家从广东省综合评标评审专家库（韶关区域）中随机抽取，其中技术类专家 3 人，经济类专家 2 人。</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2AD4F28B">
            <w:pPr>
              <w:spacing w:before="69" w:line="360" w:lineRule="auto"/>
              <w:ind w:left="209"/>
              <w:jc w:val="both"/>
              <w:rPr>
                <w:rFonts w:hint="default"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31</w:t>
            </w:r>
          </w:p>
        </w:tc>
        <w:tc>
          <w:tcPr>
            <w:tcW w:w="2326" w:type="dxa"/>
            <w:vAlign w:val="center"/>
          </w:tcPr>
          <w:p w14:paraId="36288FE7">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olor w:val="auto"/>
                <w:sz w:val="24"/>
                <w:szCs w:val="24"/>
                <w:highlight w:val="none"/>
                <w:lang w:eastAsia="zh-CN"/>
              </w:rPr>
              <w:t>定</w:t>
            </w:r>
            <w:r>
              <w:rPr>
                <w:rFonts w:hint="eastAsia" w:ascii="宋体" w:hAnsi="宋体" w:eastAsia="宋体" w:cs="宋体"/>
                <w:color w:val="auto"/>
                <w:sz w:val="24"/>
                <w:szCs w:val="24"/>
                <w:highlight w:val="none"/>
              </w:rPr>
              <w:t>标委员会</w:t>
            </w:r>
          </w:p>
        </w:tc>
        <w:tc>
          <w:tcPr>
            <w:tcW w:w="7544" w:type="dxa"/>
            <w:gridSpan w:val="3"/>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jc w:val="left"/>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color w:val="auto"/>
                <w:sz w:val="24"/>
                <w:szCs w:val="24"/>
                <w:highlight w:val="none"/>
                <w:u w:val="none"/>
                <w:lang w:val="en-US" w:eastAsia="zh-CN"/>
              </w:rPr>
              <w:t>本</w:t>
            </w:r>
            <w:r>
              <w:rPr>
                <w:rFonts w:hint="eastAsia" w:ascii="宋体" w:hAnsi="宋体" w:eastAsia="宋体" w:cs="宋体"/>
                <w:color w:val="auto"/>
                <w:sz w:val="24"/>
                <w:szCs w:val="24"/>
                <w:highlight w:val="none"/>
                <w:u w:val="none"/>
                <w:lang w:eastAsia="zh-CN"/>
              </w:rPr>
              <w:t>项目</w:t>
            </w:r>
            <w:r>
              <w:rPr>
                <w:rFonts w:hint="eastAsia" w:ascii="宋体" w:hAnsi="宋体" w:eastAsia="宋体" w:cs="宋体"/>
                <w:color w:val="auto"/>
                <w:sz w:val="24"/>
                <w:szCs w:val="24"/>
                <w:highlight w:val="none"/>
                <w:u w:val="none"/>
              </w:rPr>
              <w:t>定标委员会</w:t>
            </w:r>
            <w:r>
              <w:rPr>
                <w:rFonts w:hint="eastAsia" w:ascii="宋体" w:hAnsi="宋体" w:eastAsia="宋体" w:cs="宋体"/>
                <w:color w:val="auto"/>
                <w:sz w:val="24"/>
                <w:szCs w:val="24"/>
                <w:highlight w:val="none"/>
                <w:u w:val="none"/>
                <w:lang w:eastAsia="zh-CN"/>
              </w:rPr>
              <w:t>组成人</w:t>
            </w:r>
            <w:r>
              <w:rPr>
                <w:rFonts w:hint="eastAsia" w:ascii="宋体" w:hAnsi="宋体" w:eastAsia="宋体" w:cs="宋体"/>
                <w:color w:val="auto"/>
                <w:sz w:val="24"/>
                <w:szCs w:val="24"/>
                <w:highlight w:val="none"/>
                <w:u w:val="none"/>
              </w:rPr>
              <w:t>员为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7 </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u w:val="none"/>
                <w:lang w:eastAsia="zh-CN"/>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58D68E09">
            <w:pPr>
              <w:spacing w:before="258" w:line="360" w:lineRule="auto"/>
              <w:ind w:left="209"/>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32</w:t>
            </w:r>
          </w:p>
        </w:tc>
        <w:tc>
          <w:tcPr>
            <w:tcW w:w="2326" w:type="dxa"/>
            <w:vAlign w:val="center"/>
          </w:tcPr>
          <w:p w14:paraId="1729A2DF">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评标方法</w:t>
            </w:r>
          </w:p>
        </w:tc>
        <w:tc>
          <w:tcPr>
            <w:tcW w:w="7544" w:type="dxa"/>
            <w:gridSpan w:val="3"/>
            <w:vAlign w:val="center"/>
          </w:tcPr>
          <w:p w14:paraId="14FB030A">
            <w:pPr>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综合评分法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06AF2062">
            <w:pPr>
              <w:spacing w:before="258" w:line="360" w:lineRule="auto"/>
              <w:ind w:left="209"/>
              <w:jc w:val="both"/>
              <w:rPr>
                <w:rFonts w:hint="default"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33</w:t>
            </w:r>
          </w:p>
        </w:tc>
        <w:tc>
          <w:tcPr>
            <w:tcW w:w="2326" w:type="dxa"/>
            <w:vAlign w:val="center"/>
          </w:tcPr>
          <w:p w14:paraId="065EB7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投标文件编制</w:t>
            </w:r>
            <w:r>
              <w:rPr>
                <w:rFonts w:hint="eastAsia" w:ascii="宋体" w:hAnsi="宋体" w:eastAsia="宋体" w:cs="宋体"/>
                <w:snapToGrid w:val="0"/>
                <w:color w:val="auto"/>
                <w:kern w:val="0"/>
                <w:sz w:val="24"/>
                <w:szCs w:val="24"/>
                <w:highlight w:val="none"/>
                <w:lang w:eastAsia="zh-CN"/>
              </w:rPr>
              <w:t>及</w:t>
            </w:r>
            <w:r>
              <w:rPr>
                <w:rFonts w:hint="eastAsia" w:ascii="宋体" w:hAnsi="宋体" w:eastAsia="宋体" w:cs="宋体"/>
                <w:snapToGrid w:val="0"/>
                <w:color w:val="auto"/>
                <w:kern w:val="0"/>
                <w:sz w:val="24"/>
                <w:szCs w:val="24"/>
                <w:highlight w:val="none"/>
              </w:rPr>
              <w:t>份数要求</w:t>
            </w:r>
          </w:p>
        </w:tc>
        <w:tc>
          <w:tcPr>
            <w:tcW w:w="7544" w:type="dxa"/>
            <w:gridSpan w:val="3"/>
            <w:vAlign w:val="center"/>
          </w:tcPr>
          <w:p w14:paraId="66F22651">
            <w:pPr>
              <w:keepNext w:val="0"/>
              <w:keepLines w:val="0"/>
              <w:pageBreakBefore w:val="0"/>
              <w:widowControl/>
              <w:suppressLineNumbers w:val="0"/>
              <w:shd w:val="clear" w:color="auto" w:fill="auto"/>
              <w:kinsoku w:val="0"/>
              <w:wordWrap/>
              <w:overflowPunct/>
              <w:topLinePunct w:val="0"/>
              <w:autoSpaceDE w:val="0"/>
              <w:autoSpaceDN w:val="0"/>
              <w:bidi w:val="0"/>
              <w:adjustRightInd w:val="0"/>
              <w:snapToGrid w:val="0"/>
              <w:spacing w:line="360" w:lineRule="auto"/>
              <w:ind w:firstLine="240" w:firstLineChars="1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投标人须上传（递交）投标文件：</w:t>
            </w:r>
          </w:p>
          <w:p w14:paraId="563C340A">
            <w:pPr>
              <w:keepNext w:val="0"/>
              <w:keepLines w:val="0"/>
              <w:pageBreakBefore w:val="0"/>
              <w:widowControl/>
              <w:suppressLineNumbers w:val="0"/>
              <w:shd w:val="clear" w:color="auto" w:fill="auto"/>
              <w:kinsoku w:val="0"/>
              <w:wordWrap/>
              <w:overflowPunct/>
              <w:topLinePunct w:val="0"/>
              <w:autoSpaceDE w:val="0"/>
              <w:autoSpaceDN w:val="0"/>
              <w:bidi w:val="0"/>
              <w:adjustRightInd w:val="0"/>
              <w:snapToGrid w:val="0"/>
              <w:spacing w:line="360" w:lineRule="auto"/>
              <w:ind w:firstLine="240" w:firstLineChars="1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1、电子投标文件一套：</w:t>
            </w:r>
          </w:p>
          <w:p w14:paraId="25FB02E9">
            <w:pPr>
              <w:keepNext w:val="0"/>
              <w:keepLines w:val="0"/>
              <w:pageBreakBefore w:val="0"/>
              <w:widowControl/>
              <w:suppressLineNumbers w:val="0"/>
              <w:shd w:val="clear" w:color="auto" w:fill="auto"/>
              <w:kinsoku w:val="0"/>
              <w:wordWrap/>
              <w:overflowPunct/>
              <w:topLinePunct w:val="0"/>
              <w:autoSpaceDE w:val="0"/>
              <w:autoSpaceDN w:val="0"/>
              <w:bidi w:val="0"/>
              <w:adjustRightInd w:val="0"/>
              <w:snapToGrid w:val="0"/>
              <w:spacing w:line="360" w:lineRule="auto"/>
              <w:ind w:firstLine="240" w:firstLineChars="1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（1）商务标书1份；</w:t>
            </w:r>
          </w:p>
          <w:p w14:paraId="440EA8CF">
            <w:pPr>
              <w:keepNext w:val="0"/>
              <w:keepLines w:val="0"/>
              <w:pageBreakBefore w:val="0"/>
              <w:widowControl/>
              <w:suppressLineNumbers w:val="0"/>
              <w:shd w:val="clear" w:color="auto" w:fill="auto"/>
              <w:kinsoku w:val="0"/>
              <w:wordWrap/>
              <w:overflowPunct/>
              <w:topLinePunct w:val="0"/>
              <w:autoSpaceDE w:val="0"/>
              <w:autoSpaceDN w:val="0"/>
              <w:bidi w:val="0"/>
              <w:adjustRightInd w:val="0"/>
              <w:snapToGrid w:val="0"/>
              <w:spacing w:line="360" w:lineRule="auto"/>
              <w:ind w:firstLine="240" w:firstLineChars="1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（2）经济标书1份；</w:t>
            </w:r>
          </w:p>
          <w:p w14:paraId="4387DA43">
            <w:pPr>
              <w:keepNext w:val="0"/>
              <w:keepLines w:val="0"/>
              <w:pageBreakBefore w:val="0"/>
              <w:widowControl/>
              <w:suppressLineNumbers w:val="0"/>
              <w:shd w:val="clear" w:color="auto" w:fill="auto"/>
              <w:kinsoku w:val="0"/>
              <w:wordWrap/>
              <w:overflowPunct/>
              <w:topLinePunct w:val="0"/>
              <w:autoSpaceDE w:val="0"/>
              <w:autoSpaceDN w:val="0"/>
              <w:bidi w:val="0"/>
              <w:adjustRightInd w:val="0"/>
              <w:snapToGrid w:val="0"/>
              <w:spacing w:line="360" w:lineRule="auto"/>
              <w:ind w:firstLine="240" w:firstLineChars="1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（3）施工组织设计1份； </w:t>
            </w:r>
          </w:p>
          <w:p w14:paraId="16B57936">
            <w:pPr>
              <w:keepNext w:val="0"/>
              <w:keepLines w:val="0"/>
              <w:pageBreakBefore w:val="0"/>
              <w:widowControl/>
              <w:suppressLineNumbers w:val="0"/>
              <w:shd w:val="clear" w:color="auto" w:fill="auto"/>
              <w:kinsoku w:val="0"/>
              <w:wordWrap/>
              <w:overflowPunct/>
              <w:topLinePunct w:val="0"/>
              <w:autoSpaceDE w:val="0"/>
              <w:autoSpaceDN w:val="0"/>
              <w:bidi w:val="0"/>
              <w:adjustRightInd w:val="0"/>
              <w:snapToGrid w:val="0"/>
              <w:spacing w:line="360" w:lineRule="auto"/>
              <w:ind w:firstLine="240" w:firstLineChars="1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（4）定标文件1份；</w:t>
            </w:r>
          </w:p>
          <w:p w14:paraId="168A6273">
            <w:pPr>
              <w:keepNext w:val="0"/>
              <w:keepLines w:val="0"/>
              <w:pageBreakBefore w:val="0"/>
              <w:widowControl/>
              <w:suppressLineNumbers w:val="0"/>
              <w:shd w:val="clear" w:color="auto" w:fill="auto"/>
              <w:kinsoku w:val="0"/>
              <w:wordWrap/>
              <w:overflowPunct/>
              <w:topLinePunct w:val="0"/>
              <w:autoSpaceDE w:val="0"/>
              <w:autoSpaceDN w:val="0"/>
              <w:bidi w:val="0"/>
              <w:adjustRightInd w:val="0"/>
              <w:snapToGrid w:val="0"/>
              <w:spacing w:line="360" w:lineRule="auto"/>
              <w:ind w:firstLine="240" w:firstLineChars="1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2、对应评审要求的分项响应文件（如有）。</w:t>
            </w:r>
          </w:p>
          <w:p w14:paraId="2F569048">
            <w:pPr>
              <w:keepNext w:val="0"/>
              <w:keepLines w:val="0"/>
              <w:pageBreakBefore w:val="0"/>
              <w:widowControl/>
              <w:suppressLineNumbers w:val="0"/>
              <w:shd w:val="clear" w:color="auto" w:fill="auto"/>
              <w:kinsoku w:val="0"/>
              <w:wordWrap/>
              <w:overflowPunct/>
              <w:topLinePunct w:val="0"/>
              <w:autoSpaceDE w:val="0"/>
              <w:autoSpaceDN w:val="0"/>
              <w:bidi w:val="0"/>
              <w:adjustRightInd w:val="0"/>
              <w:snapToGrid w:val="0"/>
              <w:spacing w:line="360" w:lineRule="auto"/>
              <w:ind w:firstLine="240" w:firstLineChars="100"/>
              <w:jc w:val="left"/>
              <w:textAlignment w:val="center"/>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2168BB35">
            <w:pPr>
              <w:spacing w:before="258" w:line="360" w:lineRule="auto"/>
              <w:ind w:left="209"/>
              <w:jc w:val="both"/>
              <w:rPr>
                <w:rFonts w:hint="default"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34</w:t>
            </w:r>
          </w:p>
        </w:tc>
        <w:tc>
          <w:tcPr>
            <w:tcW w:w="2326" w:type="dxa"/>
            <w:vAlign w:val="center"/>
          </w:tcPr>
          <w:p w14:paraId="1FA8929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定标办法</w:t>
            </w:r>
          </w:p>
        </w:tc>
        <w:tc>
          <w:tcPr>
            <w:tcW w:w="7544" w:type="dxa"/>
            <w:gridSpan w:val="3"/>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360" w:lineRule="auto"/>
              <w:ind w:left="0" w:leftChars="0" w:right="0" w:rightChars="0" w:firstLine="240" w:firstLineChars="1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采用</w:t>
            </w:r>
            <w:r>
              <w:rPr>
                <w:rFonts w:hint="eastAsia" w:ascii="宋体" w:hAnsi="宋体" w:eastAsia="宋体" w:cs="宋体"/>
                <w:b/>
                <w:bCs w:val="0"/>
                <w:snapToGrid w:val="0"/>
                <w:color w:val="auto"/>
                <w:kern w:val="0"/>
                <w:sz w:val="24"/>
                <w:szCs w:val="24"/>
                <w:highlight w:val="none"/>
                <w:lang w:val="en-US" w:eastAsia="zh-CN"/>
              </w:rPr>
              <w:t>评定分离</w:t>
            </w:r>
            <w:r>
              <w:rPr>
                <w:rFonts w:hint="eastAsia" w:ascii="宋体" w:hAnsi="宋体" w:eastAsia="宋体" w:cs="宋体"/>
                <w:bCs/>
                <w:snapToGrid w:val="0"/>
                <w:color w:val="auto"/>
                <w:kern w:val="0"/>
                <w:sz w:val="24"/>
                <w:szCs w:val="24"/>
                <w:highlight w:val="none"/>
                <w:lang w:val="en-US" w:eastAsia="zh-CN"/>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360" w:lineRule="auto"/>
              <w:ind w:left="0" w:leftChars="0" w:right="0" w:rightChars="0" w:firstLine="240" w:firstLineChars="1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360" w:lineRule="auto"/>
              <w:ind w:left="0" w:leftChars="0" w:right="0" w:rightChars="0" w:firstLine="240" w:firstLineChars="1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360" w:lineRule="auto"/>
              <w:ind w:left="0" w:leftChars="0" w:right="0" w:rightChars="0" w:firstLine="240" w:firstLineChars="1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360" w:lineRule="auto"/>
              <w:ind w:left="0" w:leftChars="0" w:right="0" w:rightChars="0" w:firstLine="240" w:firstLineChars="10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□其他方法：</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5A8F9F23">
            <w:pPr>
              <w:spacing w:before="57" w:line="36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35</w:t>
            </w:r>
          </w:p>
        </w:tc>
        <w:tc>
          <w:tcPr>
            <w:tcW w:w="2326" w:type="dxa"/>
            <w:vAlign w:val="center"/>
          </w:tcPr>
          <w:p w14:paraId="5E4B993F">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招标文件要求提交的用于评审的证书、证件、证明原件（</w:t>
            </w:r>
            <w:r>
              <w:rPr>
                <w:rFonts w:hint="eastAsia" w:asciiTheme="minorEastAsia" w:hAnsiTheme="minorEastAsia" w:eastAsiaTheme="minorEastAsia" w:cstheme="minorEastAsia"/>
                <w:snapToGrid w:val="0"/>
                <w:color w:val="auto"/>
                <w:kern w:val="0"/>
                <w:sz w:val="24"/>
                <w:szCs w:val="24"/>
                <w:highlight w:val="none"/>
                <w:lang w:val="en-US" w:eastAsia="zh-CN"/>
              </w:rPr>
              <w:t>如有</w:t>
            </w:r>
            <w:r>
              <w:rPr>
                <w:rFonts w:hint="eastAsia" w:asciiTheme="minorEastAsia" w:hAnsiTheme="minorEastAsia" w:eastAsiaTheme="minorEastAsia" w:cstheme="minorEastAsia"/>
                <w:snapToGrid w:val="0"/>
                <w:color w:val="auto"/>
                <w:kern w:val="0"/>
                <w:sz w:val="24"/>
                <w:szCs w:val="24"/>
                <w:highlight w:val="none"/>
                <w:lang w:eastAsia="zh-CN"/>
              </w:rPr>
              <w:t>）</w:t>
            </w:r>
          </w:p>
        </w:tc>
        <w:tc>
          <w:tcPr>
            <w:tcW w:w="7544" w:type="dxa"/>
            <w:gridSpan w:val="3"/>
            <w:vAlign w:val="top"/>
          </w:tcPr>
          <w:p w14:paraId="11169AFE">
            <w:pPr>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6E15237F">
            <w:pPr>
              <w:spacing w:before="69" w:line="360" w:lineRule="auto"/>
              <w:ind w:left="209"/>
              <w:rPr>
                <w:rFonts w:hint="default"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36</w:t>
            </w:r>
          </w:p>
        </w:tc>
        <w:tc>
          <w:tcPr>
            <w:tcW w:w="2326" w:type="dxa"/>
            <w:vAlign w:val="center"/>
          </w:tcPr>
          <w:p w14:paraId="6186C359">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招标代理费和评标专家酬劳</w:t>
            </w:r>
          </w:p>
        </w:tc>
        <w:tc>
          <w:tcPr>
            <w:tcW w:w="7544" w:type="dxa"/>
            <w:gridSpan w:val="3"/>
            <w:vAlign w:val="center"/>
          </w:tcPr>
          <w:p w14:paraId="7ABDDE22">
            <w:pPr>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本项目的招标代理费和评标专家酬劳由中标人支付，该费用不再另行报价，由投标人在投标报价时综合考虑在内。中标人须向招标代理机构一次性支付（招标代理服务费：依据《关于印发通知》[2002]1980号，以工程中标价来计算招标代理服务费用并按标准计费下浮20%后收取。</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37D7D386">
            <w:pPr>
              <w:spacing w:before="69" w:line="360" w:lineRule="auto"/>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37</w:t>
            </w:r>
          </w:p>
        </w:tc>
        <w:tc>
          <w:tcPr>
            <w:tcW w:w="2326" w:type="dxa"/>
            <w:vAlign w:val="center"/>
          </w:tcPr>
          <w:p w14:paraId="5DBBB6F5">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招标人</w:t>
            </w:r>
          </w:p>
          <w:p w14:paraId="36239D21">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联系方式</w:t>
            </w:r>
          </w:p>
        </w:tc>
        <w:tc>
          <w:tcPr>
            <w:tcW w:w="7544" w:type="dxa"/>
            <w:gridSpan w:val="3"/>
            <w:vAlign w:val="center"/>
          </w:tcPr>
          <w:p w14:paraId="294DCE90">
            <w:pPr>
              <w:wordWrap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韶关市曲江区土地储备中心</w:t>
            </w:r>
          </w:p>
          <w:p w14:paraId="558038F2">
            <w:pPr>
              <w:wordWrap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办公地址：韶关市曲江区马坝镇府前西路城西安置楼农贸市场7号楼第二层</w:t>
            </w:r>
          </w:p>
          <w:p w14:paraId="5B16EB9D">
            <w:pPr>
              <w:wordWrap w:val="0"/>
              <w:adjustRightInd w:val="0"/>
              <w:snapToGrid w:val="0"/>
              <w:spacing w:line="360" w:lineRule="auto"/>
              <w:ind w:firstLine="240" w:firstLineChars="100"/>
              <w:jc w:val="left"/>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联系人（部门）：</w:t>
            </w:r>
            <w:r>
              <w:rPr>
                <w:rFonts w:hint="eastAsia" w:ascii="宋体" w:hAnsi="宋体" w:eastAsia="宋体" w:cs="宋体"/>
                <w:snapToGrid w:val="0"/>
                <w:color w:val="auto"/>
                <w:kern w:val="0"/>
                <w:sz w:val="24"/>
                <w:szCs w:val="24"/>
                <w:highlight w:val="none"/>
                <w:lang w:val="en-US" w:eastAsia="zh-CN"/>
              </w:rPr>
              <w:t>谭工</w:t>
            </w:r>
          </w:p>
          <w:p w14:paraId="01E5EFA9">
            <w:pPr>
              <w:wordWrap w:val="0"/>
              <w:adjustRightInd w:val="0"/>
              <w:snapToGrid w:val="0"/>
              <w:spacing w:line="360" w:lineRule="auto"/>
              <w:ind w:firstLine="240" w:firstLineChars="100"/>
              <w:jc w:val="left"/>
              <w:rPr>
                <w:rFonts w:hint="default" w:eastAsia="宋体" w:asciiTheme="minorEastAsia" w:hAnsi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联系电话：</w:t>
            </w:r>
            <w:r>
              <w:rPr>
                <w:rFonts w:hint="eastAsia" w:ascii="宋体" w:hAnsi="宋体" w:eastAsia="宋体" w:cs="宋体"/>
                <w:snapToGrid w:val="0"/>
                <w:color w:val="auto"/>
                <w:kern w:val="0"/>
                <w:sz w:val="24"/>
                <w:szCs w:val="24"/>
                <w:highlight w:val="none"/>
                <w:lang w:val="en-US" w:eastAsia="zh-CN"/>
              </w:rPr>
              <w:t>0751-6686819</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7AB56B55">
            <w:pPr>
              <w:spacing w:before="69" w:line="360" w:lineRule="auto"/>
              <w:jc w:val="center"/>
              <w:rPr>
                <w:rFonts w:hint="default"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38</w:t>
            </w:r>
          </w:p>
        </w:tc>
        <w:tc>
          <w:tcPr>
            <w:tcW w:w="2326" w:type="dxa"/>
            <w:vAlign w:val="center"/>
          </w:tcPr>
          <w:p w14:paraId="57A132EA">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招标代理机构</w:t>
            </w:r>
          </w:p>
          <w:p w14:paraId="3F031D75">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联系方式</w:t>
            </w:r>
          </w:p>
        </w:tc>
        <w:tc>
          <w:tcPr>
            <w:tcW w:w="7544" w:type="dxa"/>
            <w:gridSpan w:val="3"/>
            <w:vAlign w:val="center"/>
          </w:tcPr>
          <w:p w14:paraId="1EFF326B">
            <w:pPr>
              <w:wordWrap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广东顶骐建设工程咨询有限公司</w:t>
            </w:r>
          </w:p>
          <w:p w14:paraId="47CE0A07">
            <w:pPr>
              <w:wordWrap w:val="0"/>
              <w:adjustRightInd w:val="0"/>
              <w:snapToGrid w:val="0"/>
              <w:spacing w:line="360" w:lineRule="auto"/>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办公地址：韶关市曲江区马坝镇阳岗村委下何村7号之二2栋201房（仅限办公室使用）</w:t>
            </w:r>
          </w:p>
          <w:p w14:paraId="064D8810">
            <w:pPr>
              <w:pStyle w:val="2"/>
              <w:spacing w:line="360" w:lineRule="auto"/>
              <w:ind w:firstLine="240" w:firstLineChars="100"/>
              <w:rPr>
                <w:rFonts w:hint="default"/>
                <w:color w:val="auto"/>
                <w:sz w:val="24"/>
                <w:szCs w:val="24"/>
                <w:highlight w:val="none"/>
                <w:lang w:val="en-US" w:eastAsia="zh-CN"/>
              </w:rPr>
            </w:pPr>
            <w:r>
              <w:rPr>
                <w:rFonts w:hint="eastAsia" w:ascii="宋体" w:hAnsi="宋体" w:eastAsia="宋体" w:cs="宋体"/>
                <w:snapToGrid w:val="0"/>
                <w:color w:val="auto"/>
                <w:kern w:val="0"/>
                <w:sz w:val="24"/>
                <w:szCs w:val="24"/>
                <w:highlight w:val="none"/>
              </w:rPr>
              <w:t>联系人（</w:t>
            </w:r>
            <w:r>
              <w:rPr>
                <w:rFonts w:hint="eastAsia" w:ascii="宋体" w:hAnsi="宋体" w:eastAsia="宋体" w:cs="宋体"/>
                <w:snapToGrid w:val="0"/>
                <w:color w:val="auto"/>
                <w:kern w:val="0"/>
                <w:sz w:val="24"/>
                <w:szCs w:val="24"/>
                <w:highlight w:val="none"/>
                <w:lang w:eastAsia="zh-CN"/>
              </w:rPr>
              <w:t>部门）：</w:t>
            </w:r>
            <w:r>
              <w:rPr>
                <w:rFonts w:hint="eastAsia" w:ascii="宋体" w:hAnsi="宋体" w:eastAsia="宋体" w:cs="宋体"/>
                <w:snapToGrid w:val="0"/>
                <w:color w:val="auto"/>
                <w:kern w:val="0"/>
                <w:sz w:val="24"/>
                <w:szCs w:val="24"/>
                <w:highlight w:val="none"/>
                <w:lang w:val="en-US" w:eastAsia="zh-CN"/>
              </w:rPr>
              <w:t>黄丹</w:t>
            </w:r>
          </w:p>
          <w:p w14:paraId="245C4B76">
            <w:pPr>
              <w:pStyle w:val="2"/>
              <w:spacing w:line="360" w:lineRule="auto"/>
              <w:ind w:firstLine="240" w:firstLineChars="100"/>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电    话：</w:t>
            </w:r>
            <w:r>
              <w:rPr>
                <w:rFonts w:hint="eastAsia" w:ascii="宋体" w:hAnsi="宋体" w:eastAsia="宋体" w:cs="宋体"/>
                <w:snapToGrid w:val="0"/>
                <w:color w:val="auto"/>
                <w:kern w:val="0"/>
                <w:sz w:val="24"/>
                <w:szCs w:val="24"/>
                <w:highlight w:val="none"/>
                <w:lang w:val="en-US" w:eastAsia="zh-CN"/>
              </w:rPr>
              <w:t>18038942519</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18F6589E">
            <w:pPr>
              <w:spacing w:before="69" w:line="360" w:lineRule="auto"/>
              <w:jc w:val="center"/>
              <w:rPr>
                <w:rFonts w:hint="default"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39</w:t>
            </w:r>
          </w:p>
        </w:tc>
        <w:tc>
          <w:tcPr>
            <w:tcW w:w="2326" w:type="dxa"/>
            <w:vAlign w:val="center"/>
          </w:tcPr>
          <w:p w14:paraId="1AD5452F">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交易场所联系方式</w:t>
            </w:r>
          </w:p>
        </w:tc>
        <w:tc>
          <w:tcPr>
            <w:tcW w:w="7544" w:type="dxa"/>
            <w:gridSpan w:val="3"/>
            <w:vAlign w:val="center"/>
          </w:tcPr>
          <w:p w14:paraId="1DAA017F">
            <w:pPr>
              <w:pStyle w:val="22"/>
              <w:wordWrap w:val="0"/>
              <w:adjustRightInd w:val="0"/>
              <w:snapToGrid w:val="0"/>
              <w:spacing w:line="360" w:lineRule="auto"/>
              <w:ind w:firstLine="240" w:firstLineChars="1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单位名称：韶关市公共资源交易中心</w:t>
            </w:r>
          </w:p>
          <w:p w14:paraId="1AEA20E5">
            <w:pPr>
              <w:pStyle w:val="22"/>
              <w:wordWrap w:val="0"/>
              <w:adjustRightInd w:val="0"/>
              <w:snapToGrid w:val="0"/>
              <w:spacing w:line="360" w:lineRule="auto"/>
              <w:ind w:firstLine="240" w:firstLineChars="1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 xml:space="preserve">办公地址：韶关市曲江区马坝镇鞍山路曲江文化中心一楼 </w:t>
            </w:r>
          </w:p>
          <w:p w14:paraId="5CDE5F31">
            <w:pPr>
              <w:pStyle w:val="22"/>
              <w:wordWrap w:val="0"/>
              <w:adjustRightInd w:val="0"/>
              <w:snapToGrid w:val="0"/>
              <w:spacing w:line="360" w:lineRule="auto"/>
              <w:ind w:firstLine="240" w:firstLineChars="1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联系人（部门）：</w:t>
            </w:r>
            <w:r>
              <w:rPr>
                <w:rFonts w:hint="eastAsia" w:ascii="宋体" w:hAnsi="宋体" w:eastAsia="宋体" w:cs="宋体"/>
                <w:snapToGrid w:val="0"/>
                <w:color w:val="auto"/>
                <w:kern w:val="0"/>
                <w:sz w:val="24"/>
                <w:szCs w:val="24"/>
                <w:highlight w:val="none"/>
              </w:rPr>
              <w:t>工程交易部</w:t>
            </w:r>
          </w:p>
          <w:p w14:paraId="5676E727">
            <w:pPr>
              <w:wordWrap w:val="0"/>
              <w:adjustRightInd w:val="0"/>
              <w:snapToGrid w:val="0"/>
              <w:spacing w:line="360" w:lineRule="auto"/>
              <w:ind w:firstLine="273" w:firstLineChars="114"/>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cs="宋体"/>
                <w:color w:val="auto"/>
                <w:kern w:val="0"/>
                <w:sz w:val="24"/>
                <w:szCs w:val="24"/>
                <w:highlight w:val="none"/>
                <w:lang w:val="en-US" w:eastAsia="zh-CN"/>
              </w:rPr>
              <w:t>联系电话：0751-6690193</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rPr>
        <w:tc>
          <w:tcPr>
            <w:tcW w:w="637" w:type="dxa"/>
            <w:vAlign w:val="center"/>
          </w:tcPr>
          <w:p w14:paraId="6CED66FD">
            <w:pPr>
              <w:spacing w:before="69" w:line="360" w:lineRule="auto"/>
              <w:jc w:val="center"/>
              <w:rPr>
                <w:rFonts w:hint="default" w:asciiTheme="minorEastAsia" w:hAnsiTheme="minorEastAsia" w:eastAsiaTheme="minorEastAsia" w:cstheme="minorEastAsia"/>
                <w:color w:val="auto"/>
                <w:spacing w:val="-5"/>
                <w:sz w:val="24"/>
                <w:szCs w:val="24"/>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40</w:t>
            </w:r>
          </w:p>
        </w:tc>
        <w:tc>
          <w:tcPr>
            <w:tcW w:w="2326" w:type="dxa"/>
            <w:vAlign w:val="center"/>
          </w:tcPr>
          <w:p w14:paraId="2B5659C0">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行政监督部</w:t>
            </w:r>
          </w:p>
          <w:p w14:paraId="205A3A6C">
            <w:pPr>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门联系方式</w:t>
            </w:r>
          </w:p>
        </w:tc>
        <w:tc>
          <w:tcPr>
            <w:tcW w:w="7544" w:type="dxa"/>
            <w:gridSpan w:val="3"/>
            <w:vAlign w:val="center"/>
          </w:tcPr>
          <w:p w14:paraId="36C53D4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36" w:lineRule="auto"/>
              <w:ind w:right="0"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单位名称：韶关市曲江区住房和城乡建设管理局 </w:t>
            </w:r>
          </w:p>
          <w:p w14:paraId="24C22FA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36" w:lineRule="auto"/>
              <w:ind w:right="0"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办公地址： 韶关市曲江区马坝镇府前中路15号</w:t>
            </w:r>
          </w:p>
          <w:p w14:paraId="4E0F86C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336" w:lineRule="auto"/>
              <w:ind w:right="0"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联系人(部门)：建管股</w:t>
            </w:r>
          </w:p>
          <w:p w14:paraId="1732DFA5">
            <w:pPr>
              <w:wordWrap w:val="0"/>
              <w:adjustRightInd w:val="0"/>
              <w:snapToGrid w:val="0"/>
              <w:spacing w:line="360" w:lineRule="auto"/>
              <w:ind w:firstLine="273" w:firstLineChars="114"/>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联系电话：0751-6666656</w:t>
            </w:r>
            <w:r>
              <w:rPr>
                <w:rFonts w:hint="eastAsia" w:ascii="宋体" w:hAnsi="宋体" w:eastAsia="宋体" w:cs="宋体"/>
                <w:snapToGrid w:val="0"/>
                <w:color w:val="auto"/>
                <w:kern w:val="0"/>
                <w:sz w:val="24"/>
                <w:szCs w:val="24"/>
                <w:highlight w:val="none"/>
              </w:rPr>
              <w:t> </w:t>
            </w:r>
          </w:p>
        </w:tc>
      </w:tr>
    </w:tbl>
    <w:p w14:paraId="2196EE89">
      <w:pP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highlight w:val="none"/>
        </w:rPr>
      </w:pPr>
      <w:bookmarkStart w:id="6" w:name="_Toc14297"/>
      <w:r>
        <w:rPr>
          <w:rFonts w:hint="eastAsia" w:ascii="宋体" w:hAnsi="宋体" w:eastAsia="宋体" w:cs="宋体"/>
          <w:b/>
          <w:bCs/>
          <w:color w:val="auto"/>
          <w:spacing w:val="-3"/>
          <w:sz w:val="24"/>
          <w:szCs w:val="24"/>
          <w:highlight w:val="none"/>
        </w:rPr>
        <w:t>第二节 重要事项时间地点一览表</w:t>
      </w:r>
      <w:bookmarkEnd w:id="6"/>
    </w:p>
    <w:p w14:paraId="69A179A8">
      <w:pPr>
        <w:pStyle w:val="5"/>
        <w:rPr>
          <w:rFonts w:hint="eastAsia" w:ascii="宋体" w:hAnsi="宋体" w:eastAsia="宋体" w:cs="宋体"/>
          <w:color w:val="auto"/>
          <w:highlight w:val="none"/>
        </w:rPr>
      </w:pPr>
    </w:p>
    <w:tbl>
      <w:tblPr>
        <w:tblStyle w:val="14"/>
        <w:tblW w:w="5016"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5"/>
        <w:gridCol w:w="1390"/>
        <w:gridCol w:w="7844"/>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100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招标公告</w:t>
            </w:r>
          </w:p>
          <w:p w14:paraId="6CF9F9BC">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发布时间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22"/>
              <w:keepNext w:val="0"/>
              <w:keepLines w:val="0"/>
              <w:pageBreakBefore w:val="0"/>
              <w:widowControl/>
              <w:kinsoku/>
              <w:overflowPunct/>
              <w:topLinePunct w:val="0"/>
              <w:autoSpaceDE/>
              <w:autoSpaceDN/>
              <w:bidi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9</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15</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4"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13B17BC0">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获取招标文件</w:t>
            </w:r>
            <w:r>
              <w:rPr>
                <w:rFonts w:hint="eastAsia" w:ascii="宋体" w:hAnsi="宋体" w:eastAsia="宋体" w:cs="宋体"/>
                <w:snapToGrid w:val="0"/>
                <w:color w:val="auto"/>
                <w:kern w:val="0"/>
                <w:sz w:val="24"/>
                <w:szCs w:val="24"/>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22"/>
              <w:keepNext w:val="0"/>
              <w:keepLines w:val="0"/>
              <w:pageBreakBefore w:val="0"/>
              <w:widowControl/>
              <w:kinsoku/>
              <w:overflowPunct/>
              <w:topLinePunct w:val="0"/>
              <w:autoSpaceDE/>
              <w:autoSpaceDN/>
              <w:bidi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31</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6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网上提问</w:t>
            </w:r>
          </w:p>
          <w:p w14:paraId="2BE90DC1">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22"/>
              <w:keepNext w:val="0"/>
              <w:keepLines w:val="0"/>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21</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16</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9"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网上答疑</w:t>
            </w:r>
          </w:p>
          <w:p w14:paraId="70A9C70E">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22"/>
              <w:keepNext w:val="0"/>
              <w:keepLines w:val="0"/>
              <w:pageBreakBefore w:val="0"/>
              <w:widowControl/>
              <w:kinsoku/>
              <w:overflowPunct/>
              <w:topLinePunct w:val="0"/>
              <w:autoSpaceDE/>
              <w:autoSpaceDN/>
              <w:bidi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21</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16</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分至</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24</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16</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4"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投标保证缴</w:t>
            </w:r>
          </w:p>
          <w:p w14:paraId="249647CA">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纳截止时间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22"/>
              <w:keepNext w:val="0"/>
              <w:keepLines w:val="0"/>
              <w:pageBreakBefore w:val="0"/>
              <w:widowControl/>
              <w:kinsoku/>
              <w:overflowPunct/>
              <w:topLinePunct w:val="0"/>
              <w:autoSpaceDE/>
              <w:autoSpaceDN/>
              <w:bidi w:val="0"/>
              <w:snapToGrid w:val="0"/>
              <w:spacing w:line="360" w:lineRule="auto"/>
              <w:ind w:firstLine="240" w:firstLineChars="1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投标保证金到账截止时间：</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p w14:paraId="534D20EF">
            <w:pPr>
              <w:pStyle w:val="22"/>
              <w:keepNext w:val="0"/>
              <w:keepLines w:val="0"/>
              <w:pageBreakBefore w:val="0"/>
              <w:widowControl/>
              <w:kinsoku/>
              <w:overflowPunct/>
              <w:topLinePunct w:val="0"/>
              <w:autoSpaceDE/>
              <w:autoSpaceDN/>
              <w:bidi w:val="0"/>
              <w:snapToGrid w:val="0"/>
              <w:spacing w:line="360" w:lineRule="auto"/>
              <w:ind w:firstLine="240" w:firstLineChars="1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投标保证担保上传截止时间：</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p w14:paraId="086C2F12">
            <w:pPr>
              <w:pStyle w:val="22"/>
              <w:keepNext w:val="0"/>
              <w:keepLines w:val="0"/>
              <w:pageBreakBefore w:val="0"/>
              <w:widowControl/>
              <w:kinsoku/>
              <w:overflowPunct/>
              <w:topLinePunct w:val="0"/>
              <w:autoSpaceDE/>
              <w:autoSpaceDN/>
              <w:bidi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投标保证保险投保截止时间：</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9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电子投标</w:t>
            </w:r>
          </w:p>
          <w:p w14:paraId="3E473E72">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22"/>
              <w:keepNext w:val="0"/>
              <w:keepLines w:val="0"/>
              <w:pageBreakBefore w:val="0"/>
              <w:widowControl/>
              <w:kinsoku/>
              <w:overflowPunct/>
              <w:topLinePunct w:val="0"/>
              <w:autoSpaceDE/>
              <w:autoSpaceDN/>
              <w:bidi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31</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投标评审原件（如有）</w:t>
            </w:r>
          </w:p>
          <w:p w14:paraId="7F77CCDF">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递交时间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22"/>
              <w:keepNext w:val="0"/>
              <w:keepLines w:val="0"/>
              <w:pageBreakBefore w:val="0"/>
              <w:widowControl/>
              <w:kinsoku/>
              <w:overflowPunct/>
              <w:topLinePunct w:val="0"/>
              <w:autoSpaceDE/>
              <w:autoSpaceDN/>
              <w:bidi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31</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至</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31</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 xml:space="preserve"> </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投标评审原件（如有）</w:t>
            </w:r>
          </w:p>
          <w:p w14:paraId="3261A94D">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递交地点</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54D0F656">
            <w:pPr>
              <w:pStyle w:val="22"/>
              <w:keepNext w:val="0"/>
              <w:keepLines w:val="0"/>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递交场所：韶关市公共资源交易中心</w:t>
            </w:r>
            <w:r>
              <w:rPr>
                <w:rFonts w:hint="eastAsia" w:ascii="宋体" w:hAnsi="宋体" w:eastAsia="宋体" w:cs="宋体"/>
                <w:snapToGrid w:val="0"/>
                <w:color w:val="auto"/>
                <w:kern w:val="0"/>
                <w:sz w:val="24"/>
                <w:szCs w:val="24"/>
                <w:highlight w:val="none"/>
                <w:lang w:val="en-US" w:eastAsia="zh-CN"/>
              </w:rPr>
              <w:t>曲江分中心</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地址：</w:t>
            </w:r>
            <w:r>
              <w:rPr>
                <w:rFonts w:hint="eastAsia" w:ascii="宋体" w:hAnsi="宋体" w:eastAsia="宋体" w:cs="宋体"/>
                <w:snapToGrid w:val="0"/>
                <w:color w:val="auto"/>
                <w:kern w:val="0"/>
                <w:sz w:val="24"/>
                <w:szCs w:val="24"/>
                <w:highlight w:val="none"/>
                <w:lang w:val="en-US" w:eastAsia="zh-CN"/>
              </w:rPr>
              <w:t>韶关市曲江区马坝镇鞍山路曲江文化中心一楼</w:t>
            </w:r>
            <w:r>
              <w:rPr>
                <w:rFonts w:hint="eastAsia" w:ascii="宋体" w:hAnsi="宋体" w:eastAsia="宋体" w:cs="宋体"/>
                <w:snapToGrid w:val="0"/>
                <w:color w:val="auto"/>
                <w:kern w:val="0"/>
                <w:sz w:val="24"/>
                <w:szCs w:val="24"/>
                <w:highlight w:val="none"/>
              </w:rPr>
              <w:t>，具体递交场所以当日现场通知为准</w:t>
            </w:r>
            <w:r>
              <w:rPr>
                <w:rFonts w:hint="eastAsia" w:ascii="宋体" w:hAnsi="宋体" w:eastAsia="宋体" w:cs="宋体"/>
                <w:color w:val="auto"/>
                <w:kern w:val="2"/>
                <w:sz w:val="24"/>
                <w:szCs w:val="24"/>
                <w:highlight w:val="none"/>
                <w:lang w:val="en-US" w:eastAsia="zh-CN" w:bidi="ar-SA"/>
              </w:rPr>
              <w:t>。</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22"/>
              <w:keepNext w:val="0"/>
              <w:keepLines w:val="0"/>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kern w:val="0"/>
                <w:sz w:val="24"/>
                <w:szCs w:val="24"/>
                <w:highlight w:val="none"/>
                <w:u w:val="single"/>
              </w:rPr>
              <w:t>202</w:t>
            </w:r>
            <w:r>
              <w:rPr>
                <w:rFonts w:hint="eastAsia" w:ascii="宋体" w:hAnsi="宋体" w:eastAsia="宋体" w:cs="宋体"/>
                <w:color w:val="auto"/>
                <w:kern w:val="0"/>
                <w:sz w:val="24"/>
                <w:szCs w:val="24"/>
                <w:highlight w:val="none"/>
                <w:u w:val="single"/>
                <w:lang w:val="en-US" w:eastAsia="zh-CN"/>
              </w:rPr>
              <w:t>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31</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0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开标地点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0DED8783">
            <w:pPr>
              <w:pStyle w:val="22"/>
              <w:widowControl/>
              <w:wordWrap w:val="0"/>
              <w:spacing w:line="360" w:lineRule="auto"/>
              <w:ind w:left="0"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开标场所：</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val="en-US" w:eastAsia="zh-CN"/>
              </w:rPr>
              <w:t>曲江分中心</w:t>
            </w:r>
            <w:r>
              <w:rPr>
                <w:rFonts w:hint="eastAsia" w:ascii="宋体" w:hAnsi="宋体" w:eastAsia="宋体" w:cs="宋体"/>
                <w:color w:val="auto"/>
                <w:kern w:val="0"/>
                <w:sz w:val="24"/>
                <w:szCs w:val="24"/>
                <w:highlight w:val="none"/>
              </w:rPr>
              <w:t>，</w:t>
            </w:r>
          </w:p>
          <w:p w14:paraId="0FB3FA6E">
            <w:pPr>
              <w:pStyle w:val="22"/>
              <w:keepNext w:val="0"/>
              <w:keepLines w:val="0"/>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地址：</w:t>
            </w:r>
            <w:r>
              <w:rPr>
                <w:rFonts w:hint="eastAsia" w:ascii="宋体" w:hAnsi="宋体" w:eastAsia="宋体" w:cs="宋体"/>
                <w:snapToGrid w:val="0"/>
                <w:color w:val="auto"/>
                <w:kern w:val="0"/>
                <w:sz w:val="24"/>
                <w:szCs w:val="24"/>
                <w:highlight w:val="none"/>
                <w:lang w:val="en-US" w:eastAsia="zh-CN"/>
              </w:rPr>
              <w:t>韶关市曲江区马坝镇鞍山路曲江文化中心一楼</w:t>
            </w:r>
            <w:r>
              <w:rPr>
                <w:rFonts w:hint="eastAsia" w:ascii="宋体" w:hAnsi="宋体" w:eastAsia="宋体" w:cs="宋体"/>
                <w:snapToGrid w:val="0"/>
                <w:color w:val="auto"/>
                <w:kern w:val="0"/>
                <w:sz w:val="24"/>
                <w:szCs w:val="24"/>
                <w:highlight w:val="none"/>
              </w:rPr>
              <w:t>，具体递交场所以当日现场通知为准</w:t>
            </w:r>
            <w:r>
              <w:rPr>
                <w:rFonts w:hint="eastAsia" w:ascii="宋体" w:hAnsi="宋体" w:eastAsia="宋体" w:cs="宋体"/>
                <w:color w:val="auto"/>
                <w:kern w:val="0"/>
                <w:sz w:val="24"/>
                <w:szCs w:val="24"/>
                <w:highlight w:val="none"/>
              </w:rPr>
              <w:t>。</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3" w:hRule="exact"/>
        </w:trPr>
        <w:tc>
          <w:tcPr>
            <w:tcW w:w="948"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22"/>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备注</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22"/>
              <w:keepNext w:val="0"/>
              <w:keepLines w:val="0"/>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自行下载招标文件、资料文件及招标答疑书等。若由于投标人自身原因未能及时取得上述资料的，由此发生的任何责任由投标人自负。</w:t>
            </w:r>
          </w:p>
        </w:tc>
      </w:tr>
    </w:tbl>
    <w:p w14:paraId="05CEB252">
      <w:pPr>
        <w:tabs>
          <w:tab w:val="left" w:pos="8820"/>
        </w:tabs>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134" w:right="1134" w:bottom="1134" w:left="1134" w:header="567" w:footer="567" w:gutter="0"/>
          <w:pgBorders>
            <w:top w:val="none" w:sz="0" w:space="0"/>
            <w:left w:val="none" w:sz="0" w:space="0"/>
            <w:bottom w:val="none" w:sz="0" w:space="0"/>
            <w:right w:val="none" w:sz="0" w:space="0"/>
          </w:pgBorders>
          <w:cols w:space="720" w:num="1"/>
        </w:sectPr>
      </w:pPr>
    </w:p>
    <w:p w14:paraId="433C4EC2">
      <w:pPr>
        <w:spacing w:line="360" w:lineRule="auto"/>
        <w:jc w:val="center"/>
        <w:outlineLvl w:val="1"/>
        <w:rPr>
          <w:rFonts w:hint="eastAsia" w:ascii="宋体" w:hAnsi="宋体" w:eastAsia="宋体" w:cs="宋体"/>
          <w:color w:val="auto"/>
          <w:sz w:val="24"/>
          <w:szCs w:val="24"/>
          <w:highlight w:val="none"/>
        </w:rPr>
      </w:pPr>
      <w:bookmarkStart w:id="7" w:name="_Toc9283"/>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2BD22834">
      <w:pPr>
        <w:keepNext w:val="0"/>
        <w:keepLines w:val="0"/>
        <w:pageBreakBefore w:val="0"/>
        <w:widowControl/>
        <w:suppressLineNumbers w:val="0"/>
        <w:overflowPunct/>
        <w:topLinePunct w:val="0"/>
        <w:bidi w:val="0"/>
        <w:adjustRightInd w:val="0"/>
        <w:snapToGrid w:val="0"/>
        <w:spacing w:line="360" w:lineRule="auto"/>
        <w:ind w:left="0" w:right="0" w:rightChars="0"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韶关市曲江区大塘镇原食品园地块土方平整工程项目施工</w:t>
      </w:r>
      <w:r>
        <w:rPr>
          <w:rFonts w:hint="eastAsia" w:ascii="宋体" w:hAnsi="宋体" w:eastAsia="宋体" w:cs="宋体"/>
          <w:snapToGrid w:val="0"/>
          <w:color w:val="auto"/>
          <w:kern w:val="0"/>
          <w:sz w:val="24"/>
          <w:szCs w:val="32"/>
          <w:highlight w:val="none"/>
        </w:rPr>
        <w:t>，项目代码为</w:t>
      </w:r>
      <w:r>
        <w:rPr>
          <w:rFonts w:hint="eastAsia" w:ascii="宋体" w:hAnsi="宋体" w:eastAsia="宋体" w:cs="宋体"/>
          <w:snapToGrid w:val="0"/>
          <w:color w:val="auto"/>
          <w:kern w:val="0"/>
          <w:sz w:val="24"/>
          <w:szCs w:val="32"/>
          <w:highlight w:val="none"/>
          <w:u w:val="single"/>
          <w:lang w:eastAsia="zh-CN"/>
        </w:rPr>
        <w:t>2604-440205-04-01-482876</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韶关市曲江区土地储备中心</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val="en-US" w:eastAsia="zh-CN"/>
        </w:rPr>
        <w:t>财政资金</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韶关市曲江区土地储备中心</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广东顶骐建设工程咨询有限公司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施工</w:t>
      </w:r>
      <w:r>
        <w:rPr>
          <w:rFonts w:hint="eastAsia" w:ascii="宋体" w:hAnsi="宋体" w:eastAsia="宋体" w:cs="宋体"/>
          <w:snapToGrid w:val="0"/>
          <w:color w:val="auto"/>
          <w:kern w:val="0"/>
          <w:sz w:val="24"/>
          <w:szCs w:val="24"/>
          <w:highlight w:val="none"/>
        </w:rPr>
        <w:t>进行公开招标。</w:t>
      </w:r>
    </w:p>
    <w:p w14:paraId="58CD94D9">
      <w:pPr>
        <w:keepNext w:val="0"/>
        <w:keepLines w:val="0"/>
        <w:pageBreakBefore w:val="0"/>
        <w:overflowPunct/>
        <w:topLinePunct w:val="0"/>
        <w:bidi w:val="0"/>
        <w:adjustRightInd w:val="0"/>
        <w:snapToGrid w:val="0"/>
        <w:spacing w:line="360" w:lineRule="auto"/>
        <w:ind w:left="0" w:right="0" w:rightChars="0" w:firstLine="466" w:firstLineChars="200"/>
        <w:outlineLvl w:val="2"/>
        <w:rPr>
          <w:rFonts w:hint="eastAsia" w:ascii="宋体" w:hAnsi="宋体" w:eastAsia="宋体" w:cs="宋体"/>
          <w:color w:val="auto"/>
          <w:sz w:val="24"/>
          <w:szCs w:val="24"/>
          <w:highlight w:val="none"/>
        </w:rPr>
      </w:pPr>
      <w:bookmarkStart w:id="8" w:name="bookmark59"/>
      <w:bookmarkEnd w:id="8"/>
      <w:bookmarkStart w:id="9" w:name="bookmark73"/>
      <w:bookmarkEnd w:id="9"/>
      <w:bookmarkStart w:id="10" w:name="bookmark52"/>
      <w:bookmarkEnd w:id="10"/>
      <w:bookmarkStart w:id="11" w:name="_Toc19017"/>
      <w:bookmarkStart w:id="12" w:name="_Toc15993"/>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37B86162">
      <w:pPr>
        <w:keepNext w:val="0"/>
        <w:keepLines w:val="0"/>
        <w:pageBreakBefore w:val="0"/>
        <w:overflowPunct/>
        <w:topLinePunct w:val="0"/>
        <w:bidi w:val="0"/>
        <w:adjustRightInd w:val="0"/>
        <w:snapToGrid w:val="0"/>
        <w:spacing w:line="360" w:lineRule="auto"/>
        <w:ind w:left="0" w:right="0" w:rightChars="0" w:firstLine="462"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rightChars="0" w:firstLine="474" w:firstLineChars="200"/>
        <w:textAlignment w:val="baseline"/>
        <w:rPr>
          <w:rFonts w:hint="default"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pacing w:val="-2"/>
          <w:sz w:val="24"/>
          <w:szCs w:val="24"/>
          <w:highlight w:val="none"/>
          <w:u w:val="single"/>
          <w:lang w:val="en-US" w:eastAsia="zh-CN"/>
        </w:rPr>
        <w:t>韶关市曲江区。</w:t>
      </w:r>
    </w:p>
    <w:p w14:paraId="45A735E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rightChars="0" w:firstLine="474" w:firstLineChars="200"/>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Theme="minorEastAsia" w:hAnsiTheme="minorEastAsia" w:eastAsiaTheme="minorEastAsia" w:cstheme="minorEastAsia"/>
          <w:snapToGrid w:val="0"/>
          <w:color w:val="auto"/>
          <w:kern w:val="0"/>
          <w:sz w:val="24"/>
          <w:szCs w:val="24"/>
          <w:highlight w:val="none"/>
          <w:u w:val="single"/>
          <w:lang w:val="en-US" w:eastAsia="zh-CN"/>
        </w:rPr>
        <w:t>土方工程和挡土墙工程。</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rightChars="0" w:firstLine="474" w:firstLineChars="200"/>
        <w:textAlignment w:val="baseline"/>
        <w:rPr>
          <w:rFonts w:hint="default"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0"/>
          <w:rFonts w:hint="eastAsia" w:ascii="宋体" w:hAnsi="宋体" w:eastAsia="宋体" w:cs="宋体"/>
          <w:color w:val="auto"/>
          <w:kern w:val="0"/>
          <w:sz w:val="24"/>
          <w:szCs w:val="24"/>
          <w:highlight w:val="none"/>
        </w:rPr>
        <w:t>：</w:t>
      </w:r>
      <w:r>
        <w:rPr>
          <w:rFonts w:hint="eastAsia" w:asciiTheme="minorEastAsia" w:hAnsiTheme="minorEastAsia" w:eastAsiaTheme="minorEastAsia" w:cstheme="minorEastAsia"/>
          <w:snapToGrid w:val="0"/>
          <w:color w:val="auto"/>
          <w:kern w:val="0"/>
          <w:sz w:val="24"/>
          <w:szCs w:val="24"/>
          <w:highlight w:val="none"/>
          <w:u w:val="single"/>
          <w:lang w:val="en-US" w:eastAsia="zh-CN"/>
        </w:rPr>
        <w:t>项目</w:t>
      </w:r>
      <w:r>
        <w:rPr>
          <w:rFonts w:hint="default" w:asciiTheme="minorEastAsia" w:hAnsiTheme="minorEastAsia" w:eastAsiaTheme="minorEastAsia" w:cstheme="minorEastAsia"/>
          <w:snapToGrid w:val="0"/>
          <w:color w:val="auto"/>
          <w:kern w:val="0"/>
          <w:sz w:val="24"/>
          <w:szCs w:val="24"/>
          <w:highlight w:val="none"/>
          <w:u w:val="single"/>
          <w:lang w:val="en-US" w:eastAsia="zh-CN"/>
        </w:rPr>
        <w:t>总投资约4328</w:t>
      </w:r>
      <w:r>
        <w:rPr>
          <w:rFonts w:hint="eastAsia" w:asciiTheme="minorEastAsia" w:hAnsiTheme="minorEastAsia" w:eastAsiaTheme="minorEastAsia" w:cstheme="minorEastAsia"/>
          <w:snapToGrid w:val="0"/>
          <w:color w:val="auto"/>
          <w:kern w:val="0"/>
          <w:sz w:val="24"/>
          <w:szCs w:val="24"/>
          <w:highlight w:val="none"/>
          <w:u w:val="single"/>
          <w:lang w:val="en-US" w:eastAsia="zh-CN"/>
        </w:rPr>
        <w:t>.</w:t>
      </w:r>
      <w:r>
        <w:rPr>
          <w:rFonts w:hint="default" w:asciiTheme="minorEastAsia" w:hAnsiTheme="minorEastAsia" w:eastAsiaTheme="minorEastAsia" w:cstheme="minorEastAsia"/>
          <w:snapToGrid w:val="0"/>
          <w:color w:val="auto"/>
          <w:kern w:val="0"/>
          <w:sz w:val="24"/>
          <w:szCs w:val="24"/>
          <w:highlight w:val="none"/>
          <w:u w:val="single"/>
          <w:lang w:val="en-US" w:eastAsia="zh-CN"/>
        </w:rPr>
        <w:t>19</w:t>
      </w:r>
      <w:r>
        <w:rPr>
          <w:rFonts w:hint="eastAsia" w:asciiTheme="minorEastAsia" w:hAnsiTheme="minorEastAsia" w:eastAsiaTheme="minorEastAsia" w:cstheme="minorEastAsia"/>
          <w:snapToGrid w:val="0"/>
          <w:color w:val="auto"/>
          <w:kern w:val="0"/>
          <w:sz w:val="24"/>
          <w:szCs w:val="24"/>
          <w:highlight w:val="none"/>
          <w:u w:val="single"/>
          <w:lang w:val="en-US" w:eastAsia="zh-CN"/>
        </w:rPr>
        <w:t>万</w:t>
      </w:r>
      <w:r>
        <w:rPr>
          <w:rFonts w:hint="default" w:asciiTheme="minorEastAsia" w:hAnsiTheme="minorEastAsia" w:eastAsiaTheme="minorEastAsia" w:cstheme="minorEastAsia"/>
          <w:snapToGrid w:val="0"/>
          <w:color w:val="auto"/>
          <w:kern w:val="0"/>
          <w:sz w:val="24"/>
          <w:szCs w:val="24"/>
          <w:highlight w:val="none"/>
          <w:u w:val="single"/>
          <w:lang w:val="en-US" w:eastAsia="zh-CN"/>
        </w:rPr>
        <w:t>元</w:t>
      </w:r>
      <w:r>
        <w:rPr>
          <w:rFonts w:hint="eastAsia" w:asciiTheme="minorEastAsia" w:hAnsiTheme="minorEastAsia" w:eastAsiaTheme="minorEastAsia" w:cstheme="minorEastAsia"/>
          <w:snapToGrid w:val="0"/>
          <w:color w:val="auto"/>
          <w:kern w:val="0"/>
          <w:sz w:val="24"/>
          <w:szCs w:val="24"/>
          <w:highlight w:val="none"/>
          <w:u w:val="single"/>
          <w:lang w:val="en-US" w:eastAsia="zh-CN"/>
        </w:rPr>
        <w:t>。</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rightChars="0" w:firstLine="482" w:firstLineChars="200"/>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non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rightChars="0" w:firstLine="474"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u w:val="single"/>
          <w:lang w:eastAsia="zh-CN"/>
        </w:rPr>
        <w:t>施工图纸和工程量清单范围内等所有工程施工。</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rightChars="0" w:firstLine="474" w:firstLineChars="200"/>
        <w:textAlignment w:val="baseline"/>
        <w:outlineLvl w:val="9"/>
        <w:rPr>
          <w:rFonts w:hint="eastAsia" w:ascii="宋体" w:hAnsi="宋体" w:eastAsia="宋体" w:cs="宋体"/>
          <w:color w:val="auto"/>
          <w:sz w:val="24"/>
          <w:szCs w:val="24"/>
          <w:highlight w:val="none"/>
        </w:rPr>
      </w:pPr>
      <w:bookmarkStart w:id="13" w:name="_Toc14190"/>
      <w:bookmarkStart w:id="14" w:name="_Toc24593"/>
      <w:bookmarkStart w:id="15" w:name="_Toc28202"/>
      <w:bookmarkStart w:id="16" w:name="_Toc20855"/>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w:t>
      </w:r>
      <w:r>
        <w:rPr>
          <w:rFonts w:hint="eastAsia" w:ascii="宋体" w:hAnsi="宋体" w:eastAsia="宋体" w:cs="宋体"/>
          <w:color w:val="auto"/>
          <w:spacing w:val="-2"/>
          <w:sz w:val="24"/>
          <w:szCs w:val="24"/>
          <w:highlight w:val="none"/>
          <w:u w:val="single"/>
        </w:rPr>
        <w:t>本招标项目不划分标段。</w:t>
      </w:r>
      <w:bookmarkEnd w:id="13"/>
      <w:bookmarkEnd w:id="14"/>
      <w:bookmarkEnd w:id="15"/>
      <w:bookmarkEnd w:id="16"/>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0" w:right="0" w:rightChars="0"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0" w:right="0" w:rightChars="0" w:firstLine="45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rightChars="0"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21208"/>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593026DB">
      <w:pPr>
        <w:keepNext w:val="0"/>
        <w:keepLines w:val="0"/>
        <w:pageBreakBefore w:val="0"/>
        <w:widowControl w:val="0"/>
        <w:kinsoku/>
        <w:wordWrap w:val="0"/>
        <w:overflowPunct/>
        <w:topLinePunct w:val="0"/>
        <w:autoSpaceDE/>
        <w:autoSpaceDN/>
        <w:bidi w:val="0"/>
        <w:adjustRightInd/>
        <w:snapToGrid/>
        <w:spacing w:line="360" w:lineRule="auto"/>
        <w:ind w:right="0" w:rightChars="0" w:firstLine="482" w:firstLineChars="200"/>
        <w:textAlignment w:val="auto"/>
        <w:rPr>
          <w:rFonts w:hint="eastAsia" w:ascii="宋体" w:hAnsi="宋体" w:eastAsia="宋体" w:cs="宋体"/>
          <w:b/>
          <w:bCs/>
          <w:snapToGrid w:val="0"/>
          <w:color w:val="auto"/>
          <w:kern w:val="0"/>
          <w:sz w:val="24"/>
          <w:szCs w:val="24"/>
          <w:highlight w:val="none"/>
          <w:lang w:eastAsia="zh-CN"/>
        </w:rPr>
      </w:pPr>
      <w:r>
        <w:rPr>
          <w:rStyle w:val="20"/>
          <w:rFonts w:hint="eastAsia" w:ascii="宋体" w:hAnsi="宋体" w:eastAsia="宋体" w:cs="宋体"/>
          <w:b/>
          <w:bCs/>
          <w:color w:val="auto"/>
          <w:kern w:val="0"/>
          <w:sz w:val="24"/>
          <w:szCs w:val="24"/>
          <w:highlight w:val="none"/>
          <w:lang w:val="en-US" w:eastAsia="zh-CN"/>
        </w:rPr>
        <w:t>2.</w:t>
      </w:r>
      <w:r>
        <w:rPr>
          <w:rStyle w:val="20"/>
          <w:rFonts w:hint="eastAsia" w:ascii="宋体" w:hAnsi="宋体" w:eastAsia="宋体" w:cs="宋体"/>
          <w:b/>
          <w:bCs/>
          <w:color w:val="auto"/>
          <w:kern w:val="0"/>
          <w:sz w:val="24"/>
          <w:szCs w:val="24"/>
          <w:highlight w:val="none"/>
          <w:lang w:eastAsia="zh-CN"/>
        </w:rPr>
        <w:t>1</w:t>
      </w:r>
      <w:r>
        <w:rPr>
          <w:rStyle w:val="20"/>
          <w:rFonts w:hint="eastAsia" w:hAnsi="宋体" w:eastAsia="宋体" w:cs="宋体"/>
          <w:b/>
          <w:bCs/>
          <w:color w:val="auto"/>
          <w:kern w:val="0"/>
          <w:sz w:val="24"/>
          <w:szCs w:val="24"/>
          <w:highlight w:val="none"/>
          <w:lang w:val="en-US" w:eastAsia="zh-CN"/>
        </w:rPr>
        <w:t xml:space="preserve"> </w:t>
      </w:r>
      <w:r>
        <w:rPr>
          <w:rFonts w:hint="eastAsia" w:ascii="宋体" w:hAnsi="宋体" w:eastAsia="宋体" w:cs="宋体"/>
          <w:b/>
          <w:bCs/>
          <w:snapToGrid w:val="0"/>
          <w:color w:val="auto"/>
          <w:kern w:val="0"/>
          <w:sz w:val="24"/>
          <w:szCs w:val="24"/>
          <w:highlight w:val="none"/>
          <w:lang w:eastAsia="zh-CN"/>
        </w:rPr>
        <w:t>本次招标接受联合体投标，联合体以一个投标人的身份共同投标。</w:t>
      </w:r>
    </w:p>
    <w:p w14:paraId="209E0DB7">
      <w:pPr>
        <w:keepNext w:val="0"/>
        <w:keepLines w:val="0"/>
        <w:pageBreakBefore w:val="0"/>
        <w:widowControl w:val="0"/>
        <w:kinsoku/>
        <w:wordWrap w:val="0"/>
        <w:overflowPunct/>
        <w:topLinePunct w:val="0"/>
        <w:autoSpaceDE/>
        <w:autoSpaceDN/>
        <w:bidi w:val="0"/>
        <w:adjustRightInd/>
        <w:snapToGrid/>
        <w:spacing w:line="360" w:lineRule="auto"/>
        <w:ind w:right="0" w:rightChars="0" w:firstLine="480"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eastAsia="zh-CN"/>
        </w:rPr>
        <w:t>1.1 联合体成员数量不超过</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eastAsia="zh-CN"/>
        </w:rPr>
        <w:t>个。</w:t>
      </w:r>
    </w:p>
    <w:p w14:paraId="3810B8CF">
      <w:pPr>
        <w:keepNext w:val="0"/>
        <w:keepLines w:val="0"/>
        <w:pageBreakBefore w:val="0"/>
        <w:widowControl w:val="0"/>
        <w:kinsoku/>
        <w:wordWrap w:val="0"/>
        <w:overflowPunct/>
        <w:topLinePunct w:val="0"/>
        <w:autoSpaceDE/>
        <w:autoSpaceDN/>
        <w:bidi w:val="0"/>
        <w:adjustRightInd/>
        <w:snapToGrid/>
        <w:spacing w:line="360" w:lineRule="auto"/>
        <w:ind w:right="0" w:rightChars="0" w:firstLine="480"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eastAsia="zh-CN"/>
        </w:rPr>
        <w:t>1.2 联合体各方应按招标文件提供的格式签订联合体协议书，明确联合体牵头人和各方权利义务，并承诺就中标项目向招标人承担连带责任。《联合体协议书》作为投标文件的组成部分向招标人提交。</w:t>
      </w:r>
    </w:p>
    <w:p w14:paraId="2A41D0EB">
      <w:pPr>
        <w:keepNext w:val="0"/>
        <w:keepLines w:val="0"/>
        <w:pageBreakBefore w:val="0"/>
        <w:widowControl w:val="0"/>
        <w:kinsoku/>
        <w:wordWrap w:val="0"/>
        <w:overflowPunct/>
        <w:topLinePunct w:val="0"/>
        <w:autoSpaceDE/>
        <w:autoSpaceDN/>
        <w:bidi w:val="0"/>
        <w:adjustRightInd/>
        <w:snapToGrid/>
        <w:spacing w:line="360" w:lineRule="auto"/>
        <w:ind w:right="0" w:rightChars="0" w:firstLine="480" w:firstLineChars="2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eastAsia="zh-CN"/>
        </w:rPr>
        <w:t>1.3 联合体成员单位均应具备拟承担的工作内容（以《联合体协议书》的约定为准）所规定的资格条件。若同一工作内容由两个或两个以上单位共同承担，该项工作内容按照资质等级较低的单位确定联合体资质等级。</w:t>
      </w:r>
    </w:p>
    <w:p w14:paraId="39820076">
      <w:pPr>
        <w:pStyle w:val="24"/>
        <w:keepNext w:val="0"/>
        <w:keepLines w:val="0"/>
        <w:pageBreakBefore w:val="0"/>
        <w:widowControl w:val="0"/>
        <w:kinsoku/>
        <w:overflowPunct/>
        <w:topLinePunct w:val="0"/>
        <w:autoSpaceDE/>
        <w:autoSpaceDN/>
        <w:bidi w:val="0"/>
        <w:adjustRightInd/>
        <w:snapToGrid/>
        <w:spacing w:line="360" w:lineRule="auto"/>
        <w:ind w:right="0" w:rightChars="0" w:firstLine="480" w:firstLineChars="200"/>
        <w:jc w:val="left"/>
        <w:rPr>
          <w:rStyle w:val="20"/>
          <w:rFonts w:hint="eastAsia" w:ascii="宋体" w:hAnsi="宋体" w:eastAsia="宋体" w:cs="宋体"/>
          <w:b w:val="0"/>
          <w:bCs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eastAsia="zh-CN"/>
        </w:rPr>
        <w:t>1.4 联合体各方不得再以自己名义单独或参加其他联合体在本招标项目中投标，否则各相关投标均无效。</w:t>
      </w:r>
    </w:p>
    <w:p w14:paraId="5AC1A31B">
      <w:pPr>
        <w:pStyle w:val="24"/>
        <w:keepNext w:val="0"/>
        <w:keepLines w:val="0"/>
        <w:pageBreakBefore w:val="0"/>
        <w:widowControl w:val="0"/>
        <w:kinsoku/>
        <w:overflowPunct/>
        <w:topLinePunct w:val="0"/>
        <w:autoSpaceDE/>
        <w:autoSpaceDN/>
        <w:bidi w:val="0"/>
        <w:adjustRightInd/>
        <w:snapToGrid/>
        <w:spacing w:line="360" w:lineRule="auto"/>
        <w:ind w:right="0" w:rightChars="0" w:firstLine="482" w:firstLineChars="200"/>
        <w:jc w:val="left"/>
        <w:rPr>
          <w:rStyle w:val="20"/>
          <w:rFonts w:hint="eastAsia" w:ascii="宋体" w:hAnsi="宋体" w:eastAsia="宋体" w:cs="宋体"/>
          <w:b/>
          <w:bCs/>
          <w:color w:val="auto"/>
          <w:kern w:val="0"/>
          <w:sz w:val="24"/>
          <w:szCs w:val="24"/>
          <w:highlight w:val="none"/>
          <w:lang w:eastAsia="zh-CN"/>
        </w:rPr>
      </w:pPr>
      <w:r>
        <w:rPr>
          <w:rStyle w:val="20"/>
          <w:rFonts w:hint="eastAsia" w:ascii="宋体" w:hAnsi="宋体" w:eastAsia="宋体" w:cs="宋体"/>
          <w:b/>
          <w:bCs/>
          <w:color w:val="auto"/>
          <w:kern w:val="0"/>
          <w:sz w:val="24"/>
          <w:szCs w:val="24"/>
          <w:highlight w:val="none"/>
          <w:lang w:eastAsia="zh-CN"/>
        </w:rPr>
        <w:t>2</w:t>
      </w:r>
      <w:r>
        <w:rPr>
          <w:rStyle w:val="20"/>
          <w:rFonts w:hint="eastAsia" w:ascii="宋体" w:hAnsi="宋体" w:eastAsia="宋体" w:cs="宋体"/>
          <w:b/>
          <w:bCs/>
          <w:color w:val="auto"/>
          <w:kern w:val="0"/>
          <w:sz w:val="24"/>
          <w:szCs w:val="24"/>
          <w:highlight w:val="none"/>
          <w:lang w:val="en-US" w:eastAsia="zh-CN"/>
        </w:rPr>
        <w:t xml:space="preserve">.2 </w:t>
      </w:r>
      <w:r>
        <w:rPr>
          <w:rStyle w:val="20"/>
          <w:rFonts w:hint="eastAsia" w:ascii="宋体" w:hAnsi="宋体" w:eastAsia="宋体" w:cs="宋体"/>
          <w:b/>
          <w:bCs/>
          <w:color w:val="auto"/>
          <w:kern w:val="0"/>
          <w:sz w:val="24"/>
          <w:szCs w:val="24"/>
          <w:highlight w:val="none"/>
          <w:lang w:eastAsia="zh-CN"/>
        </w:rPr>
        <w:t>资质要求</w:t>
      </w:r>
    </w:p>
    <w:p w14:paraId="01339CA3">
      <w:pPr>
        <w:pStyle w:val="24"/>
        <w:keepNext w:val="0"/>
        <w:keepLines w:val="0"/>
        <w:pageBreakBefore w:val="0"/>
        <w:widowControl w:val="0"/>
        <w:kinsoku/>
        <w:overflowPunct/>
        <w:topLinePunct w:val="0"/>
        <w:autoSpaceDE/>
        <w:autoSpaceDN/>
        <w:bidi w:val="0"/>
        <w:adjustRightInd/>
        <w:snapToGrid/>
        <w:spacing w:line="360" w:lineRule="auto"/>
        <w:ind w:right="0" w:rightChars="0" w:firstLine="480" w:firstLineChars="200"/>
        <w:jc w:val="left"/>
        <w:rPr>
          <w:rStyle w:val="20"/>
          <w:rFonts w:hint="eastAsia" w:ascii="宋体" w:hAnsi="宋体" w:eastAsia="宋体" w:cs="宋体"/>
          <w:b w:val="0"/>
          <w:bCs w:val="0"/>
          <w:color w:val="auto"/>
          <w:kern w:val="0"/>
          <w:sz w:val="24"/>
          <w:szCs w:val="24"/>
          <w:highlight w:val="none"/>
          <w:lang w:eastAsia="zh-CN"/>
        </w:rPr>
      </w:pPr>
      <w:r>
        <w:rPr>
          <w:rStyle w:val="20"/>
          <w:rFonts w:hint="eastAsia" w:ascii="宋体" w:hAnsi="宋体" w:eastAsia="宋体" w:cs="宋体"/>
          <w:b w:val="0"/>
          <w:bCs w:val="0"/>
          <w:color w:val="auto"/>
          <w:kern w:val="0"/>
          <w:sz w:val="24"/>
          <w:szCs w:val="24"/>
          <w:highlight w:val="none"/>
          <w:lang w:eastAsia="zh-CN"/>
        </w:rPr>
        <w:t>2.</w:t>
      </w:r>
      <w:r>
        <w:rPr>
          <w:rStyle w:val="20"/>
          <w:rFonts w:hint="eastAsia" w:ascii="宋体" w:hAnsi="宋体" w:eastAsia="宋体" w:cs="宋体"/>
          <w:b w:val="0"/>
          <w:bCs w:val="0"/>
          <w:color w:val="auto"/>
          <w:kern w:val="0"/>
          <w:sz w:val="24"/>
          <w:szCs w:val="24"/>
          <w:highlight w:val="none"/>
          <w:lang w:val="en-US" w:eastAsia="zh-CN"/>
        </w:rPr>
        <w:t>2.</w:t>
      </w:r>
      <w:r>
        <w:rPr>
          <w:rStyle w:val="20"/>
          <w:rFonts w:hint="eastAsia" w:ascii="宋体" w:hAnsi="宋体" w:eastAsia="宋体" w:cs="宋体"/>
          <w:b w:val="0"/>
          <w:bCs w:val="0"/>
          <w:color w:val="auto"/>
          <w:kern w:val="0"/>
          <w:sz w:val="24"/>
          <w:szCs w:val="24"/>
          <w:highlight w:val="none"/>
          <w:lang w:eastAsia="zh-CN"/>
        </w:rPr>
        <w:t>1 投标人须具备独立法人资格，按国家法律经营。</w:t>
      </w:r>
    </w:p>
    <w:p w14:paraId="64150245">
      <w:pPr>
        <w:pStyle w:val="24"/>
        <w:keepNext w:val="0"/>
        <w:keepLines w:val="0"/>
        <w:pageBreakBefore w:val="0"/>
        <w:widowControl w:val="0"/>
        <w:kinsoku/>
        <w:overflowPunct/>
        <w:topLinePunct w:val="0"/>
        <w:autoSpaceDE/>
        <w:autoSpaceDN/>
        <w:bidi w:val="0"/>
        <w:adjustRightInd/>
        <w:snapToGrid/>
        <w:spacing w:line="360" w:lineRule="auto"/>
        <w:ind w:right="0" w:rightChars="0" w:firstLine="480" w:firstLineChars="200"/>
        <w:jc w:val="left"/>
        <w:rPr>
          <w:rStyle w:val="20"/>
          <w:rFonts w:hint="eastAsia" w:ascii="宋体" w:hAnsi="宋体" w:eastAsia="宋体" w:cs="宋体"/>
          <w:b w:val="0"/>
          <w:bCs w:val="0"/>
          <w:color w:val="auto"/>
          <w:kern w:val="0"/>
          <w:sz w:val="24"/>
          <w:szCs w:val="24"/>
          <w:highlight w:val="none"/>
          <w:lang w:eastAsia="zh-CN"/>
        </w:rPr>
      </w:pPr>
      <w:r>
        <w:rPr>
          <w:rStyle w:val="20"/>
          <w:rFonts w:hint="eastAsia" w:ascii="宋体" w:hAnsi="宋体" w:eastAsia="宋体" w:cs="宋体"/>
          <w:b w:val="0"/>
          <w:bCs w:val="0"/>
          <w:color w:val="auto"/>
          <w:kern w:val="0"/>
          <w:sz w:val="24"/>
          <w:szCs w:val="24"/>
          <w:highlight w:val="none"/>
          <w:lang w:eastAsia="zh-CN"/>
        </w:rPr>
        <w:t>2.2</w:t>
      </w:r>
      <w:r>
        <w:rPr>
          <w:rStyle w:val="20"/>
          <w:rFonts w:hint="eastAsia" w:ascii="宋体" w:hAnsi="宋体" w:eastAsia="宋体" w:cs="宋体"/>
          <w:b w:val="0"/>
          <w:bCs w:val="0"/>
          <w:color w:val="auto"/>
          <w:kern w:val="0"/>
          <w:sz w:val="24"/>
          <w:szCs w:val="24"/>
          <w:highlight w:val="none"/>
          <w:lang w:val="en-US" w:eastAsia="zh-CN"/>
        </w:rPr>
        <w:t>.2</w:t>
      </w:r>
      <w:r>
        <w:rPr>
          <w:rStyle w:val="20"/>
          <w:rFonts w:hint="eastAsia" w:ascii="宋体" w:hAnsi="宋体" w:eastAsia="宋体" w:cs="宋体"/>
          <w:b w:val="0"/>
          <w:bCs w:val="0"/>
          <w:color w:val="auto"/>
          <w:kern w:val="0"/>
          <w:sz w:val="24"/>
          <w:szCs w:val="24"/>
          <w:highlight w:val="none"/>
          <w:lang w:eastAsia="zh-CN"/>
        </w:rPr>
        <w:t xml:space="preserve"> </w:t>
      </w:r>
      <w:r>
        <w:rPr>
          <w:rFonts w:hint="eastAsia" w:ascii="宋体" w:hAnsi="宋体" w:eastAsia="宋体" w:cs="宋体"/>
          <w:snapToGrid w:val="0"/>
          <w:color w:val="auto"/>
          <w:kern w:val="0"/>
          <w:sz w:val="24"/>
          <w:szCs w:val="24"/>
          <w:highlight w:val="none"/>
          <w:lang w:eastAsia="zh-CN"/>
        </w:rPr>
        <w:t>投标人（组成联合体时指联合体</w:t>
      </w:r>
      <w:r>
        <w:rPr>
          <w:rFonts w:hint="eastAsia" w:ascii="宋体" w:hAnsi="宋体" w:eastAsia="宋体" w:cs="宋体"/>
          <w:snapToGrid w:val="0"/>
          <w:color w:val="auto"/>
          <w:kern w:val="0"/>
          <w:sz w:val="24"/>
          <w:szCs w:val="24"/>
          <w:highlight w:val="none"/>
          <w:lang w:val="en-US" w:eastAsia="zh-CN"/>
        </w:rPr>
        <w:t>双</w:t>
      </w:r>
      <w:r>
        <w:rPr>
          <w:rFonts w:hint="eastAsia" w:ascii="宋体" w:hAnsi="宋体" w:eastAsia="宋体" w:cs="宋体"/>
          <w:snapToGrid w:val="0"/>
          <w:color w:val="auto"/>
          <w:kern w:val="0"/>
          <w:sz w:val="24"/>
          <w:szCs w:val="24"/>
          <w:highlight w:val="none"/>
          <w:lang w:eastAsia="zh-CN"/>
        </w:rPr>
        <w:t>方）须持有建设行政主管部门颁发的企业资质证书及安全生产许可证</w:t>
      </w:r>
      <w:r>
        <w:rPr>
          <w:rFonts w:hint="eastAsia" w:ascii="宋体" w:hAnsi="宋体" w:eastAsia="宋体" w:cs="宋体"/>
          <w:snapToGrid w:val="0"/>
          <w:color w:val="auto"/>
          <w:kern w:val="0"/>
          <w:sz w:val="24"/>
          <w:szCs w:val="24"/>
          <w:highlight w:val="none"/>
        </w:rPr>
        <w:t>。</w:t>
      </w:r>
    </w:p>
    <w:p w14:paraId="0D2DB6BF">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240" w:firstLineChars="100"/>
        <w:textAlignment w:val="auto"/>
        <w:rPr>
          <w:rFonts w:hint="eastAsia" w:ascii="宋体" w:hAnsi="宋体" w:eastAsia="宋体" w:cs="宋体"/>
          <w:color w:val="auto"/>
          <w:sz w:val="24"/>
          <w:szCs w:val="24"/>
          <w:highlight w:val="none"/>
        </w:rPr>
      </w:pPr>
      <w:r>
        <w:rPr>
          <w:rStyle w:val="20"/>
          <w:rFonts w:hint="eastAsia" w:ascii="宋体" w:hAnsi="宋体" w:eastAsia="宋体" w:cs="宋体"/>
          <w:b w:val="0"/>
          <w:bCs w:val="0"/>
          <w:color w:val="auto"/>
          <w:kern w:val="0"/>
          <w:sz w:val="24"/>
          <w:szCs w:val="24"/>
          <w:highlight w:val="none"/>
          <w:lang w:eastAsia="zh-CN"/>
        </w:rPr>
        <w:t>2.</w:t>
      </w:r>
      <w:r>
        <w:rPr>
          <w:rStyle w:val="20"/>
          <w:rFonts w:hint="eastAsia" w:ascii="宋体" w:hAnsi="宋体" w:eastAsia="宋体" w:cs="宋体"/>
          <w:b w:val="0"/>
          <w:bCs w:val="0"/>
          <w:color w:val="auto"/>
          <w:kern w:val="0"/>
          <w:sz w:val="24"/>
          <w:szCs w:val="24"/>
          <w:highlight w:val="none"/>
          <w:lang w:val="en-US" w:eastAsia="zh-CN"/>
        </w:rPr>
        <w:t>2.</w:t>
      </w:r>
      <w:r>
        <w:rPr>
          <w:rStyle w:val="20"/>
          <w:rFonts w:hint="eastAsia" w:ascii="宋体" w:hAnsi="宋体" w:eastAsia="宋体" w:cs="宋体"/>
          <w:b w:val="0"/>
          <w:bCs w:val="0"/>
          <w:color w:val="auto"/>
          <w:kern w:val="0"/>
          <w:sz w:val="24"/>
          <w:szCs w:val="24"/>
          <w:highlight w:val="none"/>
          <w:lang w:eastAsia="zh-CN"/>
        </w:rPr>
        <w:t>3 投标人须具备以下资质：</w:t>
      </w:r>
      <w:r>
        <w:rPr>
          <w:rFonts w:hint="eastAsia" w:ascii="宋体" w:hAnsi="宋体" w:eastAsia="宋体" w:cs="宋体"/>
          <w:b/>
          <w:bCs/>
          <w:snapToGrid w:val="0"/>
          <w:color w:val="auto"/>
          <w:kern w:val="0"/>
          <w:sz w:val="24"/>
          <w:szCs w:val="24"/>
          <w:highlight w:val="none"/>
          <w:u w:val="single"/>
          <w:lang w:eastAsia="zh-CN"/>
        </w:rPr>
        <w:t>参加投标的投标人可以是单一独立法人或由不超过两家独立法人组成的联合体（必须注明其中一家为牵头人），联合体</w:t>
      </w:r>
      <w:r>
        <w:rPr>
          <w:rFonts w:hint="eastAsia" w:ascii="宋体" w:hAnsi="宋体" w:eastAsia="宋体" w:cs="宋体"/>
          <w:b/>
          <w:bCs/>
          <w:snapToGrid w:val="0"/>
          <w:color w:val="auto"/>
          <w:kern w:val="0"/>
          <w:sz w:val="24"/>
          <w:szCs w:val="24"/>
          <w:highlight w:val="none"/>
          <w:u w:val="single"/>
          <w:lang w:val="en-US" w:eastAsia="zh-CN"/>
        </w:rPr>
        <w:t>双</w:t>
      </w:r>
      <w:r>
        <w:rPr>
          <w:rFonts w:hint="eastAsia" w:ascii="宋体" w:hAnsi="宋体" w:eastAsia="宋体" w:cs="宋体"/>
          <w:b/>
          <w:bCs/>
          <w:snapToGrid w:val="0"/>
          <w:color w:val="auto"/>
          <w:kern w:val="0"/>
          <w:sz w:val="24"/>
          <w:szCs w:val="24"/>
          <w:highlight w:val="none"/>
          <w:u w:val="single"/>
          <w:lang w:eastAsia="zh-CN"/>
        </w:rPr>
        <w:t>方不得再以自己的名义单独申请，也不得同时参加两个或两个以上的联合体进行本项目的投标。</w:t>
      </w:r>
      <w:r>
        <w:rPr>
          <w:rFonts w:hint="eastAsia" w:ascii="宋体" w:hAnsi="宋体" w:eastAsia="宋体" w:cs="宋体"/>
          <w:b/>
          <w:bCs/>
          <w:snapToGrid w:val="0"/>
          <w:color w:val="auto"/>
          <w:kern w:val="0"/>
          <w:sz w:val="24"/>
          <w:szCs w:val="24"/>
          <w:highlight w:val="none"/>
          <w:u w:val="single"/>
          <w:lang w:val="en-US" w:eastAsia="zh-CN"/>
        </w:rPr>
        <w:t>投标人须具备建设行政主管部门颁发的市政公用工程施工总承包二级以上（含二级）资质（组成联合体投标的指联合体双方均须具备）。</w:t>
      </w:r>
    </w:p>
    <w:p w14:paraId="1396A9AD">
      <w:pPr>
        <w:keepNext w:val="0"/>
        <w:keepLines w:val="0"/>
        <w:pageBreakBefore w:val="0"/>
        <w:wordWrap w:val="0"/>
        <w:overflowPunct/>
        <w:topLinePunct w:val="0"/>
        <w:bidi w:val="0"/>
        <w:adjustRightInd w:val="0"/>
        <w:snapToGrid w:val="0"/>
        <w:spacing w:line="360" w:lineRule="auto"/>
        <w:ind w:left="0" w:right="0" w:rightChars="0"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keepNext w:val="0"/>
        <w:keepLines w:val="0"/>
        <w:pageBreakBefore w:val="0"/>
        <w:wordWrap w:val="0"/>
        <w:overflowPunct/>
        <w:topLinePunct w:val="0"/>
        <w:bidi w:val="0"/>
        <w:adjustRightInd w:val="0"/>
        <w:snapToGrid w:val="0"/>
        <w:spacing w:line="360" w:lineRule="auto"/>
        <w:ind w:left="0" w:right="0" w:rightChars="0"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6C531DE2">
      <w:pPr>
        <w:keepNext w:val="0"/>
        <w:keepLines w:val="0"/>
        <w:pageBreakBefore w:val="0"/>
        <w:wordWrap w:val="0"/>
        <w:overflowPunct/>
        <w:topLinePunct w:val="0"/>
        <w:bidi w:val="0"/>
        <w:adjustRightInd w:val="0"/>
        <w:snapToGrid w:val="0"/>
        <w:spacing w:line="360" w:lineRule="auto"/>
        <w:ind w:left="0" w:right="0" w:rightChars="0"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2.3.1 </w:t>
      </w:r>
      <w:r>
        <w:rPr>
          <w:rFonts w:hint="eastAsia" w:asciiTheme="minorEastAsia" w:hAnsiTheme="minorEastAsia" w:eastAsiaTheme="minorEastAsia" w:cstheme="minorEastAsia"/>
          <w:snapToGrid w:val="0"/>
          <w:color w:val="auto"/>
          <w:kern w:val="0"/>
          <w:sz w:val="24"/>
          <w:szCs w:val="24"/>
          <w:highlight w:val="none"/>
          <w:lang w:val="en-US" w:eastAsia="zh-CN"/>
        </w:rPr>
        <w:t>拟派项目经理为</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市政公用工程</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val="en-US" w:eastAsia="zh-CN"/>
        </w:rPr>
        <w:t>专业一级注册建造师，应持有住建部门印发的在使用有效期内的有效电子注册证书。同时均须具备有效安全生产考核合格证明（B 证），且未担任其他在施（包括已中标未开工、已开工未竣工）建设工程项目的项目经理。</w:t>
      </w:r>
    </w:p>
    <w:p w14:paraId="736A2627">
      <w:pPr>
        <w:keepNext w:val="0"/>
        <w:keepLines w:val="0"/>
        <w:pageBreakBefore w:val="0"/>
        <w:wordWrap w:val="0"/>
        <w:overflowPunct/>
        <w:topLinePunct w:val="0"/>
        <w:bidi w:val="0"/>
        <w:adjustRightInd w:val="0"/>
        <w:snapToGrid w:val="0"/>
        <w:spacing w:line="360" w:lineRule="auto"/>
        <w:ind w:left="0" w:right="0" w:rightChars="0"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2.3.2 </w:t>
      </w:r>
      <w:r>
        <w:rPr>
          <w:rFonts w:hint="eastAsia" w:asciiTheme="minorEastAsia" w:hAnsiTheme="minorEastAsia" w:eastAsiaTheme="minorEastAsia" w:cstheme="minorEastAsia"/>
          <w:snapToGrid w:val="0"/>
          <w:color w:val="auto"/>
          <w:kern w:val="0"/>
          <w:sz w:val="24"/>
          <w:szCs w:val="24"/>
          <w:highlight w:val="none"/>
          <w:lang w:eastAsia="zh-CN"/>
        </w:rPr>
        <w:t>拟派项目技术负责人须具备</w:t>
      </w:r>
      <w:r>
        <w:rPr>
          <w:rFonts w:hint="eastAsia" w:asciiTheme="minorEastAsia" w:hAnsiTheme="minorEastAsia" w:eastAsiaTheme="minorEastAsia" w:cstheme="minorEastAsia"/>
          <w:snapToGrid w:val="0"/>
          <w:color w:val="auto"/>
          <w:kern w:val="0"/>
          <w:sz w:val="24"/>
          <w:szCs w:val="24"/>
          <w:highlight w:val="none"/>
          <w:u w:val="single"/>
          <w:lang w:val="en-US" w:eastAsia="zh-CN"/>
        </w:rPr>
        <w:t>中</w:t>
      </w:r>
      <w:r>
        <w:rPr>
          <w:rFonts w:hint="eastAsia" w:asciiTheme="minorEastAsia" w:hAnsiTheme="minorEastAsia" w:eastAsiaTheme="minorEastAsia" w:cstheme="minorEastAsia"/>
          <w:snapToGrid w:val="0"/>
          <w:color w:val="auto"/>
          <w:kern w:val="0"/>
          <w:sz w:val="24"/>
          <w:szCs w:val="24"/>
          <w:highlight w:val="none"/>
          <w:u w:val="single"/>
          <w:lang w:eastAsia="zh-CN"/>
        </w:rPr>
        <w:t>级</w:t>
      </w:r>
      <w:r>
        <w:rPr>
          <w:rFonts w:hint="eastAsia" w:asciiTheme="minorEastAsia" w:hAnsiTheme="minorEastAsia" w:eastAsiaTheme="minorEastAsia" w:cstheme="minorEastAsia"/>
          <w:snapToGrid w:val="0"/>
          <w:color w:val="auto"/>
          <w:kern w:val="0"/>
          <w:sz w:val="24"/>
          <w:szCs w:val="24"/>
          <w:highlight w:val="none"/>
          <w:lang w:eastAsia="zh-CN"/>
        </w:rPr>
        <w:t>以上（含</w:t>
      </w:r>
      <w:r>
        <w:rPr>
          <w:rFonts w:hint="eastAsia" w:asciiTheme="minorEastAsia" w:hAnsiTheme="minorEastAsia" w:eastAsiaTheme="minorEastAsia" w:cstheme="minorEastAsia"/>
          <w:snapToGrid w:val="0"/>
          <w:color w:val="auto"/>
          <w:kern w:val="0"/>
          <w:sz w:val="24"/>
          <w:szCs w:val="24"/>
          <w:highlight w:val="none"/>
          <w:u w:val="single"/>
          <w:lang w:val="en-US" w:eastAsia="zh-CN"/>
        </w:rPr>
        <w:t>中</w:t>
      </w:r>
      <w:r>
        <w:rPr>
          <w:rFonts w:hint="eastAsia" w:asciiTheme="minorEastAsia" w:hAnsiTheme="minorEastAsia" w:eastAsiaTheme="minorEastAsia" w:cstheme="minorEastAsia"/>
          <w:snapToGrid w:val="0"/>
          <w:color w:val="auto"/>
          <w:kern w:val="0"/>
          <w:sz w:val="24"/>
          <w:szCs w:val="24"/>
          <w:highlight w:val="none"/>
          <w:u w:val="single"/>
          <w:lang w:eastAsia="zh-CN"/>
        </w:rPr>
        <w:t>级</w:t>
      </w:r>
      <w:r>
        <w:rPr>
          <w:rFonts w:hint="eastAsia" w:asciiTheme="minorEastAsia" w:hAnsiTheme="minorEastAsia" w:eastAsiaTheme="minorEastAsia" w:cstheme="minorEastAsia"/>
          <w:snapToGrid w:val="0"/>
          <w:color w:val="auto"/>
          <w:kern w:val="0"/>
          <w:sz w:val="24"/>
          <w:szCs w:val="24"/>
          <w:highlight w:val="none"/>
          <w:lang w:eastAsia="zh-CN"/>
        </w:rPr>
        <w:t>）技术职称</w:t>
      </w:r>
      <w:r>
        <w:rPr>
          <w:rFonts w:hint="eastAsia" w:ascii="宋体" w:hAnsi="宋体" w:eastAsia="宋体" w:cs="宋体"/>
          <w:b w:val="0"/>
          <w:bCs w:val="0"/>
          <w:color w:val="auto"/>
          <w:sz w:val="24"/>
          <w:szCs w:val="24"/>
          <w:highlight w:val="none"/>
          <w:lang w:val="en-US" w:eastAsia="zh-CN"/>
        </w:rPr>
        <w:t>。</w:t>
      </w:r>
    </w:p>
    <w:p w14:paraId="3C9096CE">
      <w:pPr>
        <w:keepNext w:val="0"/>
        <w:keepLines w:val="0"/>
        <w:pageBreakBefore w:val="0"/>
        <w:wordWrap w:val="0"/>
        <w:overflowPunct/>
        <w:topLinePunct w:val="0"/>
        <w:bidi w:val="0"/>
        <w:adjustRightInd w:val="0"/>
        <w:snapToGrid w:val="0"/>
        <w:spacing w:line="360" w:lineRule="auto"/>
        <w:ind w:left="0" w:right="0" w:rightChars="0"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拟派专职安全生产管理人员须具备有效安全生产考核合格证明（C证，安全生产考核合格证书或“广东省建筑施工企业管理人员安全生产考核信息系统”考核合格信息打印页），且不少于1人。 </w:t>
      </w:r>
    </w:p>
    <w:p w14:paraId="711B4950">
      <w:pPr>
        <w:keepNext w:val="0"/>
        <w:keepLines w:val="0"/>
        <w:pageBreakBefore w:val="0"/>
        <w:wordWrap w:val="0"/>
        <w:overflowPunct/>
        <w:topLinePunct w:val="0"/>
        <w:bidi w:val="0"/>
        <w:adjustRightInd w:val="0"/>
        <w:snapToGrid w:val="0"/>
        <w:spacing w:line="360" w:lineRule="auto"/>
        <w:ind w:left="0" w:right="0" w:rightChars="0"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B0DD0FC">
      <w:pPr>
        <w:keepNext w:val="0"/>
        <w:keepLines w:val="0"/>
        <w:pageBreakBefore w:val="0"/>
        <w:overflowPunct/>
        <w:topLinePunct w:val="0"/>
        <w:bidi w:val="0"/>
        <w:adjustRightInd w:val="0"/>
        <w:snapToGrid w:val="0"/>
        <w:spacing w:line="360" w:lineRule="auto"/>
        <w:ind w:left="0" w:right="0" w:rightChars="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198E7E83">
      <w:pPr>
        <w:keepNext w:val="0"/>
        <w:keepLines w:val="0"/>
        <w:pageBreakBefore w:val="0"/>
        <w:overflowPunct/>
        <w:topLinePunct w:val="0"/>
        <w:bidi w:val="0"/>
        <w:adjustRightInd w:val="0"/>
        <w:snapToGrid w:val="0"/>
        <w:spacing w:line="360" w:lineRule="auto"/>
        <w:ind w:left="0" w:right="0" w:rightChars="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keepNext w:val="0"/>
        <w:keepLines w:val="0"/>
        <w:pageBreakBefore w:val="0"/>
        <w:overflowPunct/>
        <w:topLinePunct w:val="0"/>
        <w:bidi w:val="0"/>
        <w:adjustRightInd w:val="0"/>
        <w:snapToGrid w:val="0"/>
        <w:spacing w:line="360" w:lineRule="auto"/>
        <w:ind w:left="0" w:right="0" w:rightChars="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keepNext w:val="0"/>
        <w:keepLines w:val="0"/>
        <w:pageBreakBefore w:val="0"/>
        <w:overflowPunct/>
        <w:topLinePunct w:val="0"/>
        <w:bidi w:val="0"/>
        <w:adjustRightInd w:val="0"/>
        <w:snapToGrid w:val="0"/>
        <w:spacing w:line="360" w:lineRule="auto"/>
        <w:ind w:left="0" w:right="0" w:rightChars="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keepNext w:val="0"/>
        <w:keepLines w:val="0"/>
        <w:pageBreakBefore w:val="0"/>
        <w:overflowPunct/>
        <w:topLinePunct w:val="0"/>
        <w:bidi w:val="0"/>
        <w:adjustRightInd w:val="0"/>
        <w:snapToGrid w:val="0"/>
        <w:spacing w:line="360" w:lineRule="auto"/>
        <w:ind w:left="0" w:right="0" w:rightChars="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keepNext w:val="0"/>
        <w:keepLines w:val="0"/>
        <w:pageBreakBefore w:val="0"/>
        <w:overflowPunct/>
        <w:topLinePunct w:val="0"/>
        <w:bidi w:val="0"/>
        <w:adjustRightInd w:val="0"/>
        <w:snapToGrid w:val="0"/>
        <w:spacing w:line="360" w:lineRule="auto"/>
        <w:ind w:left="0" w:right="0" w:rightChars="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keepNext w:val="0"/>
        <w:keepLines w:val="0"/>
        <w:pageBreakBefore w:val="0"/>
        <w:overflowPunct/>
        <w:topLinePunct w:val="0"/>
        <w:bidi w:val="0"/>
        <w:adjustRightInd w:val="0"/>
        <w:snapToGrid w:val="0"/>
        <w:spacing w:line="360" w:lineRule="auto"/>
        <w:ind w:left="0" w:right="0" w:rightChars="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keepNext w:val="0"/>
        <w:keepLines w:val="0"/>
        <w:pageBreakBefore w:val="0"/>
        <w:overflowPunct/>
        <w:topLinePunct w:val="0"/>
        <w:bidi w:val="0"/>
        <w:adjustRightInd w:val="0"/>
        <w:snapToGrid w:val="0"/>
        <w:spacing w:line="360" w:lineRule="auto"/>
        <w:ind w:left="0" w:right="0" w:rightChars="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keepNext w:val="0"/>
        <w:keepLines w:val="0"/>
        <w:pageBreakBefore w:val="0"/>
        <w:overflowPunct/>
        <w:topLinePunct w:val="0"/>
        <w:bidi w:val="0"/>
        <w:adjustRightInd w:val="0"/>
        <w:snapToGrid w:val="0"/>
        <w:spacing w:line="360" w:lineRule="auto"/>
        <w:ind w:left="0" w:right="0" w:rightChars="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keepNext w:val="0"/>
        <w:keepLines w:val="0"/>
        <w:pageBreakBefore w:val="0"/>
        <w:overflowPunct/>
        <w:topLinePunct w:val="0"/>
        <w:bidi w:val="0"/>
        <w:adjustRightInd w:val="0"/>
        <w:snapToGrid w:val="0"/>
        <w:spacing w:line="360" w:lineRule="auto"/>
        <w:ind w:left="0" w:right="0" w:rightChars="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keepNext w:val="0"/>
        <w:keepLines w:val="0"/>
        <w:pageBreakBefore w:val="0"/>
        <w:overflowPunct/>
        <w:topLinePunct w:val="0"/>
        <w:bidi w:val="0"/>
        <w:adjustRightInd w:val="0"/>
        <w:snapToGrid w:val="0"/>
        <w:spacing w:line="360" w:lineRule="auto"/>
        <w:ind w:left="0" w:right="0" w:rightChars="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keepNext w:val="0"/>
        <w:keepLines w:val="0"/>
        <w:pageBreakBefore w:val="0"/>
        <w:overflowPunct/>
        <w:topLinePunct w:val="0"/>
        <w:bidi w:val="0"/>
        <w:adjustRightInd w:val="0"/>
        <w:snapToGrid w:val="0"/>
        <w:spacing w:line="360" w:lineRule="auto"/>
        <w:ind w:left="0" w:right="0" w:rightChars="0"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keepNext w:val="0"/>
        <w:keepLines w:val="0"/>
        <w:pageBreakBefore w:val="0"/>
        <w:overflowPunct/>
        <w:topLinePunct w:val="0"/>
        <w:bidi w:val="0"/>
        <w:adjustRightInd w:val="0"/>
        <w:snapToGrid w:val="0"/>
        <w:spacing w:line="360" w:lineRule="auto"/>
        <w:ind w:left="0" w:right="0" w:rightChars="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keepNext w:val="0"/>
        <w:keepLines w:val="0"/>
        <w:pageBreakBefore w:val="0"/>
        <w:overflowPunct/>
        <w:topLinePunct w:val="0"/>
        <w:bidi w:val="0"/>
        <w:adjustRightInd w:val="0"/>
        <w:snapToGrid w:val="0"/>
        <w:spacing w:line="360" w:lineRule="auto"/>
        <w:ind w:left="0" w:right="0" w:rightChars="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keepNext w:val="0"/>
        <w:keepLines w:val="0"/>
        <w:pageBreakBefore w:val="0"/>
        <w:overflowPunct/>
        <w:topLinePunct w:val="0"/>
        <w:bidi w:val="0"/>
        <w:adjustRightInd w:val="0"/>
        <w:snapToGrid w:val="0"/>
        <w:spacing w:line="360" w:lineRule="auto"/>
        <w:ind w:left="0" w:right="0" w:rightChars="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2"/>
        <w:keepNext w:val="0"/>
        <w:keepLines w:val="0"/>
        <w:pageBreakBefore w:val="0"/>
        <w:wordWrap w:val="0"/>
        <w:overflowPunct/>
        <w:topLinePunct w:val="0"/>
        <w:bidi w:val="0"/>
        <w:adjustRightInd w:val="0"/>
        <w:snapToGrid w:val="0"/>
        <w:spacing w:line="360" w:lineRule="auto"/>
        <w:ind w:left="0" w:right="0" w:rightChars="0" w:firstLine="476" w:firstLineChars="20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2"/>
        <w:keepNext w:val="0"/>
        <w:keepLines w:val="0"/>
        <w:pageBreakBefore w:val="0"/>
        <w:wordWrap w:val="0"/>
        <w:overflowPunct/>
        <w:topLinePunct w:val="0"/>
        <w:bidi w:val="0"/>
        <w:adjustRightInd w:val="0"/>
        <w:snapToGrid w:val="0"/>
        <w:spacing w:line="360" w:lineRule="auto"/>
        <w:ind w:left="0" w:right="0" w:rightChars="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0B021B1">
      <w:pPr>
        <w:keepNext w:val="0"/>
        <w:keepLines w:val="0"/>
        <w:pageBreakBefore w:val="0"/>
        <w:overflowPunct/>
        <w:topLinePunct w:val="0"/>
        <w:bidi w:val="0"/>
        <w:adjustRightInd w:val="0"/>
        <w:snapToGrid w:val="0"/>
        <w:spacing w:line="360" w:lineRule="auto"/>
        <w:ind w:left="0" w:right="0" w:rightChars="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keepNext w:val="0"/>
        <w:keepLines w:val="0"/>
        <w:pageBreakBefore w:val="0"/>
        <w:overflowPunct/>
        <w:topLinePunct w:val="0"/>
        <w:bidi w:val="0"/>
        <w:adjustRightInd w:val="0"/>
        <w:snapToGrid w:val="0"/>
        <w:spacing w:line="360" w:lineRule="auto"/>
        <w:ind w:left="0" w:right="0" w:rightChars="0" w:firstLine="48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4"/>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4471"/>
        <w:gridCol w:w="4102"/>
      </w:tblGrid>
      <w:tr w14:paraId="3076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694A6BC8">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序号</w:t>
            </w:r>
          </w:p>
        </w:tc>
        <w:tc>
          <w:tcPr>
            <w:tcW w:w="4471" w:type="dxa"/>
            <w:vAlign w:val="center"/>
          </w:tcPr>
          <w:p w14:paraId="04B025F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单位名称</w:t>
            </w:r>
          </w:p>
        </w:tc>
        <w:tc>
          <w:tcPr>
            <w:tcW w:w="4102" w:type="dxa"/>
            <w:vAlign w:val="center"/>
          </w:tcPr>
          <w:p w14:paraId="35E4854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拒绝原因</w:t>
            </w:r>
          </w:p>
        </w:tc>
      </w:tr>
      <w:tr w14:paraId="7EAC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02AE2E34">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p>
        </w:tc>
        <w:tc>
          <w:tcPr>
            <w:tcW w:w="4471" w:type="dxa"/>
            <w:vAlign w:val="center"/>
          </w:tcPr>
          <w:p w14:paraId="65193855">
            <w:pPr>
              <w:pStyle w:val="22"/>
              <w:wordWrap w:val="0"/>
              <w:adjustRightInd w:val="0"/>
              <w:snapToGrid w:val="0"/>
              <w:spacing w:line="340" w:lineRule="exact"/>
              <w:jc w:val="center"/>
              <w:rPr>
                <w:rFonts w:hint="eastAsia" w:ascii="宋体" w:hAnsi="宋体" w:eastAsia="宋体" w:cs="宋体"/>
                <w:color w:val="auto"/>
                <w:sz w:val="24"/>
                <w:szCs w:val="24"/>
                <w:highlight w:val="none"/>
                <w:lang w:val="en-US" w:eastAsia="zh-CN"/>
              </w:rPr>
            </w:pPr>
            <w:r>
              <w:rPr>
                <w:rFonts w:hint="eastAsia" w:ascii="宋体" w:hAnsi="宋体" w:cs="宋体"/>
                <w:snapToGrid w:val="0"/>
                <w:color w:val="auto"/>
                <w:kern w:val="0"/>
                <w:sz w:val="24"/>
                <w:szCs w:val="24"/>
                <w:highlight w:val="none"/>
                <w:lang w:eastAsia="zh-CN"/>
              </w:rPr>
              <w:t>韶关市曲江区土地储备中心</w:t>
            </w:r>
          </w:p>
        </w:tc>
        <w:tc>
          <w:tcPr>
            <w:tcW w:w="4102" w:type="dxa"/>
            <w:vAlign w:val="center"/>
          </w:tcPr>
          <w:p w14:paraId="74874F27">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为本招标项目的招标人</w:t>
            </w:r>
          </w:p>
        </w:tc>
      </w:tr>
      <w:tr w14:paraId="5852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03866D64">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2</w:t>
            </w:r>
          </w:p>
        </w:tc>
        <w:tc>
          <w:tcPr>
            <w:tcW w:w="4471" w:type="dxa"/>
            <w:vAlign w:val="center"/>
          </w:tcPr>
          <w:p w14:paraId="62B0D81F">
            <w:pPr>
              <w:pStyle w:val="22"/>
              <w:wordWrap w:val="0"/>
              <w:adjustRightInd w:val="0"/>
              <w:snapToGrid w:val="0"/>
              <w:spacing w:line="340" w:lineRule="exact"/>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广东顶骐建设工程咨询有限公司</w:t>
            </w:r>
          </w:p>
        </w:tc>
        <w:tc>
          <w:tcPr>
            <w:tcW w:w="4102" w:type="dxa"/>
            <w:vAlign w:val="center"/>
          </w:tcPr>
          <w:p w14:paraId="2D7AE2F8">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为本招标项目的招标代理机构</w:t>
            </w:r>
          </w:p>
        </w:tc>
      </w:tr>
      <w:tr w14:paraId="52B1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7B69EA9B">
            <w:pPr>
              <w:pStyle w:val="22"/>
              <w:wordWrap w:val="0"/>
              <w:adjustRightInd w:val="0"/>
              <w:snapToGrid w:val="0"/>
              <w:spacing w:line="34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3</w:t>
            </w:r>
          </w:p>
        </w:tc>
        <w:tc>
          <w:tcPr>
            <w:tcW w:w="4471" w:type="dxa"/>
            <w:vAlign w:val="center"/>
          </w:tcPr>
          <w:p w14:paraId="1D9C1895">
            <w:pPr>
              <w:pStyle w:val="22"/>
              <w:wordWrap w:val="0"/>
              <w:adjustRightInd w:val="0"/>
              <w:snapToGrid w:val="0"/>
              <w:spacing w:line="3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深圳市爱华勘测工程有限公司</w:t>
            </w:r>
          </w:p>
        </w:tc>
        <w:tc>
          <w:tcPr>
            <w:tcW w:w="4102" w:type="dxa"/>
            <w:vAlign w:val="center"/>
          </w:tcPr>
          <w:p w14:paraId="0FEDB35A">
            <w:pPr>
              <w:pStyle w:val="22"/>
              <w:wordWrap w:val="0"/>
              <w:adjustRightInd w:val="0"/>
              <w:snapToGrid w:val="0"/>
              <w:spacing w:line="340" w:lineRule="exact"/>
              <w:jc w:val="center"/>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w:t>
            </w:r>
            <w:r>
              <w:rPr>
                <w:rFonts w:hint="eastAsia" w:ascii="宋体" w:hAnsi="宋体" w:cs="宋体"/>
                <w:snapToGrid w:val="0"/>
                <w:color w:val="auto"/>
                <w:kern w:val="0"/>
                <w:sz w:val="24"/>
                <w:szCs w:val="24"/>
                <w:highlight w:val="none"/>
                <w:lang w:val="en-US" w:eastAsia="zh-CN"/>
              </w:rPr>
              <w:t>设计单位</w:t>
            </w:r>
          </w:p>
        </w:tc>
      </w:tr>
      <w:tr w14:paraId="5007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3F58E3F6">
            <w:pPr>
              <w:bidi w:val="0"/>
              <w:jc w:val="center"/>
              <w:rPr>
                <w:rFonts w:hint="default" w:ascii="宋体" w:hAnsi="宋体" w:eastAsia="宋体" w:cs="宋体"/>
                <w:color w:val="auto"/>
                <w:szCs w:val="24"/>
                <w:highlight w:val="none"/>
                <w:lang w:val="en-US" w:eastAsia="zh-CN"/>
              </w:rPr>
            </w:pPr>
            <w:r>
              <w:rPr>
                <w:rFonts w:hint="eastAsia" w:ascii="宋体" w:hAnsi="宋体" w:eastAsia="宋体" w:cs="宋体"/>
                <w:sz w:val="24"/>
                <w:szCs w:val="24"/>
                <w:lang w:val="en-US" w:eastAsia="zh-CN"/>
              </w:rPr>
              <w:t>4</w:t>
            </w:r>
          </w:p>
        </w:tc>
        <w:tc>
          <w:tcPr>
            <w:tcW w:w="4471" w:type="dxa"/>
            <w:vAlign w:val="center"/>
          </w:tcPr>
          <w:p w14:paraId="4241CE45">
            <w:pPr>
              <w:pStyle w:val="22"/>
              <w:wordWrap w:val="0"/>
              <w:adjustRightInd w:val="0"/>
              <w:snapToGrid w:val="0"/>
              <w:spacing w:line="340" w:lineRule="exact"/>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韶关中一工程造价咨询有限公司</w:t>
            </w:r>
          </w:p>
        </w:tc>
        <w:tc>
          <w:tcPr>
            <w:tcW w:w="4102" w:type="dxa"/>
            <w:vAlign w:val="center"/>
          </w:tcPr>
          <w:p w14:paraId="40CA11E2">
            <w:pPr>
              <w:pStyle w:val="22"/>
              <w:wordWrap w:val="0"/>
              <w:adjustRightInd w:val="0"/>
              <w:snapToGrid w:val="0"/>
              <w:spacing w:line="340" w:lineRule="exact"/>
              <w:jc w:val="center"/>
              <w:rPr>
                <w:rFonts w:hint="default" w:ascii="宋体" w:hAnsi="宋体" w:eastAsia="宋体" w:cs="宋体"/>
                <w:color w:val="auto"/>
                <w:sz w:val="24"/>
                <w:szCs w:val="24"/>
                <w:highlight w:val="none"/>
                <w:lang w:val="en-US" w:eastAsia="zh-CN"/>
              </w:rPr>
            </w:pPr>
            <w:r>
              <w:rPr>
                <w:rFonts w:hint="eastAsia" w:ascii="宋体" w:hAnsi="宋体" w:cs="宋体"/>
                <w:snapToGrid w:val="0"/>
                <w:color w:val="auto"/>
                <w:kern w:val="0"/>
                <w:sz w:val="24"/>
                <w:szCs w:val="24"/>
                <w:highlight w:val="none"/>
                <w:lang w:eastAsia="zh-CN"/>
              </w:rPr>
              <w:t>为本招标项目的造价咨询单位</w:t>
            </w:r>
          </w:p>
        </w:tc>
      </w:tr>
      <w:tr w14:paraId="20960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5A5D589A">
            <w:pPr>
              <w:pStyle w:val="22"/>
              <w:wordWrap w:val="0"/>
              <w:adjustRightInd w:val="0"/>
              <w:snapToGrid w:val="0"/>
              <w:spacing w:line="340" w:lineRule="exact"/>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4471" w:type="dxa"/>
            <w:vAlign w:val="center"/>
          </w:tcPr>
          <w:p w14:paraId="02457F3A">
            <w:pPr>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广东普蓝地理信息服务有限公司</w:t>
            </w:r>
          </w:p>
        </w:tc>
        <w:tc>
          <w:tcPr>
            <w:tcW w:w="4102" w:type="dxa"/>
            <w:vAlign w:val="center"/>
          </w:tcPr>
          <w:p w14:paraId="7C9CDA51">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为本招标项目的</w:t>
            </w:r>
            <w:r>
              <w:rPr>
                <w:rFonts w:hint="eastAsia" w:ascii="宋体" w:hAnsi="宋体" w:eastAsia="宋体" w:cs="宋体"/>
                <w:sz w:val="24"/>
                <w:szCs w:val="24"/>
                <w:lang w:val="en-US" w:eastAsia="zh-CN"/>
              </w:rPr>
              <w:t>测绘单位</w:t>
            </w:r>
          </w:p>
        </w:tc>
      </w:tr>
    </w:tbl>
    <w:p w14:paraId="78BE8D5D">
      <w:pPr>
        <w:spacing w:line="93" w:lineRule="auto"/>
        <w:rPr>
          <w:rFonts w:hint="eastAsia" w:ascii="宋体" w:hAnsi="宋体" w:eastAsia="宋体" w:cs="宋体"/>
          <w:color w:val="auto"/>
          <w:sz w:val="2"/>
          <w:highlight w:val="none"/>
        </w:rPr>
      </w:pPr>
    </w:p>
    <w:p w14:paraId="44FD298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keepNext w:val="0"/>
        <w:keepLines w:val="0"/>
        <w:pageBreakBefore w:val="0"/>
        <w:widowControl/>
        <w:kinsoku w:val="0"/>
        <w:wordWrap/>
        <w:overflowPunct/>
        <w:topLinePunct w:val="0"/>
        <w:autoSpaceDE w:val="0"/>
        <w:autoSpaceDN w:val="0"/>
        <w:bidi w:val="0"/>
        <w:adjustRightInd w:val="0"/>
        <w:snapToGrid w:val="0"/>
        <w:spacing w:line="360" w:lineRule="auto"/>
        <w:ind w:left="0" w:right="99" w:firstLine="476" w:firstLineChars="200"/>
        <w:textAlignment w:val="baseline"/>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66" w:firstLineChars="200"/>
        <w:textAlignment w:val="baseline"/>
        <w:outlineLvl w:val="2"/>
        <w:rPr>
          <w:rFonts w:hint="eastAsia" w:ascii="宋体" w:hAnsi="宋体" w:eastAsia="宋体" w:cs="宋体"/>
          <w:color w:val="auto"/>
          <w:sz w:val="24"/>
          <w:szCs w:val="24"/>
          <w:highlight w:val="none"/>
        </w:rPr>
      </w:pPr>
      <w:bookmarkStart w:id="19" w:name="_Toc21490"/>
      <w:bookmarkStart w:id="20" w:name="_Toc23243"/>
      <w:r>
        <w:rPr>
          <w:rFonts w:hint="eastAsia" w:ascii="宋体" w:hAnsi="宋体" w:eastAsia="宋体" w:cs="宋体"/>
          <w:b/>
          <w:bCs/>
          <w:color w:val="auto"/>
          <w:spacing w:val="-4"/>
          <w:sz w:val="24"/>
          <w:szCs w:val="24"/>
          <w:highlight w:val="none"/>
        </w:rPr>
        <w:t>3</w:t>
      </w:r>
      <w:r>
        <w:rPr>
          <w:rFonts w:hint="eastAsia" w:ascii="宋体" w:hAnsi="宋体" w:eastAsia="宋体" w:cs="宋体"/>
          <w:b/>
          <w:bCs/>
          <w:color w:val="auto"/>
          <w:spacing w:val="-4"/>
          <w:sz w:val="24"/>
          <w:szCs w:val="24"/>
          <w:highlight w:val="none"/>
          <w:lang w:val="en-US" w:eastAsia="zh-CN"/>
        </w:rPr>
        <w:t>.</w:t>
      </w:r>
      <w:r>
        <w:rPr>
          <w:rFonts w:hint="eastAsia" w:ascii="宋体" w:hAnsi="宋体" w:eastAsia="宋体" w:cs="宋体"/>
          <w:b/>
          <w:bCs/>
          <w:color w:val="auto"/>
          <w:spacing w:val="-4"/>
          <w:sz w:val="24"/>
          <w:szCs w:val="24"/>
          <w:highlight w:val="none"/>
        </w:rPr>
        <w:t>招标文件的获取</w:t>
      </w:r>
      <w:bookmarkEnd w:id="19"/>
      <w:bookmarkEnd w:id="20"/>
    </w:p>
    <w:p w14:paraId="6F47DB1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w:t>
      </w:r>
    </w:p>
    <w:p w14:paraId="68899B1C">
      <w:pPr>
        <w:keepNext w:val="0"/>
        <w:keepLines w:val="0"/>
        <w:pageBreakBefore w:val="0"/>
        <w:widowControl/>
        <w:kinsoku w:val="0"/>
        <w:wordWrap/>
        <w:overflowPunct/>
        <w:topLinePunct w:val="0"/>
        <w:autoSpaceDE w:val="0"/>
        <w:autoSpaceDN w:val="0"/>
        <w:bidi w:val="0"/>
        <w:adjustRightInd w:val="0"/>
        <w:snapToGrid w:val="0"/>
        <w:spacing w:line="360" w:lineRule="auto"/>
        <w:ind w:left="0" w:right="105" w:firstLine="47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91" w:firstLine="476"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keepNext w:val="0"/>
        <w:keepLines w:val="0"/>
        <w:pageBreakBefore w:val="0"/>
        <w:widowControl/>
        <w:kinsoku w:val="0"/>
        <w:wordWrap/>
        <w:overflowPunct/>
        <w:topLinePunct w:val="0"/>
        <w:autoSpaceDE w:val="0"/>
        <w:autoSpaceDN w:val="0"/>
        <w:bidi w:val="0"/>
        <w:adjustRightInd w:val="0"/>
        <w:snapToGrid w:val="0"/>
        <w:spacing w:line="360" w:lineRule="auto"/>
        <w:ind w:left="0" w:right="105" w:firstLine="47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3B9F37C6">
      <w:pPr>
        <w:keepNext w:val="0"/>
        <w:keepLines w:val="0"/>
        <w:pageBreakBefore w:val="0"/>
        <w:widowControl/>
        <w:kinsoku w:val="0"/>
        <w:wordWrap/>
        <w:overflowPunct/>
        <w:topLinePunct w:val="0"/>
        <w:autoSpaceDE w:val="0"/>
        <w:autoSpaceDN w:val="0"/>
        <w:bidi w:val="0"/>
        <w:adjustRightInd w:val="0"/>
        <w:snapToGrid w:val="0"/>
        <w:spacing w:line="360" w:lineRule="auto"/>
        <w:ind w:left="0" w:right="105" w:firstLine="47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108" w:firstLine="478" w:firstLineChars="200"/>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b/>
          <w:bCs/>
          <w:color w:val="auto"/>
          <w:spacing w:val="-1"/>
          <w:sz w:val="24"/>
          <w:szCs w:val="24"/>
          <w:highlight w:val="none"/>
          <w:u w:val="single"/>
          <w:lang w:val="en-US" w:eastAsia="zh-CN"/>
        </w:rPr>
        <w:t>10万元</w:t>
      </w:r>
      <w:r>
        <w:rPr>
          <w:rFonts w:hint="eastAsia" w:ascii="宋体" w:hAnsi="宋体" w:eastAsia="宋体" w:cs="宋体"/>
          <w:color w:val="auto"/>
          <w:spacing w:val="-1"/>
          <w:sz w:val="24"/>
          <w:szCs w:val="24"/>
          <w:highlight w:val="none"/>
        </w:rPr>
        <w:t>人民币的投标保证。</w:t>
      </w:r>
      <w:r>
        <w:rPr>
          <w:rFonts w:hint="eastAsia" w:ascii="宋体" w:hAnsi="宋体" w:eastAsia="宋体" w:cs="宋体"/>
          <w:color w:val="auto"/>
          <w:spacing w:val="-1"/>
          <w:sz w:val="24"/>
          <w:szCs w:val="24"/>
          <w:highlight w:val="none"/>
          <w:lang w:val="en-US" w:eastAsia="zh-CN"/>
        </w:rPr>
        <w:t>联合体投标的，由联合体牵头人缴纳。</w:t>
      </w:r>
    </w:p>
    <w:p w14:paraId="28067BD7">
      <w:pPr>
        <w:keepNext w:val="0"/>
        <w:keepLines w:val="0"/>
        <w:pageBreakBefore w:val="0"/>
        <w:widowControl/>
        <w:kinsoku w:val="0"/>
        <w:wordWrap/>
        <w:overflowPunct/>
        <w:topLinePunct w:val="0"/>
        <w:autoSpaceDE w:val="0"/>
        <w:autoSpaceDN w:val="0"/>
        <w:bidi w:val="0"/>
        <w:adjustRightInd w:val="0"/>
        <w:snapToGrid w:val="0"/>
        <w:spacing w:line="360" w:lineRule="auto"/>
        <w:ind w:left="0" w:right="108" w:firstLine="490" w:firstLineChars="200"/>
        <w:textAlignment w:val="baseline"/>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keepNext w:val="0"/>
        <w:keepLines w:val="0"/>
        <w:pageBreakBefore w:val="0"/>
        <w:widowControl/>
        <w:kinsoku w:val="0"/>
        <w:wordWrap/>
        <w:overflowPunct/>
        <w:topLinePunct w:val="0"/>
        <w:autoSpaceDE w:val="0"/>
        <w:autoSpaceDN w:val="0"/>
        <w:bidi w:val="0"/>
        <w:adjustRightInd w:val="0"/>
        <w:snapToGrid w:val="0"/>
        <w:spacing w:line="360" w:lineRule="auto"/>
        <w:ind w:left="0" w:right="2" w:firstLine="488" w:firstLineChars="200"/>
        <w:jc w:val="both"/>
        <w:textAlignment w:val="baseline"/>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keepNext w:val="0"/>
        <w:keepLines w:val="0"/>
        <w:pageBreakBefore w:val="0"/>
        <w:widowControl/>
        <w:kinsoku w:val="0"/>
        <w:wordWrap/>
        <w:overflowPunct/>
        <w:topLinePunct w:val="0"/>
        <w:autoSpaceDE w:val="0"/>
        <w:autoSpaceDN w:val="0"/>
        <w:bidi w:val="0"/>
        <w:adjustRightInd w:val="0"/>
        <w:snapToGrid w:val="0"/>
        <w:spacing w:line="360" w:lineRule="auto"/>
        <w:ind w:left="0" w:right="2" w:firstLine="476" w:firstLineChars="200"/>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6CFA3F60">
      <w:pPr>
        <w:keepNext w:val="0"/>
        <w:keepLines w:val="0"/>
        <w:pageBreakBefore w:val="0"/>
        <w:widowControl/>
        <w:kinsoku w:val="0"/>
        <w:wordWrap/>
        <w:overflowPunct/>
        <w:topLinePunct w:val="0"/>
        <w:autoSpaceDE w:val="0"/>
        <w:autoSpaceDN w:val="0"/>
        <w:bidi w:val="0"/>
        <w:adjustRightInd w:val="0"/>
        <w:snapToGrid w:val="0"/>
        <w:spacing w:line="360" w:lineRule="auto"/>
        <w:ind w:left="0" w:right="2" w:firstLine="468" w:firstLineChars="200"/>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70" w:firstLineChars="200"/>
        <w:jc w:val="both"/>
        <w:textAlignment w:val="baseline"/>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50" w:firstLineChars="200"/>
        <w:textAlignment w:val="baseline"/>
        <w:outlineLvl w:val="2"/>
        <w:rPr>
          <w:rFonts w:hint="eastAsia" w:ascii="宋体" w:hAnsi="宋体" w:eastAsia="宋体" w:cs="宋体"/>
          <w:color w:val="auto"/>
          <w:sz w:val="24"/>
          <w:szCs w:val="24"/>
          <w:highlight w:val="none"/>
        </w:rPr>
      </w:pPr>
      <w:bookmarkStart w:id="22" w:name="bookmark78"/>
      <w:bookmarkEnd w:id="22"/>
      <w:bookmarkStart w:id="23" w:name="bookmark64"/>
      <w:bookmarkEnd w:id="23"/>
      <w:bookmarkStart w:id="24" w:name="_Toc8255"/>
      <w:bookmarkStart w:id="25" w:name="_Toc15498"/>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w:t>
      </w:r>
      <w:r>
        <w:rPr>
          <w:rFonts w:hint="eastAsia" w:ascii="宋体" w:hAnsi="宋体" w:eastAsia="宋体" w:cs="宋体"/>
          <w:b/>
          <w:bCs/>
          <w:color w:val="auto"/>
          <w:spacing w:val="-8"/>
          <w:sz w:val="24"/>
          <w:szCs w:val="24"/>
          <w:highlight w:val="none"/>
        </w:rPr>
        <w:t>工期要求</w:t>
      </w:r>
      <w:bookmarkEnd w:id="24"/>
      <w:bookmarkEnd w:id="25"/>
    </w:p>
    <w:p w14:paraId="492DB599">
      <w:pPr>
        <w:spacing w:before="153" w:line="324"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45个日历天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2" w:firstLineChars="200"/>
        <w:textAlignment w:val="baseline"/>
        <w:outlineLvl w:val="2"/>
        <w:rPr>
          <w:rFonts w:hint="eastAsia" w:ascii="宋体" w:hAnsi="宋体" w:eastAsia="宋体" w:cs="宋体"/>
          <w:color w:val="auto"/>
          <w:sz w:val="24"/>
          <w:szCs w:val="24"/>
          <w:highlight w:val="none"/>
        </w:rPr>
      </w:pPr>
      <w:bookmarkStart w:id="26" w:name="_Toc11449"/>
      <w:bookmarkStart w:id="27" w:name="_Toc4154"/>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w:t>
      </w:r>
      <w:r>
        <w:rPr>
          <w:rFonts w:hint="eastAsia" w:ascii="宋体" w:hAnsi="宋体" w:eastAsia="宋体" w:cs="宋体"/>
          <w:b/>
          <w:bCs/>
          <w:color w:val="auto"/>
          <w:spacing w:val="-5"/>
          <w:sz w:val="24"/>
          <w:szCs w:val="24"/>
          <w:highlight w:val="none"/>
        </w:rPr>
        <w:t>质量标准和材料、机械要求</w:t>
      </w:r>
      <w:bookmarkEnd w:id="26"/>
      <w:bookmarkEnd w:id="27"/>
    </w:p>
    <w:p w14:paraId="6580E48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snapToGrid w:val="0"/>
          <w:color w:val="auto"/>
          <w:kern w:val="0"/>
          <w:sz w:val="24"/>
          <w:szCs w:val="24"/>
          <w:highlight w:val="none"/>
        </w:rPr>
        <w:t>施工工艺严格按照国家和广东省的有关现行施工技术规范及标准执行，工程质量标准须达到</w:t>
      </w:r>
      <w:r>
        <w:rPr>
          <w:rFonts w:hint="eastAsia" w:ascii="宋体" w:hAnsi="宋体" w:eastAsia="宋体" w:cs="宋体"/>
          <w:snapToGrid w:val="0"/>
          <w:color w:val="auto"/>
          <w:kern w:val="0"/>
          <w:sz w:val="24"/>
          <w:szCs w:val="24"/>
          <w:highlight w:val="none"/>
          <w:u w:val="single"/>
          <w:lang w:val="en-US" w:eastAsia="zh-CN"/>
        </w:rPr>
        <w:t>符合现行国家有关工程施工质量验收规范和标准的要求，质量目标达到合格</w:t>
      </w:r>
      <w:r>
        <w:rPr>
          <w:rFonts w:hint="eastAsia" w:ascii="宋体" w:hAnsi="宋体" w:eastAsia="宋体" w:cs="宋体"/>
          <w:snapToGrid w:val="0"/>
          <w:color w:val="auto"/>
          <w:kern w:val="0"/>
          <w:sz w:val="24"/>
          <w:szCs w:val="24"/>
          <w:highlight w:val="none"/>
          <w:u w:val="single"/>
        </w:rPr>
        <w:t>。如未达到合格标准，则按合同价款的 1 %向招标人返纳质量违约金，并由中标人负责返修至合格标准，返修费用由中标人承担，同时承担所有的责任及经济损失。</w:t>
      </w:r>
    </w:p>
    <w:p w14:paraId="549FF2F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8" w:firstLineChars="200"/>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textAlignment w:val="baseline"/>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3EA8CEC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textAlignment w:val="baseline"/>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textAlignment w:val="baseline"/>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pacing w:before="78" w:line="360" w:lineRule="auto"/>
        <w:ind w:left="489"/>
        <w:outlineLvl w:val="2"/>
        <w:rPr>
          <w:rFonts w:hint="eastAsia" w:ascii="宋体" w:hAnsi="宋体" w:eastAsia="宋体" w:cs="宋体"/>
          <w:color w:val="auto"/>
          <w:sz w:val="24"/>
          <w:szCs w:val="24"/>
          <w:highlight w:val="none"/>
        </w:rPr>
      </w:pPr>
      <w:bookmarkStart w:id="28" w:name="_Toc21146"/>
      <w:bookmarkStart w:id="29" w:name="_Toc7763"/>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lang w:val="en-US" w:eastAsia="zh-CN"/>
        </w:rPr>
        <w:t>.</w:t>
      </w:r>
      <w:r>
        <w:rPr>
          <w:rFonts w:hint="eastAsia" w:ascii="宋体" w:hAnsi="宋体" w:eastAsia="宋体" w:cs="宋体"/>
          <w:b/>
          <w:bCs/>
          <w:color w:val="auto"/>
          <w:spacing w:val="-6"/>
          <w:sz w:val="24"/>
          <w:szCs w:val="24"/>
          <w:highlight w:val="none"/>
        </w:rPr>
        <w:t>施工条件及现场踏勘</w:t>
      </w:r>
      <w:bookmarkEnd w:id="28"/>
      <w:bookmarkEnd w:id="29"/>
    </w:p>
    <w:p w14:paraId="4C828FE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74" w:firstLineChars="200"/>
        <w:textAlignment w:val="baseline"/>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firstLineChars="200"/>
        <w:textAlignment w:val="baseline"/>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由中标人自行解决，费用考虑在投标报价中</w:t>
      </w:r>
      <w:r>
        <w:rPr>
          <w:rFonts w:hint="eastAsia" w:ascii="宋体" w:hAnsi="宋体" w:eastAsia="宋体" w:cs="宋体"/>
          <w:color w:val="auto"/>
          <w:spacing w:val="-2"/>
          <w:sz w:val="24"/>
          <w:szCs w:val="24"/>
          <w:highlight w:val="none"/>
        </w:rPr>
        <w:t>。</w:t>
      </w:r>
    </w:p>
    <w:p w14:paraId="1C5809E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firstLineChars="200"/>
        <w:textAlignment w:val="baseline"/>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由中标人自行解决，费用考虑在投标报价中</w:t>
      </w:r>
      <w:r>
        <w:rPr>
          <w:rFonts w:hint="eastAsia" w:ascii="宋体" w:hAnsi="宋体" w:eastAsia="宋体" w:cs="宋体"/>
          <w:color w:val="auto"/>
          <w:spacing w:val="-2"/>
          <w:sz w:val="24"/>
          <w:szCs w:val="24"/>
          <w:highlight w:val="none"/>
        </w:rPr>
        <w:t>。</w:t>
      </w:r>
    </w:p>
    <w:p w14:paraId="14191AB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outlineLvl w:val="2"/>
        <w:rPr>
          <w:rFonts w:hint="eastAsia" w:ascii="宋体" w:hAnsi="宋体" w:eastAsia="宋体" w:cs="宋体"/>
          <w:b w:val="0"/>
          <w:bCs w:val="0"/>
          <w:color w:val="auto"/>
          <w:spacing w:val="-5"/>
          <w:sz w:val="24"/>
          <w:szCs w:val="24"/>
          <w:highlight w:val="none"/>
        </w:rPr>
      </w:pPr>
      <w:bookmarkStart w:id="31" w:name="bookmark81"/>
      <w:bookmarkEnd w:id="31"/>
      <w:bookmarkStart w:id="32" w:name="bookmark67"/>
      <w:bookmarkEnd w:id="32"/>
      <w:bookmarkStart w:id="33" w:name="bookmark69"/>
      <w:bookmarkEnd w:id="33"/>
      <w:bookmarkStart w:id="34" w:name="_Toc24768"/>
      <w:bookmarkStart w:id="35" w:name="_Toc15543"/>
      <w:r>
        <w:rPr>
          <w:rFonts w:hint="eastAsia" w:ascii="宋体" w:hAnsi="宋体" w:eastAsia="宋体" w:cs="宋体"/>
          <w:b w:val="0"/>
          <w:bCs w:val="0"/>
          <w:color w:val="auto"/>
          <w:spacing w:val="-5"/>
          <w:sz w:val="24"/>
          <w:szCs w:val="24"/>
          <w:highlight w:val="none"/>
        </w:rPr>
        <w:t>6.4 施工临时用水、临时用电：招标人协调，由中标人自行解决。要求中标人单独安装水表、电表，其水、电费按项目所在地</w:t>
      </w:r>
      <w:r>
        <w:rPr>
          <w:rFonts w:hint="eastAsia" w:ascii="宋体" w:hAnsi="宋体" w:eastAsia="宋体" w:cs="宋体"/>
          <w:b w:val="0"/>
          <w:bCs w:val="0"/>
          <w:color w:val="auto"/>
          <w:spacing w:val="-5"/>
          <w:sz w:val="24"/>
          <w:szCs w:val="24"/>
          <w:highlight w:val="none"/>
          <w:u w:val="single"/>
          <w:lang w:val="en-US" w:eastAsia="zh-CN"/>
        </w:rPr>
        <w:t>韶关市曲江区</w:t>
      </w:r>
      <w:r>
        <w:rPr>
          <w:rFonts w:hint="eastAsia" w:ascii="宋体" w:hAnsi="宋体" w:eastAsia="宋体" w:cs="宋体"/>
          <w:b w:val="0"/>
          <w:bCs w:val="0"/>
          <w:color w:val="auto"/>
          <w:spacing w:val="-5"/>
          <w:sz w:val="24"/>
          <w:szCs w:val="24"/>
          <w:highlight w:val="none"/>
        </w:rPr>
        <w:t>基建工程水、电计费标准计算并由中标人缴纳。</w:t>
      </w:r>
    </w:p>
    <w:p w14:paraId="0E639EA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outlineLvl w:val="2"/>
        <w:rPr>
          <w:rFonts w:hint="eastAsia" w:ascii="宋体" w:hAnsi="宋体" w:eastAsia="宋体" w:cs="宋体"/>
          <w:b w:val="0"/>
          <w:bCs w:val="0"/>
          <w:color w:val="auto"/>
          <w:spacing w:val="-5"/>
          <w:sz w:val="24"/>
          <w:szCs w:val="24"/>
          <w:highlight w:val="none"/>
        </w:rPr>
      </w:pPr>
      <w:r>
        <w:rPr>
          <w:rFonts w:hint="eastAsia" w:ascii="宋体" w:hAnsi="宋体" w:eastAsia="宋体" w:cs="宋体"/>
          <w:b w:val="0"/>
          <w:bCs w:val="0"/>
          <w:color w:val="auto"/>
          <w:spacing w:val="-5"/>
          <w:sz w:val="24"/>
          <w:szCs w:val="24"/>
          <w:highlight w:val="none"/>
        </w:rPr>
        <w:t>6.5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AA1B2B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outlineLvl w:val="2"/>
        <w:rPr>
          <w:rFonts w:hint="eastAsia" w:ascii="宋体" w:hAnsi="宋体" w:eastAsia="宋体" w:cs="宋体"/>
          <w:b w:val="0"/>
          <w:bCs w:val="0"/>
          <w:color w:val="auto"/>
          <w:spacing w:val="-5"/>
          <w:sz w:val="24"/>
          <w:szCs w:val="24"/>
          <w:highlight w:val="none"/>
        </w:rPr>
      </w:pPr>
      <w:r>
        <w:rPr>
          <w:rFonts w:hint="eastAsia" w:ascii="宋体" w:hAnsi="宋体" w:eastAsia="宋体" w:cs="宋体"/>
          <w:b w:val="0"/>
          <w:bCs w:val="0"/>
          <w:color w:val="auto"/>
          <w:spacing w:val="-5"/>
          <w:sz w:val="24"/>
          <w:szCs w:val="24"/>
          <w:highlight w:val="none"/>
        </w:rPr>
        <w:t>6.6 在现场踏勘过程中，投标人应确保自身安全，投标人如果发生人身伤亡、财物或其他损失，法律法规有规定的按有关规定处理，没有规定的由投标人自行负责。</w:t>
      </w:r>
    </w:p>
    <w:p w14:paraId="24FE956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0" w:firstLineChars="200"/>
        <w:textAlignment w:val="baseline"/>
        <w:outlineLvl w:val="2"/>
        <w:rPr>
          <w:rFonts w:hint="eastAsia" w:ascii="宋体" w:hAnsi="宋体" w:eastAsia="宋体" w:cs="宋体"/>
          <w:b w:val="0"/>
          <w:bCs w:val="0"/>
          <w:color w:val="auto"/>
          <w:spacing w:val="-5"/>
          <w:sz w:val="24"/>
          <w:szCs w:val="24"/>
          <w:highlight w:val="none"/>
        </w:rPr>
      </w:pPr>
      <w:r>
        <w:rPr>
          <w:rFonts w:hint="eastAsia" w:ascii="宋体" w:hAnsi="宋体" w:eastAsia="宋体" w:cs="宋体"/>
          <w:b w:val="0"/>
          <w:bCs w:val="0"/>
          <w:color w:val="auto"/>
          <w:spacing w:val="-5"/>
          <w:sz w:val="24"/>
          <w:szCs w:val="24"/>
          <w:highlight w:val="none"/>
        </w:rPr>
        <w:t>6.7 现场踏勘期间的交通、食宿由投标人自行安排，费用自理。</w:t>
      </w:r>
    </w:p>
    <w:p w14:paraId="35DD5CF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2" w:firstLineChars="200"/>
        <w:textAlignment w:val="baseline"/>
        <w:outlineLvl w:val="2"/>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lang w:val="en-US" w:eastAsia="zh-CN"/>
        </w:rPr>
        <w:t>.</w:t>
      </w:r>
      <w:r>
        <w:rPr>
          <w:rFonts w:hint="eastAsia" w:ascii="宋体" w:hAnsi="宋体" w:eastAsia="宋体" w:cs="宋体"/>
          <w:b/>
          <w:bCs/>
          <w:color w:val="auto"/>
          <w:spacing w:val="-5"/>
          <w:sz w:val="24"/>
          <w:szCs w:val="24"/>
          <w:highlight w:val="none"/>
        </w:rPr>
        <w:t>招标文件的提问和答疑</w:t>
      </w:r>
      <w:bookmarkEnd w:id="34"/>
      <w:bookmarkEnd w:id="35"/>
    </w:p>
    <w:p w14:paraId="318A4AA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2" w:firstLineChars="200"/>
        <w:textAlignment w:val="baseline"/>
        <w:outlineLvl w:val="2"/>
        <w:rPr>
          <w:rFonts w:hint="eastAsia" w:ascii="宋体" w:hAnsi="宋体" w:eastAsia="宋体" w:cs="宋体"/>
          <w:color w:val="auto"/>
          <w:sz w:val="24"/>
          <w:szCs w:val="24"/>
          <w:highlight w:val="none"/>
          <w:lang w:eastAsia="zh-CN"/>
        </w:rPr>
      </w:pPr>
      <w:bookmarkStart w:id="36" w:name="_Toc6897"/>
      <w:bookmarkStart w:id="37" w:name="_Toc20958"/>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lang w:val="en-US" w:eastAsia="zh-CN"/>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483B6E5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val="0"/>
          <w:bCs w:val="0"/>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74CD6E4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lang w:val="en-US" w:eastAsia="zh-CN"/>
        </w:rPr>
        <w:t>本招标项目最高投标限价、施工图纸、工程量清单在开标前15天另行发布于全国公共资源交易平台（广东省·韶关市）（https://ygp.gdzwfw.gov.cn/ggzy-portal/#/440200/index）、广东省招标投标监管网（http://zbtb.gd.gov.cn）网站。</w:t>
      </w:r>
    </w:p>
    <w:p w14:paraId="37A2572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F29C3E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2FE507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 xml:space="preserve">中标人招标，招标人参与管理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设备供应商）和合同价格。</w:t>
      </w:r>
    </w:p>
    <w:p w14:paraId="5F60C25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02BF48B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文件相关条款执行。</w:t>
      </w:r>
    </w:p>
    <w:p w14:paraId="3698C44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475FBF4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4DBC16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firstLineChars="200"/>
        <w:textAlignment w:val="baseline"/>
        <w:outlineLvl w:val="2"/>
        <w:rPr>
          <w:rFonts w:hint="eastAsia" w:ascii="宋体" w:hAnsi="宋体" w:eastAsia="宋体" w:cs="宋体"/>
          <w:color w:val="auto"/>
          <w:sz w:val="24"/>
          <w:szCs w:val="24"/>
          <w:highlight w:val="none"/>
        </w:rPr>
      </w:pPr>
      <w:bookmarkStart w:id="39" w:name="_Toc22978"/>
      <w:bookmarkStart w:id="40" w:name="_Toc6911"/>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lang w:val="en-US" w:eastAsia="zh-CN"/>
        </w:rPr>
        <w:t>.</w:t>
      </w:r>
      <w:r>
        <w:rPr>
          <w:rFonts w:hint="eastAsia" w:ascii="宋体" w:hAnsi="宋体" w:eastAsia="宋体" w:cs="宋体"/>
          <w:b/>
          <w:bCs/>
          <w:color w:val="auto"/>
          <w:spacing w:val="-8"/>
          <w:sz w:val="24"/>
          <w:szCs w:val="24"/>
          <w:highlight w:val="none"/>
        </w:rPr>
        <w:t>投标报价</w:t>
      </w:r>
      <w:bookmarkEnd w:id="39"/>
      <w:bookmarkEnd w:id="40"/>
    </w:p>
    <w:p w14:paraId="0CB5924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1F1233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auto"/>
          <w:spacing w:val="-1"/>
          <w:sz w:val="24"/>
          <w:szCs w:val="24"/>
          <w:highlight w:val="none"/>
        </w:rPr>
        <w:t>；</w:t>
      </w:r>
    </w:p>
    <w:p w14:paraId="4CCDAD2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44753B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7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680D700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5ACD44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jc w:val="center"/>
        <w:textAlignment w:val="baseline"/>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DB0421A">
      <w:pPr>
        <w:pStyle w:val="5"/>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22" w:firstLineChars="200"/>
        <w:textAlignment w:val="baseline"/>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color w:val="auto"/>
          <w:highlight w:val="none"/>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w:t>
      </w:r>
      <w:r>
        <w:rPr>
          <w:rFonts w:hint="eastAsia" w:ascii="宋体" w:hAnsi="宋体" w:eastAsia="宋体" w:cs="宋体"/>
          <w:snapToGrid w:val="0"/>
          <w:color w:val="auto"/>
          <w:sz w:val="24"/>
          <w:szCs w:val="24"/>
          <w:highlight w:val="none"/>
          <w:lang w:val="en-US" w:eastAsia="zh-CN" w:bidi="ar-SA"/>
        </w:rPr>
        <w:t>2018</w:t>
      </w:r>
      <w:r>
        <w:rPr>
          <w:rFonts w:hint="eastAsia" w:ascii="宋体" w:hAnsi="宋体" w:eastAsia="宋体" w:cs="宋体"/>
          <w:snapToGrid w:val="0"/>
          <w:color w:val="auto"/>
          <w:sz w:val="24"/>
          <w:szCs w:val="24"/>
          <w:highlight w:val="none"/>
          <w:lang w:val="en-US" w:eastAsia="en-US" w:bidi="ar-SA"/>
        </w:rPr>
        <w:t>）》相关规定。若发生工程签证变更，应按合同约定计取预算包干费。</w:t>
      </w:r>
    </w:p>
    <w:p w14:paraId="105B049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8" w:firstLineChars="200"/>
        <w:textAlignment w:val="baseline"/>
        <w:outlineLvl w:val="2"/>
        <w:rPr>
          <w:rFonts w:hint="eastAsia" w:ascii="宋体" w:hAnsi="宋体" w:eastAsia="宋体" w:cs="宋体"/>
          <w:color w:val="auto"/>
          <w:sz w:val="24"/>
          <w:szCs w:val="24"/>
          <w:highlight w:val="none"/>
        </w:rPr>
      </w:pPr>
      <w:bookmarkStart w:id="42" w:name="_Toc16322"/>
      <w:bookmarkStart w:id="43" w:name="_Toc23711"/>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lang w:val="en-US" w:eastAsia="zh-CN"/>
        </w:rPr>
        <w:t>.</w:t>
      </w:r>
      <w:r>
        <w:rPr>
          <w:rFonts w:hint="eastAsia" w:ascii="宋体" w:hAnsi="宋体" w:eastAsia="宋体" w:cs="宋体"/>
          <w:b/>
          <w:bCs/>
          <w:color w:val="auto"/>
          <w:spacing w:val="-6"/>
          <w:sz w:val="24"/>
          <w:szCs w:val="24"/>
          <w:highlight w:val="none"/>
        </w:rPr>
        <w:t>投标文件的编制要求</w:t>
      </w:r>
      <w:bookmarkEnd w:id="42"/>
      <w:bookmarkEnd w:id="43"/>
    </w:p>
    <w:p w14:paraId="717359E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6" w:firstLineChars="200"/>
        <w:textAlignment w:val="baseline"/>
        <w:outlineLvl w:val="3"/>
        <w:rPr>
          <w:rFonts w:hint="eastAsia" w:ascii="宋体" w:hAnsi="宋体" w:eastAsia="宋体" w:cs="宋体"/>
          <w:color w:val="auto"/>
          <w:sz w:val="24"/>
          <w:szCs w:val="24"/>
          <w:highlight w:val="none"/>
        </w:rPr>
      </w:pPr>
      <w:bookmarkStart w:id="44" w:name="_Toc20590"/>
      <w:bookmarkStart w:id="45" w:name="_Toc22937"/>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4800233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w:t>
      </w:r>
      <w:r>
        <w:rPr>
          <w:rFonts w:hint="eastAsia" w:ascii="宋体" w:hAnsi="宋体" w:eastAsia="宋体" w:cs="宋体"/>
          <w:color w:val="auto"/>
          <w:spacing w:val="-2"/>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w:t>
      </w:r>
    </w:p>
    <w:p w14:paraId="0CBE0BD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35B6732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474" w:firstLineChars="200"/>
        <w:textAlignment w:val="baseline"/>
        <w:outlineLvl w:val="3"/>
        <w:rPr>
          <w:rFonts w:hint="eastAsia" w:ascii="宋体" w:hAnsi="宋体" w:eastAsia="宋体" w:cs="宋体"/>
          <w:b w:val="0"/>
          <w:bCs w:val="0"/>
          <w:color w:val="auto"/>
          <w:spacing w:val="-2"/>
          <w:sz w:val="24"/>
          <w:szCs w:val="24"/>
          <w:highlight w:val="none"/>
        </w:rPr>
      </w:pPr>
      <w:bookmarkStart w:id="46" w:name="_Toc21271"/>
      <w:bookmarkStart w:id="47" w:name="_Toc20223"/>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电子印章）即可。</w:t>
      </w:r>
    </w:p>
    <w:p w14:paraId="149EA5D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4" w:firstLineChars="200"/>
        <w:textAlignment w:val="baseline"/>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09D418E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7065F6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58C0C27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7D20E9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24149AB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189FCE5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5E2DA61">
      <w:pPr>
        <w:keepNext w:val="0"/>
        <w:keepLines w:val="0"/>
        <w:pageBreakBefore w:val="0"/>
        <w:overflowPunct/>
        <w:topLinePunct w:val="0"/>
        <w:bidi w:val="0"/>
        <w:spacing w:line="360" w:lineRule="auto"/>
        <w:ind w:left="0" w:right="0" w:firstLine="474" w:firstLineChars="200"/>
        <w:outlineLvl w:val="3"/>
        <w:rPr>
          <w:rFonts w:hint="eastAsia" w:ascii="宋体" w:hAnsi="宋体" w:eastAsia="宋体" w:cs="宋体"/>
          <w:b/>
          <w:bCs/>
          <w:color w:val="auto"/>
          <w:sz w:val="24"/>
          <w:szCs w:val="24"/>
          <w:highlight w:val="none"/>
        </w:rPr>
      </w:pPr>
      <w:bookmarkStart w:id="49" w:name="_Toc10602"/>
      <w:bookmarkStart w:id="50" w:name="_Toc29370"/>
      <w:r>
        <w:rPr>
          <w:rFonts w:hint="eastAsia" w:ascii="宋体" w:hAnsi="宋体" w:eastAsia="宋体" w:cs="宋体"/>
          <w:b/>
          <w:bCs/>
          <w:color w:val="auto"/>
          <w:spacing w:val="-2"/>
          <w:sz w:val="24"/>
          <w:szCs w:val="24"/>
          <w:highlight w:val="none"/>
        </w:rPr>
        <w:t>10.3  经济标书的编制要求</w:t>
      </w:r>
      <w:bookmarkEnd w:id="49"/>
      <w:bookmarkEnd w:id="50"/>
    </w:p>
    <w:p w14:paraId="4D7F8054">
      <w:pPr>
        <w:keepNext w:val="0"/>
        <w:keepLines w:val="0"/>
        <w:pageBreakBefore w:val="0"/>
        <w:overflowPunct/>
        <w:topLinePunct w:val="0"/>
        <w:bidi w:val="0"/>
        <w:spacing w:line="360" w:lineRule="auto"/>
        <w:ind w:left="0" w:right="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keepNext w:val="0"/>
        <w:keepLines w:val="0"/>
        <w:pageBreakBefore w:val="0"/>
        <w:overflowPunct/>
        <w:topLinePunct w:val="0"/>
        <w:bidi w:val="0"/>
        <w:spacing w:line="360" w:lineRule="auto"/>
        <w:ind w:left="0" w:right="0" w:firstLine="46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keepNext w:val="0"/>
        <w:keepLines w:val="0"/>
        <w:pageBreakBefore w:val="0"/>
        <w:overflowPunct/>
        <w:topLinePunct w:val="0"/>
        <w:bidi w:val="0"/>
        <w:spacing w:line="360" w:lineRule="auto"/>
        <w:ind w:left="0" w:right="0" w:firstLine="42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keepNext w:val="0"/>
        <w:keepLines w:val="0"/>
        <w:pageBreakBefore w:val="0"/>
        <w:overflowPunct/>
        <w:topLinePunct w:val="0"/>
        <w:bidi w:val="0"/>
        <w:spacing w:line="360" w:lineRule="auto"/>
        <w:ind w:left="0" w:right="0" w:firstLine="46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w:t>
      </w:r>
    </w:p>
    <w:p w14:paraId="19D1E9E0">
      <w:pPr>
        <w:keepNext w:val="0"/>
        <w:keepLines w:val="0"/>
        <w:pageBreakBefore w:val="0"/>
        <w:overflowPunct/>
        <w:topLinePunct w:val="0"/>
        <w:bidi w:val="0"/>
        <w:spacing w:line="360" w:lineRule="auto"/>
        <w:ind w:left="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eastAsia="zh-CN"/>
        </w:rPr>
        <w:t>GB/T50500-2024</w:t>
      </w:r>
      <w:r>
        <w:rPr>
          <w:rFonts w:hint="eastAsia" w:ascii="宋体" w:hAnsi="宋体" w:eastAsia="宋体" w:cs="宋体"/>
          <w:color w:val="auto"/>
          <w:spacing w:val="-1"/>
          <w:sz w:val="24"/>
          <w:szCs w:val="24"/>
          <w:highlight w:val="none"/>
        </w:rPr>
        <w:t>）执行，并应满足以下要求：</w:t>
      </w:r>
    </w:p>
    <w:p w14:paraId="62970EB2">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w:t>
      </w:r>
      <w:r>
        <w:rPr>
          <w:rFonts w:hint="eastAsia" w:ascii="宋体" w:hAnsi="宋体" w:eastAsia="宋体" w:cs="宋体"/>
          <w:color w:val="auto"/>
          <w:spacing w:val="-2"/>
          <w:sz w:val="24"/>
          <w:szCs w:val="24"/>
          <w:highlight w:val="none"/>
        </w:rPr>
        <w:t>《投标总价》后应附编制人的造价工程师注册证书彩色扫描件（须扫描至变更注册栏，</w:t>
      </w:r>
      <w:r>
        <w:rPr>
          <w:rFonts w:hint="eastAsia" w:ascii="宋体" w:hAnsi="宋体" w:eastAsia="宋体" w:cs="宋体"/>
          <w:b w:val="0"/>
          <w:bCs w:val="0"/>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并在该页后附造价咨询人的营业执照扫描件。</w:t>
      </w:r>
    </w:p>
    <w:p w14:paraId="336C4CC6">
      <w:pPr>
        <w:keepNext w:val="0"/>
        <w:keepLines w:val="0"/>
        <w:pageBreakBefore w:val="0"/>
        <w:overflowPunct/>
        <w:topLinePunct w:val="0"/>
        <w:bidi w:val="0"/>
        <w:spacing w:line="360" w:lineRule="auto"/>
        <w:ind w:left="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w:t>
      </w:r>
      <w:bookmarkStart w:id="51" w:name="_Hlt69699579"/>
      <w:bookmarkEnd w:id="51"/>
      <w:r>
        <w:rPr>
          <w:rFonts w:hint="eastAsia" w:ascii="宋体" w:hAnsi="宋体" w:eastAsia="宋体" w:cs="宋体"/>
          <w:snapToGrid w:val="0"/>
          <w:color w:val="auto"/>
          <w:kern w:val="0"/>
          <w:sz w:val="24"/>
          <w:szCs w:val="24"/>
          <w:highlight w:val="none"/>
        </w:rPr>
        <w:t>投标人认为有必要补充的其他资料（例如关于投标总价下浮率超过15%的书面说明和佐证材料）。</w:t>
      </w:r>
    </w:p>
    <w:p w14:paraId="2F5BB681">
      <w:pPr>
        <w:keepNext w:val="0"/>
        <w:keepLines w:val="0"/>
        <w:pageBreakBefore w:val="0"/>
        <w:overflowPunct/>
        <w:topLinePunct w:val="0"/>
        <w:bidi w:val="0"/>
        <w:spacing w:line="360" w:lineRule="auto"/>
        <w:ind w:left="0" w:right="0" w:firstLine="47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keepNext w:val="0"/>
        <w:keepLines w:val="0"/>
        <w:pageBreakBefore w:val="0"/>
        <w:overflowPunct/>
        <w:topLinePunct w:val="0"/>
        <w:bidi w:val="0"/>
        <w:spacing w:line="360" w:lineRule="auto"/>
        <w:ind w:left="0" w:right="0" w:firstLine="442"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keepNext w:val="0"/>
        <w:keepLines w:val="0"/>
        <w:pageBreakBefore w:val="0"/>
        <w:overflowPunct/>
        <w:topLinePunct w:val="0"/>
        <w:bidi w:val="0"/>
        <w:spacing w:line="360" w:lineRule="auto"/>
        <w:ind w:left="0" w:right="0" w:firstLine="470" w:firstLineChars="200"/>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768CF899">
      <w:pPr>
        <w:keepNext w:val="0"/>
        <w:keepLines w:val="0"/>
        <w:pageBreakBefore w:val="0"/>
        <w:overflowPunct/>
        <w:topLinePunct w:val="0"/>
        <w:bidi w:val="0"/>
        <w:spacing w:line="360" w:lineRule="auto"/>
        <w:ind w:left="0" w:right="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keepNext w:val="0"/>
        <w:keepLines w:val="0"/>
        <w:pageBreakBefore w:val="0"/>
        <w:overflowPunct/>
        <w:topLinePunct w:val="0"/>
        <w:bidi w:val="0"/>
        <w:spacing w:line="360" w:lineRule="auto"/>
        <w:ind w:left="0" w:right="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keepNext w:val="0"/>
        <w:keepLines w:val="0"/>
        <w:pageBreakBefore w:val="0"/>
        <w:overflowPunct/>
        <w:topLinePunct w:val="0"/>
        <w:bidi w:val="0"/>
        <w:spacing w:line="360" w:lineRule="auto"/>
        <w:ind w:left="0" w:right="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keepNext w:val="0"/>
        <w:keepLines w:val="0"/>
        <w:pageBreakBefore w:val="0"/>
        <w:overflowPunct/>
        <w:topLinePunct w:val="0"/>
        <w:bidi w:val="0"/>
        <w:spacing w:line="360" w:lineRule="auto"/>
        <w:ind w:left="0" w:right="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keepNext w:val="0"/>
        <w:keepLines w:val="0"/>
        <w:pageBreakBefore w:val="0"/>
        <w:overflowPunct/>
        <w:topLinePunct w:val="0"/>
        <w:bidi w:val="0"/>
        <w:spacing w:line="360" w:lineRule="auto"/>
        <w:ind w:left="0" w:right="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keepNext w:val="0"/>
        <w:keepLines w:val="0"/>
        <w:pageBreakBefore w:val="0"/>
        <w:overflowPunct/>
        <w:topLinePunct w:val="0"/>
        <w:bidi w:val="0"/>
        <w:spacing w:line="360" w:lineRule="auto"/>
        <w:ind w:left="0" w:right="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keepNext w:val="0"/>
        <w:keepLines w:val="0"/>
        <w:pageBreakBefore w:val="0"/>
        <w:overflowPunct/>
        <w:topLinePunct w:val="0"/>
        <w:bidi w:val="0"/>
        <w:spacing w:line="360" w:lineRule="auto"/>
        <w:ind w:left="0" w:right="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keepNext w:val="0"/>
        <w:keepLines w:val="0"/>
        <w:pageBreakBefore w:val="0"/>
        <w:overflowPunct/>
        <w:topLinePunct w:val="0"/>
        <w:bidi w:val="0"/>
        <w:spacing w:line="360" w:lineRule="auto"/>
        <w:ind w:left="0" w:right="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keepNext w:val="0"/>
        <w:keepLines w:val="0"/>
        <w:pageBreakBefore w:val="0"/>
        <w:overflowPunct/>
        <w:topLinePunct w:val="0"/>
        <w:bidi w:val="0"/>
        <w:spacing w:line="360" w:lineRule="auto"/>
        <w:ind w:left="0" w:right="0" w:firstLine="46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keepNext w:val="0"/>
        <w:keepLines w:val="0"/>
        <w:pageBreakBefore w:val="0"/>
        <w:overflowPunct/>
        <w:topLinePunct w:val="0"/>
        <w:bidi w:val="0"/>
        <w:spacing w:line="360" w:lineRule="auto"/>
        <w:ind w:left="0" w:right="0" w:firstLine="42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keepNext w:val="0"/>
        <w:keepLines w:val="0"/>
        <w:pageBreakBefore w:val="0"/>
        <w:overflowPunct/>
        <w:topLinePunct w:val="0"/>
        <w:bidi w:val="0"/>
        <w:spacing w:line="360" w:lineRule="auto"/>
        <w:ind w:left="0" w:right="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keepNext w:val="0"/>
        <w:keepLines w:val="0"/>
        <w:pageBreakBefore w:val="0"/>
        <w:overflowPunct/>
        <w:topLinePunct w:val="0"/>
        <w:bidi w:val="0"/>
        <w:spacing w:line="360" w:lineRule="auto"/>
        <w:ind w:left="0" w:right="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keepNext w:val="0"/>
        <w:keepLines w:val="0"/>
        <w:pageBreakBefore w:val="0"/>
        <w:overflowPunct/>
        <w:topLinePunct w:val="0"/>
        <w:bidi w:val="0"/>
        <w:spacing w:line="360" w:lineRule="auto"/>
        <w:ind w:left="0" w:right="0" w:firstLine="46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keepNext w:val="0"/>
        <w:keepLines w:val="0"/>
        <w:pageBreakBefore w:val="0"/>
        <w:overflowPunct/>
        <w:topLinePunct w:val="0"/>
        <w:bidi w:val="0"/>
        <w:spacing w:line="360" w:lineRule="auto"/>
        <w:ind w:left="0" w:right="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7BB5E824">
      <w:pPr>
        <w:keepNext w:val="0"/>
        <w:keepLines w:val="0"/>
        <w:pageBreakBefore w:val="0"/>
        <w:overflowPunct/>
        <w:topLinePunct w:val="0"/>
        <w:bidi w:val="0"/>
        <w:spacing w:line="360" w:lineRule="auto"/>
        <w:ind w:left="0" w:right="0" w:firstLine="476" w:firstLineChars="200"/>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w:t>
      </w:r>
      <w:r>
        <w:rPr>
          <w:rFonts w:hint="eastAsia" w:ascii="宋体" w:hAnsi="宋体" w:eastAsia="宋体" w:cs="宋体"/>
          <w:color w:val="auto"/>
          <w:spacing w:val="-3"/>
          <w:sz w:val="24"/>
          <w:szCs w:val="24"/>
          <w:highlight w:val="none"/>
        </w:rPr>
        <w:t>；</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rPr>
        <w:t>应对建设单位组织的勘察设计等单位在施工招标文件中列出的危大工程清单(详见格式十三)进行投标文件回应</w:t>
      </w:r>
      <w:r>
        <w:rPr>
          <w:rFonts w:hint="eastAsia" w:ascii="宋体" w:hAnsi="宋体" w:eastAsia="宋体" w:cs="宋体"/>
          <w:b/>
          <w:bCs/>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p>
    <w:p w14:paraId="02E9B450">
      <w:pPr>
        <w:keepNext w:val="0"/>
        <w:keepLines w:val="0"/>
        <w:pageBreakBefore w:val="0"/>
        <w:overflowPunct/>
        <w:topLinePunct w:val="0"/>
        <w:bidi w:val="0"/>
        <w:spacing w:line="360" w:lineRule="auto"/>
        <w:ind w:left="0" w:right="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2"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2"/>
      <w:r>
        <w:rPr>
          <w:rFonts w:hint="eastAsia" w:ascii="宋体" w:hAnsi="宋体" w:eastAsia="宋体" w:cs="宋体"/>
          <w:color w:val="auto"/>
          <w:spacing w:val="9"/>
          <w:sz w:val="24"/>
          <w:szCs w:val="24"/>
          <w:highlight w:val="none"/>
        </w:rPr>
        <w:t>）；</w:t>
      </w:r>
    </w:p>
    <w:p w14:paraId="5E69FD0B">
      <w:pPr>
        <w:keepNext w:val="0"/>
        <w:keepLines w:val="0"/>
        <w:pageBreakBefore w:val="0"/>
        <w:overflowPunct/>
        <w:topLinePunct w:val="0"/>
        <w:bidi w:val="0"/>
        <w:spacing w:line="360" w:lineRule="auto"/>
        <w:ind w:left="0" w:right="0" w:firstLine="46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keepNext w:val="0"/>
        <w:keepLines w:val="0"/>
        <w:pageBreakBefore w:val="0"/>
        <w:overflowPunct/>
        <w:topLinePunct w:val="0"/>
        <w:bidi w:val="0"/>
        <w:spacing w:line="360" w:lineRule="auto"/>
        <w:ind w:left="0" w:right="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keepNext w:val="0"/>
        <w:keepLines w:val="0"/>
        <w:pageBreakBefore w:val="0"/>
        <w:overflowPunct/>
        <w:topLinePunct w:val="0"/>
        <w:bidi w:val="0"/>
        <w:spacing w:line="360" w:lineRule="auto"/>
        <w:ind w:left="0" w:right="0"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keepNext w:val="0"/>
        <w:keepLines w:val="0"/>
        <w:pageBreakBefore w:val="0"/>
        <w:overflowPunct/>
        <w:topLinePunct w:val="0"/>
        <w:bidi w:val="0"/>
        <w:spacing w:line="360" w:lineRule="auto"/>
        <w:ind w:left="0" w:right="0"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keepNext w:val="0"/>
        <w:keepLines w:val="0"/>
        <w:pageBreakBefore w:val="0"/>
        <w:overflowPunct/>
        <w:topLinePunct w:val="0"/>
        <w:bidi w:val="0"/>
        <w:spacing w:line="360" w:lineRule="auto"/>
        <w:ind w:left="0" w:right="0" w:firstLine="478" w:firstLineChars="200"/>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3"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b w:val="0"/>
          <w:bCs w:val="0"/>
          <w:color w:val="auto"/>
          <w:spacing w:val="-1"/>
          <w:sz w:val="24"/>
          <w:szCs w:val="24"/>
          <w:highlight w:val="none"/>
          <w:lang w:val="en-US" w:eastAsia="zh-CN"/>
        </w:rPr>
        <w:t>施工组织设计的正文建议不超</w:t>
      </w:r>
      <w:r>
        <w:rPr>
          <w:rFonts w:hint="eastAsia" w:ascii="宋体" w:hAnsi="宋体" w:eastAsia="宋体" w:cs="宋体"/>
          <w:b w:val="0"/>
          <w:bCs w:val="0"/>
          <w:color w:val="auto"/>
          <w:spacing w:val="-1"/>
          <w:sz w:val="24"/>
          <w:szCs w:val="24"/>
          <w:highlight w:val="none"/>
          <w:u w:val="single"/>
          <w:lang w:val="en-US" w:eastAsia="zh-CN"/>
        </w:rPr>
        <w:t>150</w:t>
      </w:r>
      <w:r>
        <w:rPr>
          <w:rFonts w:hint="eastAsia" w:ascii="宋体" w:hAnsi="宋体" w:eastAsia="宋体" w:cs="宋体"/>
          <w:b w:val="0"/>
          <w:bCs w:val="0"/>
          <w:color w:val="auto"/>
          <w:spacing w:val="-1"/>
          <w:sz w:val="24"/>
          <w:szCs w:val="24"/>
          <w:highlight w:val="none"/>
          <w:lang w:val="en-US" w:eastAsia="zh-CN"/>
        </w:rPr>
        <w:t>页</w:t>
      </w:r>
      <w:r>
        <w:rPr>
          <w:rFonts w:hint="eastAsia" w:ascii="宋体" w:hAnsi="宋体" w:eastAsia="宋体" w:cs="宋体"/>
          <w:b w:val="0"/>
          <w:bCs w:val="0"/>
          <w:color w:val="auto"/>
          <w:spacing w:val="-1"/>
          <w:sz w:val="24"/>
          <w:szCs w:val="24"/>
          <w:highlight w:val="none"/>
          <w:lang w:eastAsia="zh-CN"/>
        </w:rPr>
        <w:t>。</w:t>
      </w:r>
      <w:bookmarkEnd w:id="53"/>
      <w:bookmarkStart w:id="54" w:name="bookmark121"/>
      <w:bookmarkEnd w:id="54"/>
    </w:p>
    <w:p w14:paraId="1EF41116">
      <w:pPr>
        <w:keepNext w:val="0"/>
        <w:keepLines w:val="0"/>
        <w:pageBreakBefore w:val="0"/>
        <w:widowControl w:val="0"/>
        <w:kinsoku/>
        <w:wordWrap w:val="0"/>
        <w:overflowPunct/>
        <w:topLinePunct w:val="0"/>
        <w:autoSpaceDE/>
        <w:autoSpaceDN/>
        <w:bidi w:val="0"/>
        <w:adjustRightInd/>
        <w:snapToGrid/>
        <w:spacing w:line="360" w:lineRule="auto"/>
        <w:ind w:left="0" w:right="0"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5"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21C55D8F">
      <w:pPr>
        <w:keepNext w:val="0"/>
        <w:keepLines w:val="0"/>
        <w:pageBreakBefore w:val="0"/>
        <w:widowControl w:val="0"/>
        <w:kinsoku/>
        <w:wordWrap w:val="0"/>
        <w:overflowPunct/>
        <w:topLinePunct w:val="0"/>
        <w:autoSpaceDE/>
        <w:autoSpaceDN/>
        <w:bidi w:val="0"/>
        <w:adjustRightInd/>
        <w:snapToGrid/>
        <w:spacing w:line="360" w:lineRule="auto"/>
        <w:ind w:left="0" w:right="0"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0.5</w:t>
      </w:r>
      <w:r>
        <w:rPr>
          <w:rFonts w:hint="eastAsia" w:ascii="宋体" w:hAnsi="宋体" w:eastAsia="宋体" w:cs="宋体"/>
          <w:b/>
          <w:bCs/>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bookmarkEnd w:id="55"/>
    <w:p w14:paraId="2A004467">
      <w:pPr>
        <w:keepNext w:val="0"/>
        <w:keepLines w:val="0"/>
        <w:pageBreakBefore w:val="0"/>
        <w:widowControl w:val="0"/>
        <w:kinsoku/>
        <w:wordWrap w:val="0"/>
        <w:overflowPunct/>
        <w:topLinePunct w:val="0"/>
        <w:autoSpaceDE/>
        <w:autoSpaceDN/>
        <w:bidi w:val="0"/>
        <w:adjustRightInd/>
        <w:snapToGrid/>
        <w:spacing w:line="360" w:lineRule="auto"/>
        <w:ind w:left="0" w:right="0" w:firstLine="480" w:firstLineChars="200"/>
        <w:textAlignment w:val="baseline"/>
        <w:rPr>
          <w:rFonts w:hint="default" w:ascii="宋体" w:hAnsi="宋体" w:eastAsia="宋体" w:cs="宋体"/>
          <w:snapToGrid w:val="0"/>
          <w:color w:val="auto"/>
          <w:kern w:val="0"/>
          <w:sz w:val="24"/>
          <w:szCs w:val="24"/>
          <w:highlight w:val="none"/>
          <w:lang w:val="en-US"/>
        </w:rPr>
      </w:pPr>
      <w:bookmarkStart w:id="56" w:name="_Toc21936"/>
      <w:bookmarkStart w:id="57" w:name="_Toc10599"/>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 封面（格式一）</w:t>
      </w:r>
    </w:p>
    <w:p w14:paraId="3AEDC9A8">
      <w:pPr>
        <w:keepNext w:val="0"/>
        <w:keepLines w:val="0"/>
        <w:pageBreakBefore w:val="0"/>
        <w:widowControl w:val="0"/>
        <w:kinsoku/>
        <w:wordWrap w:val="0"/>
        <w:overflowPunct/>
        <w:topLinePunct w:val="0"/>
        <w:autoSpaceDE/>
        <w:autoSpaceDN/>
        <w:bidi w:val="0"/>
        <w:adjustRightInd/>
        <w:snapToGrid/>
        <w:spacing w:line="360" w:lineRule="auto"/>
        <w:ind w:left="0" w:right="0"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（2）目录；</w:t>
      </w:r>
    </w:p>
    <w:p w14:paraId="57FBAE96">
      <w:pPr>
        <w:keepNext w:val="0"/>
        <w:keepLines w:val="0"/>
        <w:pageBreakBefore w:val="0"/>
        <w:widowControl w:val="0"/>
        <w:kinsoku/>
        <w:wordWrap w:val="0"/>
        <w:overflowPunct/>
        <w:topLinePunct w:val="0"/>
        <w:autoSpaceDE/>
        <w:autoSpaceDN/>
        <w:bidi w:val="0"/>
        <w:adjustRightInd/>
        <w:snapToGrid/>
        <w:spacing w:line="360" w:lineRule="auto"/>
        <w:ind w:left="0" w:right="0"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（3）定标因素评审资料（格式十四）</w:t>
      </w:r>
    </w:p>
    <w:p w14:paraId="62050842">
      <w:pPr>
        <w:pStyle w:val="8"/>
        <w:keepNext w:val="0"/>
        <w:keepLines w:val="0"/>
        <w:pageBreakBefore w:val="0"/>
        <w:overflowPunct/>
        <w:topLinePunct w:val="0"/>
        <w:bidi w:val="0"/>
        <w:spacing w:line="360" w:lineRule="auto"/>
        <w:ind w:left="0" w:right="0" w:firstLine="482" w:firstLineChars="200"/>
        <w:rPr>
          <w:rFonts w:hint="default"/>
          <w:b/>
          <w:bCs/>
          <w:color w:val="auto"/>
          <w:highlight w:val="none"/>
          <w:lang w:val="en-US"/>
        </w:rPr>
      </w:pPr>
      <w:r>
        <w:rPr>
          <w:rFonts w:hint="eastAsia" w:hAnsi="宋体" w:eastAsia="宋体" w:cs="宋体"/>
          <w:b/>
          <w:bCs/>
          <w:snapToGrid w:val="0"/>
          <w:color w:val="auto"/>
          <w:kern w:val="0"/>
          <w:sz w:val="24"/>
          <w:szCs w:val="24"/>
          <w:highlight w:val="none"/>
          <w:lang w:val="en-US" w:eastAsia="zh-CN"/>
        </w:rPr>
        <w:t xml:space="preserve">10.5.2 </w:t>
      </w:r>
      <w:r>
        <w:rPr>
          <w:rFonts w:hint="eastAsia" w:ascii="宋体" w:hAnsi="宋体" w:eastAsia="宋体" w:cs="宋体"/>
          <w:snapToGrid w:val="0"/>
          <w:color w:val="auto"/>
          <w:kern w:val="0"/>
          <w:sz w:val="24"/>
          <w:szCs w:val="24"/>
          <w:highlight w:val="none"/>
          <w:lang w:val="en-US" w:eastAsia="zh-CN" w:bidi="ar-SA"/>
        </w:rPr>
        <w:t>本节第10.5.1目中所列出的组成内容中，第（1）项所有投标人均应提供。</w:t>
      </w:r>
    </w:p>
    <w:p w14:paraId="02DC3960">
      <w:pPr>
        <w:keepNext w:val="0"/>
        <w:keepLines w:val="0"/>
        <w:pageBreakBefore w:val="0"/>
        <w:overflowPunct/>
        <w:topLinePunct w:val="0"/>
        <w:bidi w:val="0"/>
        <w:spacing w:line="360" w:lineRule="auto"/>
        <w:ind w:left="0" w:right="0" w:firstLine="446" w:firstLineChars="200"/>
        <w:outlineLvl w:val="2"/>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6"/>
      <w:bookmarkEnd w:id="57"/>
    </w:p>
    <w:p w14:paraId="3D405C38">
      <w:pPr>
        <w:keepNext w:val="0"/>
        <w:keepLines w:val="0"/>
        <w:pageBreakBefore w:val="0"/>
        <w:overflowPunct/>
        <w:topLinePunct w:val="0"/>
        <w:bidi w:val="0"/>
        <w:spacing w:line="360" w:lineRule="auto"/>
        <w:ind w:left="0" w:right="0" w:firstLine="47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keepNext w:val="0"/>
        <w:keepLines w:val="0"/>
        <w:pageBreakBefore w:val="0"/>
        <w:overflowPunct/>
        <w:topLinePunct w:val="0"/>
        <w:bidi w:val="0"/>
        <w:spacing w:line="360" w:lineRule="auto"/>
        <w:ind w:left="0" w:right="0" w:firstLine="466" w:firstLineChars="200"/>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keepNext w:val="0"/>
        <w:keepLines w:val="0"/>
        <w:pageBreakBefore w:val="0"/>
        <w:numPr>
          <w:ilvl w:val="0"/>
          <w:numId w:val="0"/>
        </w:numPr>
        <w:overflowPunct/>
        <w:topLinePunct w:val="0"/>
        <w:bidi w:val="0"/>
        <w:spacing w:line="360" w:lineRule="auto"/>
        <w:ind w:left="0" w:right="0" w:firstLine="446" w:firstLineChars="200"/>
        <w:outlineLvl w:val="2"/>
        <w:rPr>
          <w:rFonts w:hint="eastAsia" w:ascii="宋体" w:hAnsi="宋体" w:eastAsia="宋体" w:cs="宋体"/>
          <w:b/>
          <w:bCs/>
          <w:color w:val="auto"/>
          <w:spacing w:val="-4"/>
          <w:sz w:val="24"/>
          <w:szCs w:val="24"/>
          <w:highlight w:val="none"/>
        </w:rPr>
      </w:pPr>
      <w:bookmarkStart w:id="58" w:name="_Toc5126"/>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9" w:name="_Toc29834"/>
      <w:r>
        <w:rPr>
          <w:rFonts w:hint="eastAsia" w:ascii="宋体" w:hAnsi="宋体" w:eastAsia="宋体" w:cs="宋体"/>
          <w:b/>
          <w:bCs/>
          <w:color w:val="auto"/>
          <w:spacing w:val="-4"/>
          <w:sz w:val="24"/>
          <w:szCs w:val="24"/>
          <w:highlight w:val="none"/>
        </w:rPr>
        <w:t>电子投标及投标解密失败及突发情况的补救方案</w:t>
      </w:r>
      <w:bookmarkEnd w:id="58"/>
      <w:bookmarkEnd w:id="59"/>
    </w:p>
    <w:p w14:paraId="6462F20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5443024B">
      <w:pPr>
        <w:keepNext w:val="0"/>
        <w:keepLines w:val="0"/>
        <w:pageBreakBefore w:val="0"/>
        <w:overflowPunct/>
        <w:topLinePunct w:val="0"/>
        <w:bidi w:val="0"/>
        <w:spacing w:line="360" w:lineRule="auto"/>
        <w:ind w:left="0" w:right="0"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keepNext w:val="0"/>
        <w:keepLines w:val="0"/>
        <w:pageBreakBefore w:val="0"/>
        <w:overflowPunct/>
        <w:topLinePunct w:val="0"/>
        <w:bidi w:val="0"/>
        <w:spacing w:line="360" w:lineRule="auto"/>
        <w:ind w:left="0" w:right="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keepNext w:val="0"/>
        <w:keepLines w:val="0"/>
        <w:pageBreakBefore w:val="0"/>
        <w:overflowPunct/>
        <w:topLinePunct w:val="0"/>
        <w:bidi w:val="0"/>
        <w:spacing w:line="360" w:lineRule="auto"/>
        <w:ind w:left="0" w:right="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60" w:name="bookmark122"/>
      <w:bookmarkEnd w:id="60"/>
      <w:r>
        <w:rPr>
          <w:rFonts w:hint="eastAsia" w:ascii="宋体" w:hAnsi="宋体" w:eastAsia="宋体" w:cs="宋体"/>
          <w:color w:val="auto"/>
          <w:spacing w:val="-1"/>
          <w:sz w:val="24"/>
          <w:szCs w:val="24"/>
          <w:highlight w:val="none"/>
        </w:rPr>
        <w:t>重新提交投标文件继续开标程序。</w:t>
      </w:r>
    </w:p>
    <w:p w14:paraId="6A128606">
      <w:pPr>
        <w:keepNext w:val="0"/>
        <w:keepLines w:val="0"/>
        <w:pageBreakBefore w:val="0"/>
        <w:overflowPunct/>
        <w:topLinePunct w:val="0"/>
        <w:bidi w:val="0"/>
        <w:spacing w:line="360" w:lineRule="auto"/>
        <w:ind w:left="0" w:right="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32398B9">
      <w:pPr>
        <w:keepNext w:val="0"/>
        <w:keepLines w:val="0"/>
        <w:pageBreakBefore w:val="0"/>
        <w:overflowPunct/>
        <w:topLinePunct w:val="0"/>
        <w:bidi w:val="0"/>
        <w:spacing w:line="360" w:lineRule="auto"/>
        <w:ind w:left="0" w:right="0" w:firstLine="478" w:firstLineChars="200"/>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keepNext w:val="0"/>
        <w:keepLines w:val="0"/>
        <w:pageBreakBefore w:val="0"/>
        <w:overflowPunct/>
        <w:topLinePunct w:val="0"/>
        <w:bidi w:val="0"/>
        <w:spacing w:line="360" w:lineRule="auto"/>
        <w:ind w:left="0" w:right="0" w:firstLine="454" w:firstLineChars="200"/>
        <w:outlineLvl w:val="2"/>
        <w:rPr>
          <w:rFonts w:hint="eastAsia" w:ascii="宋体" w:hAnsi="宋体" w:eastAsia="宋体" w:cs="宋体"/>
          <w:color w:val="auto"/>
          <w:sz w:val="24"/>
          <w:szCs w:val="24"/>
          <w:highlight w:val="none"/>
        </w:rPr>
      </w:pPr>
      <w:bookmarkStart w:id="61" w:name="_Toc27195"/>
      <w:bookmarkStart w:id="62" w:name="_Toc3957"/>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1"/>
      <w:bookmarkEnd w:id="62"/>
    </w:p>
    <w:p w14:paraId="63ACB3FA">
      <w:pPr>
        <w:keepNext w:val="0"/>
        <w:keepLines w:val="0"/>
        <w:pageBreakBefore w:val="0"/>
        <w:overflowPunct/>
        <w:topLinePunct w:val="0"/>
        <w:bidi w:val="0"/>
        <w:spacing w:line="360" w:lineRule="auto"/>
        <w:ind w:left="0" w:right="0" w:firstLine="43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keepNext w:val="0"/>
        <w:keepLines w:val="0"/>
        <w:pageBreakBefore w:val="0"/>
        <w:overflowPunct/>
        <w:topLinePunct w:val="0"/>
        <w:bidi w:val="0"/>
        <w:spacing w:line="360" w:lineRule="auto"/>
        <w:ind w:left="0" w:right="0"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keepNext w:val="0"/>
        <w:keepLines w:val="0"/>
        <w:pageBreakBefore w:val="0"/>
        <w:overflowPunct/>
        <w:topLinePunct w:val="0"/>
        <w:bidi w:val="0"/>
        <w:spacing w:line="360" w:lineRule="auto"/>
        <w:ind w:left="0" w:right="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keepNext w:val="0"/>
        <w:keepLines w:val="0"/>
        <w:pageBreakBefore w:val="0"/>
        <w:overflowPunct/>
        <w:topLinePunct w:val="0"/>
        <w:bidi w:val="0"/>
        <w:spacing w:line="360" w:lineRule="auto"/>
        <w:ind w:left="0" w:right="0"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keepNext w:val="0"/>
        <w:keepLines w:val="0"/>
        <w:pageBreakBefore w:val="0"/>
        <w:overflowPunct/>
        <w:topLinePunct w:val="0"/>
        <w:bidi w:val="0"/>
        <w:spacing w:line="360" w:lineRule="auto"/>
        <w:ind w:left="0" w:right="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keepNext w:val="0"/>
        <w:keepLines w:val="0"/>
        <w:pageBreakBefore w:val="0"/>
        <w:overflowPunct/>
        <w:topLinePunct w:val="0"/>
        <w:bidi w:val="0"/>
        <w:spacing w:line="360" w:lineRule="auto"/>
        <w:ind w:left="0" w:right="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keepNext w:val="0"/>
        <w:keepLines w:val="0"/>
        <w:pageBreakBefore w:val="0"/>
        <w:overflowPunct/>
        <w:topLinePunct w:val="0"/>
        <w:bidi w:val="0"/>
        <w:spacing w:line="360" w:lineRule="auto"/>
        <w:ind w:left="0" w:right="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keepNext w:val="0"/>
        <w:keepLines w:val="0"/>
        <w:pageBreakBefore w:val="0"/>
        <w:overflowPunct/>
        <w:topLinePunct w:val="0"/>
        <w:bidi w:val="0"/>
        <w:spacing w:line="360" w:lineRule="auto"/>
        <w:ind w:left="0" w:right="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75241E2">
      <w:pPr>
        <w:keepNext w:val="0"/>
        <w:keepLines w:val="0"/>
        <w:pageBreakBefore w:val="0"/>
        <w:overflowPunct/>
        <w:topLinePunct w:val="0"/>
        <w:bidi w:val="0"/>
        <w:spacing w:line="360" w:lineRule="auto"/>
        <w:ind w:left="0" w:right="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A0B8A8C">
      <w:pPr>
        <w:keepNext w:val="0"/>
        <w:keepLines w:val="0"/>
        <w:pageBreakBefore w:val="0"/>
        <w:overflowPunct/>
        <w:topLinePunct w:val="0"/>
        <w:bidi w:val="0"/>
        <w:spacing w:line="360" w:lineRule="auto"/>
        <w:ind w:left="0" w:right="0" w:firstLine="474" w:firstLineChars="2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keepNext w:val="0"/>
        <w:keepLines w:val="0"/>
        <w:pageBreakBefore w:val="0"/>
        <w:overflowPunct/>
        <w:topLinePunct w:val="0"/>
        <w:bidi w:val="0"/>
        <w:spacing w:line="360" w:lineRule="auto"/>
        <w:ind w:left="0" w:right="0"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b/>
          <w:bCs/>
          <w:color w:val="auto"/>
          <w:spacing w:val="-2"/>
          <w:sz w:val="24"/>
          <w:szCs w:val="24"/>
          <w:highlight w:val="none"/>
          <w:u w:val="single"/>
          <w:lang w:eastAsia="zh-CN"/>
        </w:rPr>
        <w:t>90</w:t>
      </w:r>
      <w:r>
        <w:rPr>
          <w:rFonts w:hint="eastAsia" w:ascii="宋体" w:hAnsi="宋体" w:eastAsia="宋体" w:cs="宋体"/>
          <w:b/>
          <w:bCs/>
          <w:color w:val="auto"/>
          <w:spacing w:val="-2"/>
          <w:sz w:val="24"/>
          <w:szCs w:val="24"/>
          <w:highlight w:val="none"/>
        </w:rPr>
        <w:t>个日历天</w:t>
      </w:r>
      <w:r>
        <w:rPr>
          <w:rFonts w:hint="eastAsia" w:ascii="宋体" w:hAnsi="宋体" w:eastAsia="宋体" w:cs="宋体"/>
          <w:color w:val="auto"/>
          <w:spacing w:val="-2"/>
          <w:sz w:val="24"/>
          <w:szCs w:val="24"/>
          <w:highlight w:val="none"/>
        </w:rPr>
        <w:t>，投标有效期从提交投标文件的截止之日起计算。在此期间，投标人不得撤销或修改其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keepNext w:val="0"/>
        <w:keepLines w:val="0"/>
        <w:pageBreakBefore w:val="0"/>
        <w:overflowPunct/>
        <w:topLinePunct w:val="0"/>
        <w:bidi w:val="0"/>
        <w:spacing w:line="360" w:lineRule="auto"/>
        <w:ind w:left="0" w:right="0" w:firstLine="438" w:firstLineChars="200"/>
        <w:outlineLvl w:val="2"/>
        <w:rPr>
          <w:rFonts w:hint="eastAsia" w:ascii="宋体" w:hAnsi="宋体" w:eastAsia="宋体" w:cs="宋体"/>
          <w:color w:val="auto"/>
          <w:sz w:val="24"/>
          <w:szCs w:val="24"/>
          <w:highlight w:val="none"/>
        </w:rPr>
      </w:pPr>
      <w:bookmarkStart w:id="63" w:name="_Toc22047"/>
      <w:bookmarkStart w:id="64" w:name="_Toc8365"/>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3"/>
      <w:bookmarkEnd w:id="64"/>
    </w:p>
    <w:p w14:paraId="792BE085">
      <w:pPr>
        <w:keepNext w:val="0"/>
        <w:keepLines w:val="0"/>
        <w:pageBreakBefore w:val="0"/>
        <w:overflowPunct/>
        <w:topLinePunct w:val="0"/>
        <w:bidi w:val="0"/>
        <w:spacing w:line="360" w:lineRule="auto"/>
        <w:ind w:left="0" w:right="0"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5" w:name="bookmark123"/>
      <w:bookmarkEnd w:id="65"/>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keepNext w:val="0"/>
        <w:keepLines w:val="0"/>
        <w:pageBreakBefore w:val="0"/>
        <w:overflowPunct/>
        <w:topLinePunct w:val="0"/>
        <w:bidi w:val="0"/>
        <w:spacing w:line="360" w:lineRule="auto"/>
        <w:ind w:left="0" w:right="0"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5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keepNext w:val="0"/>
        <w:keepLines w:val="0"/>
        <w:pageBreakBefore w:val="0"/>
        <w:overflowPunct/>
        <w:topLinePunct w:val="0"/>
        <w:bidi w:val="0"/>
        <w:spacing w:line="360" w:lineRule="auto"/>
        <w:ind w:left="0" w:right="0" w:firstLine="466"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16B5CEF9">
      <w:pPr>
        <w:keepNext w:val="0"/>
        <w:keepLines w:val="0"/>
        <w:pageBreakBefore w:val="0"/>
        <w:overflowPunct/>
        <w:topLinePunct w:val="0"/>
        <w:bidi w:val="0"/>
        <w:spacing w:line="360" w:lineRule="auto"/>
        <w:ind w:left="0" w:right="0"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keepNext w:val="0"/>
        <w:keepLines w:val="0"/>
        <w:pageBreakBefore w:val="0"/>
        <w:overflowPunct/>
        <w:topLinePunct w:val="0"/>
        <w:bidi w:val="0"/>
        <w:spacing w:line="360" w:lineRule="auto"/>
        <w:ind w:left="0" w:right="0" w:firstLine="476" w:firstLineChars="200"/>
        <w:outlineLvl w:val="9"/>
        <w:rPr>
          <w:rFonts w:hint="eastAsia" w:ascii="宋体" w:hAnsi="宋体" w:eastAsia="宋体" w:cs="宋体"/>
          <w:color w:val="auto"/>
          <w:sz w:val="24"/>
          <w:szCs w:val="24"/>
          <w:highlight w:val="none"/>
        </w:rPr>
      </w:pPr>
      <w:bookmarkStart w:id="66" w:name="_Toc15587"/>
      <w:bookmarkStart w:id="67" w:name="_Toc10685"/>
      <w:bookmarkStart w:id="68" w:name="_Toc8314"/>
      <w:bookmarkStart w:id="69" w:name="_Toc10291"/>
      <w:r>
        <w:rPr>
          <w:rFonts w:hint="eastAsia" w:ascii="宋体" w:hAnsi="宋体" w:eastAsia="宋体" w:cs="宋体"/>
          <w:color w:val="auto"/>
          <w:spacing w:val="-1"/>
          <w:sz w:val="24"/>
          <w:szCs w:val="24"/>
          <w:highlight w:val="none"/>
        </w:rPr>
        <w:t>（1）主持人（招标人代表或招标人授权的招标代理机构人员）宣读开标纪律。</w:t>
      </w:r>
      <w:bookmarkEnd w:id="66"/>
      <w:bookmarkEnd w:id="67"/>
      <w:bookmarkEnd w:id="68"/>
      <w:bookmarkEnd w:id="69"/>
    </w:p>
    <w:p w14:paraId="5EAC246A">
      <w:pPr>
        <w:keepNext w:val="0"/>
        <w:keepLines w:val="0"/>
        <w:pageBreakBefore w:val="0"/>
        <w:overflowPunct/>
        <w:topLinePunct w:val="0"/>
        <w:bidi w:val="0"/>
        <w:spacing w:line="360" w:lineRule="auto"/>
        <w:ind w:left="0" w:right="0" w:firstLine="476" w:firstLineChars="200"/>
        <w:outlineLvl w:val="9"/>
        <w:rPr>
          <w:rFonts w:hint="eastAsia" w:ascii="宋体" w:hAnsi="宋体" w:eastAsia="宋体" w:cs="宋体"/>
          <w:color w:val="auto"/>
          <w:sz w:val="24"/>
          <w:szCs w:val="24"/>
          <w:highlight w:val="none"/>
        </w:rPr>
      </w:pPr>
      <w:bookmarkStart w:id="70" w:name="_Toc2011"/>
      <w:bookmarkStart w:id="71" w:name="_Toc20238"/>
      <w:bookmarkStart w:id="72" w:name="_Toc16292"/>
      <w:bookmarkStart w:id="73" w:name="_Toc30853"/>
      <w:r>
        <w:rPr>
          <w:rFonts w:hint="eastAsia" w:ascii="宋体" w:hAnsi="宋体" w:eastAsia="宋体" w:cs="宋体"/>
          <w:color w:val="auto"/>
          <w:spacing w:val="-1"/>
          <w:sz w:val="24"/>
          <w:szCs w:val="24"/>
          <w:highlight w:val="none"/>
        </w:rPr>
        <w:t>（2）主持人宣布唱标人、记录人、见证人、监督人等有关人员姓名。</w:t>
      </w:r>
      <w:bookmarkEnd w:id="70"/>
      <w:bookmarkEnd w:id="71"/>
      <w:bookmarkEnd w:id="72"/>
      <w:bookmarkEnd w:id="73"/>
    </w:p>
    <w:p w14:paraId="7443DF73">
      <w:pPr>
        <w:keepNext w:val="0"/>
        <w:keepLines w:val="0"/>
        <w:pageBreakBefore w:val="0"/>
        <w:overflowPunct/>
        <w:topLinePunct w:val="0"/>
        <w:bidi w:val="0"/>
        <w:spacing w:line="360" w:lineRule="auto"/>
        <w:ind w:left="0" w:right="0" w:firstLine="476" w:firstLineChars="200"/>
        <w:outlineLvl w:val="9"/>
        <w:rPr>
          <w:rFonts w:hint="eastAsia" w:ascii="宋体" w:hAnsi="宋体" w:eastAsia="宋体" w:cs="宋体"/>
          <w:color w:val="auto"/>
          <w:sz w:val="24"/>
          <w:szCs w:val="24"/>
          <w:highlight w:val="none"/>
        </w:rPr>
      </w:pPr>
      <w:bookmarkStart w:id="74" w:name="_Toc31716"/>
      <w:bookmarkStart w:id="75" w:name="_Toc1974"/>
      <w:bookmarkStart w:id="76" w:name="_Toc26494"/>
      <w:bookmarkStart w:id="77" w:name="_Toc17462"/>
      <w:r>
        <w:rPr>
          <w:rFonts w:hint="eastAsia" w:ascii="宋体" w:hAnsi="宋体" w:eastAsia="宋体" w:cs="宋体"/>
          <w:color w:val="auto"/>
          <w:spacing w:val="-1"/>
          <w:sz w:val="24"/>
          <w:szCs w:val="24"/>
          <w:highlight w:val="none"/>
        </w:rPr>
        <w:t>（3）唱标人公布在投标截止时间前进行投标文件的投标人数量和名称</w:t>
      </w:r>
      <w:bookmarkEnd w:id="74"/>
      <w:bookmarkEnd w:id="75"/>
      <w:bookmarkEnd w:id="76"/>
      <w:bookmarkEnd w:id="77"/>
    </w:p>
    <w:p w14:paraId="3324CC32">
      <w:pPr>
        <w:keepNext w:val="0"/>
        <w:keepLines w:val="0"/>
        <w:pageBreakBefore w:val="0"/>
        <w:overflowPunct/>
        <w:topLinePunct w:val="0"/>
        <w:bidi w:val="0"/>
        <w:spacing w:line="360" w:lineRule="auto"/>
        <w:ind w:left="0" w:right="0" w:firstLine="488" w:firstLineChars="200"/>
        <w:outlineLvl w:val="9"/>
        <w:rPr>
          <w:rFonts w:hint="eastAsia" w:ascii="宋体" w:hAnsi="宋体" w:eastAsia="宋体" w:cs="宋体"/>
          <w:color w:val="auto"/>
          <w:sz w:val="24"/>
          <w:szCs w:val="24"/>
          <w:highlight w:val="none"/>
        </w:rPr>
      </w:pPr>
      <w:bookmarkStart w:id="78" w:name="_Toc27967"/>
      <w:bookmarkStart w:id="79" w:name="_Toc15860"/>
      <w:bookmarkStart w:id="80" w:name="_Toc8179"/>
      <w:bookmarkStart w:id="81" w:name="_Toc20559"/>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8"/>
      <w:bookmarkEnd w:id="79"/>
      <w:bookmarkEnd w:id="80"/>
      <w:bookmarkEnd w:id="81"/>
    </w:p>
    <w:p w14:paraId="2BAFEA97">
      <w:pPr>
        <w:keepNext w:val="0"/>
        <w:keepLines w:val="0"/>
        <w:pageBreakBefore w:val="0"/>
        <w:overflowPunct/>
        <w:topLinePunct w:val="0"/>
        <w:bidi w:val="0"/>
        <w:spacing w:line="360" w:lineRule="auto"/>
        <w:ind w:left="0" w:right="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keepNext w:val="0"/>
        <w:keepLines w:val="0"/>
        <w:pageBreakBefore w:val="0"/>
        <w:overflowPunct/>
        <w:topLinePunct w:val="0"/>
        <w:bidi w:val="0"/>
        <w:spacing w:line="360" w:lineRule="auto"/>
        <w:ind w:left="0" w:right="0" w:firstLine="466" w:firstLineChars="200"/>
        <w:outlineLvl w:val="9"/>
        <w:rPr>
          <w:rFonts w:hint="eastAsia" w:ascii="宋体" w:hAnsi="宋体" w:eastAsia="宋体" w:cs="宋体"/>
          <w:color w:val="auto"/>
          <w:sz w:val="24"/>
          <w:szCs w:val="24"/>
          <w:highlight w:val="none"/>
        </w:rPr>
      </w:pPr>
      <w:bookmarkStart w:id="82" w:name="_Toc28266"/>
      <w:bookmarkStart w:id="83" w:name="_Toc28812"/>
      <w:bookmarkStart w:id="84" w:name="_Toc2199"/>
      <w:bookmarkStart w:id="85"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2"/>
      <w:bookmarkEnd w:id="83"/>
      <w:bookmarkEnd w:id="84"/>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5"/>
    </w:p>
    <w:p w14:paraId="40440713">
      <w:pPr>
        <w:keepNext w:val="0"/>
        <w:keepLines w:val="0"/>
        <w:pageBreakBefore w:val="0"/>
        <w:overflowPunct/>
        <w:topLinePunct w:val="0"/>
        <w:bidi w:val="0"/>
        <w:spacing w:line="360" w:lineRule="auto"/>
        <w:ind w:left="0" w:right="0" w:firstLine="47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keepNext w:val="0"/>
        <w:keepLines w:val="0"/>
        <w:pageBreakBefore w:val="0"/>
        <w:overflowPunct/>
        <w:topLinePunct w:val="0"/>
        <w:bidi w:val="0"/>
        <w:spacing w:line="360" w:lineRule="auto"/>
        <w:ind w:left="0" w:right="0" w:firstLine="478" w:firstLineChars="200"/>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keepNext w:val="0"/>
        <w:keepLines w:val="0"/>
        <w:pageBreakBefore w:val="0"/>
        <w:overflowPunct/>
        <w:topLinePunct w:val="0"/>
        <w:bidi w:val="0"/>
        <w:spacing w:line="360" w:lineRule="auto"/>
        <w:ind w:left="0" w:right="0" w:firstLine="438" w:firstLineChars="200"/>
        <w:outlineLvl w:val="2"/>
        <w:rPr>
          <w:rFonts w:hint="eastAsia" w:ascii="宋体" w:hAnsi="宋体" w:eastAsia="宋体" w:cs="宋体"/>
          <w:color w:val="auto"/>
          <w:highlight w:val="none"/>
        </w:rPr>
      </w:pPr>
      <w:bookmarkStart w:id="86" w:name="_Toc554"/>
      <w:bookmarkStart w:id="87" w:name="_Toc961"/>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6"/>
      <w:bookmarkEnd w:id="87"/>
    </w:p>
    <w:p w14:paraId="5CEBE6C5">
      <w:pPr>
        <w:keepNext w:val="0"/>
        <w:keepLines w:val="0"/>
        <w:pageBreakBefore w:val="0"/>
        <w:widowControl w:val="0"/>
        <w:kinsoku/>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snapToGrid w:val="0"/>
          <w:color w:val="auto"/>
          <w:kern w:val="0"/>
          <w:sz w:val="24"/>
          <w:szCs w:val="24"/>
          <w:highlight w:val="none"/>
        </w:rPr>
      </w:pPr>
      <w:bookmarkStart w:id="88" w:name="bookmark124"/>
      <w:bookmarkEnd w:id="88"/>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74FE6A41">
      <w:pPr>
        <w:keepNext w:val="0"/>
        <w:keepLines w:val="0"/>
        <w:pageBreakBefore w:val="0"/>
        <w:overflowPunct/>
        <w:topLinePunct w:val="0"/>
        <w:bidi w:val="0"/>
        <w:spacing w:line="360" w:lineRule="auto"/>
        <w:ind w:left="0" w:right="0"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6FF11D03">
      <w:pPr>
        <w:keepNext w:val="0"/>
        <w:keepLines w:val="0"/>
        <w:pageBreakBefore w:val="0"/>
        <w:wordWrap w:val="0"/>
        <w:overflowPunct/>
        <w:topLinePunct w:val="0"/>
        <w:bidi w:val="0"/>
        <w:adjustRightInd w:val="0"/>
        <w:snapToGrid w:val="0"/>
        <w:spacing w:line="360" w:lineRule="auto"/>
        <w:ind w:left="0" w:right="0" w:firstLine="478"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4CE798F0">
      <w:pPr>
        <w:keepNext w:val="0"/>
        <w:keepLines w:val="0"/>
        <w:pageBreakBefore w:val="0"/>
        <w:wordWrap w:val="0"/>
        <w:overflowPunct/>
        <w:topLinePunct w:val="0"/>
        <w:bidi w:val="0"/>
        <w:adjustRightInd w:val="0"/>
        <w:snapToGrid w:val="0"/>
        <w:spacing w:line="360" w:lineRule="auto"/>
        <w:ind w:left="0" w:right="0" w:firstLine="474"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2"/>
          <w:sz w:val="24"/>
          <w:szCs w:val="24"/>
          <w:highlight w:val="none"/>
        </w:rPr>
        <w:t>15.1.2</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评标专家</w:t>
      </w:r>
      <w:r>
        <w:rPr>
          <w:rFonts w:hint="eastAsia" w:ascii="宋体" w:hAnsi="宋体" w:eastAsia="宋体" w:cs="宋体"/>
          <w:snapToGrid w:val="0"/>
          <w:color w:val="auto"/>
          <w:kern w:val="0"/>
          <w:sz w:val="24"/>
          <w:highlight w:val="none"/>
        </w:rPr>
        <w:t>应按时参加评标活动，自觉遵守工作纪律和服从现场管理</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主场、副场各自负责本场所</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成员推举产生</w:t>
      </w:r>
      <w:r>
        <w:rPr>
          <w:rFonts w:hint="eastAsia" w:ascii="宋体" w:hAnsi="宋体" w:eastAsia="宋体" w:cs="宋体"/>
          <w:snapToGrid w:val="0"/>
          <w:color w:val="auto"/>
          <w:kern w:val="0"/>
          <w:sz w:val="24"/>
          <w:highlight w:val="none"/>
          <w:lang w:eastAsia="zh-CN"/>
        </w:rPr>
        <w:t>的评标委员会组长</w:t>
      </w:r>
      <w:r>
        <w:rPr>
          <w:rFonts w:hint="eastAsia" w:ascii="宋体" w:hAnsi="宋体" w:eastAsia="宋体" w:cs="宋体"/>
          <w:snapToGrid w:val="0"/>
          <w:color w:val="auto"/>
          <w:kern w:val="0"/>
          <w:sz w:val="24"/>
          <w:highlight w:val="none"/>
        </w:rPr>
        <w:t>组织</w:t>
      </w:r>
      <w:r>
        <w:rPr>
          <w:rFonts w:hint="eastAsia" w:ascii="宋体" w:hAnsi="宋体" w:eastAsia="宋体" w:cs="宋体"/>
          <w:snapToGrid w:val="0"/>
          <w:color w:val="auto"/>
          <w:kern w:val="0"/>
          <w:sz w:val="24"/>
          <w:highlight w:val="none"/>
          <w:lang w:eastAsia="zh-CN"/>
        </w:rPr>
        <w:t>各</w:t>
      </w:r>
      <w:r>
        <w:rPr>
          <w:rFonts w:hint="eastAsia" w:ascii="宋体" w:hAnsi="宋体" w:eastAsia="宋体" w:cs="宋体"/>
          <w:snapToGrid w:val="0"/>
          <w:color w:val="auto"/>
          <w:kern w:val="0"/>
          <w:sz w:val="24"/>
          <w:highlight w:val="none"/>
        </w:rPr>
        <w:t>成员协商讨论。在评标过程中需要进行讨论或者通过实名投票方式表决意见的，应当通过视频会议系统进行，并做好相关记录。</w:t>
      </w:r>
    </w:p>
    <w:p w14:paraId="34609F4C">
      <w:pPr>
        <w:keepNext w:val="0"/>
        <w:keepLines w:val="0"/>
        <w:pageBreakBefore w:val="0"/>
        <w:shd w:val="clear" w:color="auto" w:fill="auto"/>
        <w:kinsoku/>
        <w:wordWrap/>
        <w:overflowPunct/>
        <w:topLinePunct w:val="0"/>
        <w:bidi w:val="0"/>
        <w:adjustRightInd/>
        <w:snapToGrid/>
        <w:spacing w:line="360" w:lineRule="auto"/>
        <w:ind w:left="0" w:leftChars="0" w:right="0" w:firstLine="474"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bCs/>
          <w:color w:val="auto"/>
          <w:sz w:val="24"/>
          <w:highlight w:val="none"/>
          <w:lang w:val="en-US" w:eastAsia="zh-CN"/>
        </w:rPr>
        <w:t>15.1.3</w:t>
      </w:r>
      <w:r>
        <w:rPr>
          <w:rFonts w:hint="eastAsia" w:ascii="宋体" w:hAnsi="宋体" w:eastAsia="宋体" w:cs="宋体"/>
          <w:color w:val="auto"/>
          <w:sz w:val="24"/>
          <w:highlight w:val="none"/>
          <w:lang w:eastAsia="zh-CN"/>
        </w:rPr>
        <w:t>评标委员会应</w:t>
      </w:r>
      <w:r>
        <w:rPr>
          <w:rFonts w:hint="eastAsia" w:ascii="宋体" w:hAnsi="宋体" w:eastAsia="宋体" w:cs="宋体"/>
          <w:color w:val="auto"/>
          <w:sz w:val="24"/>
          <w:highlight w:val="none"/>
        </w:rPr>
        <w:t>严格按照招标文件的评标办法规定的评标程序、评标标准和方法进行评标，招标文件没有规定的评标标准和方法不得作为评标的依据。</w:t>
      </w:r>
      <w:r>
        <w:rPr>
          <w:rFonts w:hint="eastAsia" w:ascii="宋体" w:hAnsi="宋体" w:eastAsia="宋体" w:cs="宋体"/>
          <w:color w:val="auto"/>
          <w:sz w:val="24"/>
          <w:highlight w:val="none"/>
          <w:lang w:eastAsia="zh-CN"/>
        </w:rPr>
        <w:t>并且</w:t>
      </w:r>
      <w:r>
        <w:rPr>
          <w:rFonts w:hint="eastAsia" w:ascii="宋体" w:hAnsi="宋体" w:eastAsia="宋体" w:cs="宋体"/>
          <w:color w:val="auto"/>
          <w:sz w:val="24"/>
          <w:highlight w:val="none"/>
        </w:rPr>
        <w:t>自觉接受有关行政部门监督，协助配合有关异议和投诉处理。采用远程异地评标方式评标的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主场、副场评标专家在评标过程中具有同等权利和义务</w:t>
      </w:r>
    </w:p>
    <w:p w14:paraId="15C81B7D">
      <w:pPr>
        <w:keepNext w:val="0"/>
        <w:keepLines w:val="0"/>
        <w:pageBreakBefore w:val="0"/>
        <w:widowControl w:val="0"/>
        <w:shd w:val="clear" w:color="auto" w:fill="auto"/>
        <w:kinsoku/>
        <w:wordWrap/>
        <w:overflowPunct/>
        <w:topLinePunct w:val="0"/>
        <w:autoSpaceDE w:val="0"/>
        <w:autoSpaceDN w:val="0"/>
        <w:bidi w:val="0"/>
        <w:adjustRightInd/>
        <w:snapToGrid/>
        <w:spacing w:line="360" w:lineRule="auto"/>
        <w:ind w:left="0" w:leftChars="0" w:right="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15.1.4</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应切实履行评标职责，对同一个问题不一致的，按程序要求记录。</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实行少数服从多数的原则，以记名投票方式表决，评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结果经</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全体成员过半数通过有效。</w:t>
      </w:r>
    </w:p>
    <w:p w14:paraId="2691AA18">
      <w:pPr>
        <w:keepNext w:val="0"/>
        <w:keepLines w:val="0"/>
        <w:pageBreakBefore w:val="0"/>
        <w:wordWrap w:val="0"/>
        <w:overflowPunct/>
        <w:topLinePunct w:val="0"/>
        <w:bidi w:val="0"/>
        <w:adjustRightInd w:val="0"/>
        <w:snapToGrid w:val="0"/>
        <w:spacing w:line="360" w:lineRule="auto"/>
        <w:ind w:left="0" w:right="0"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15.1.5</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成员将个人意见强加给他人，影响正常评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秩序和妨碍评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结论的公正性。对评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结果有不同意见的</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成员应当以书面形式说明其不同意见和理由，</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应当注明该不同意见。</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成员拒绝在</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上签字又不书面说明其不同意见和理由的，视为同意评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w:t>
      </w:r>
    </w:p>
    <w:p w14:paraId="71525F17">
      <w:pPr>
        <w:keepNext w:val="0"/>
        <w:keepLines w:val="0"/>
        <w:pageBreakBefore w:val="0"/>
        <w:wordWrap w:val="0"/>
        <w:overflowPunct/>
        <w:topLinePunct w:val="0"/>
        <w:bidi w:val="0"/>
        <w:adjustRightInd w:val="0"/>
        <w:snapToGrid w:val="0"/>
        <w:spacing w:line="360" w:lineRule="auto"/>
        <w:ind w:left="0" w:right="0"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15.2</w:t>
      </w:r>
      <w:r>
        <w:rPr>
          <w:rFonts w:hint="eastAsia" w:ascii="宋体" w:hAnsi="宋体" w:eastAsia="宋体" w:cs="宋体"/>
          <w:b/>
          <w:color w:val="auto"/>
          <w:sz w:val="24"/>
          <w:highlight w:val="none"/>
        </w:rPr>
        <w:t>评标过程的回避</w:t>
      </w:r>
    </w:p>
    <w:p w14:paraId="6E04259D">
      <w:pPr>
        <w:keepNext w:val="0"/>
        <w:keepLines w:val="0"/>
        <w:pageBreakBefore w:val="0"/>
        <w:overflowPunct/>
        <w:topLinePunct w:val="0"/>
        <w:bidi w:val="0"/>
        <w:spacing w:line="360" w:lineRule="auto"/>
        <w:ind w:left="0" w:right="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15.2.1</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B6D30EB">
      <w:pPr>
        <w:keepNext w:val="0"/>
        <w:keepLines w:val="0"/>
        <w:pageBreakBefore w:val="0"/>
        <w:overflowPunct/>
        <w:topLinePunct w:val="0"/>
        <w:bidi w:val="0"/>
        <w:spacing w:line="360" w:lineRule="auto"/>
        <w:ind w:left="0" w:right="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311A3C6A">
      <w:pPr>
        <w:keepNext w:val="0"/>
        <w:keepLines w:val="0"/>
        <w:pageBreakBefore w:val="0"/>
        <w:overflowPunct/>
        <w:topLinePunct w:val="0"/>
        <w:bidi w:val="0"/>
        <w:spacing w:line="360" w:lineRule="auto"/>
        <w:ind w:left="0" w:right="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5160DFA2">
      <w:pPr>
        <w:keepNext w:val="0"/>
        <w:keepLines w:val="0"/>
        <w:pageBreakBefore w:val="0"/>
        <w:overflowPunct/>
        <w:topLinePunct w:val="0"/>
        <w:bidi w:val="0"/>
        <w:spacing w:line="360" w:lineRule="auto"/>
        <w:ind w:left="0" w:right="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2119D0A">
      <w:pPr>
        <w:keepNext w:val="0"/>
        <w:keepLines w:val="0"/>
        <w:pageBreakBefore w:val="0"/>
        <w:overflowPunct/>
        <w:topLinePunct w:val="0"/>
        <w:bidi w:val="0"/>
        <w:spacing w:line="360" w:lineRule="auto"/>
        <w:ind w:left="0" w:right="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39AEDCC3">
      <w:pPr>
        <w:keepNext w:val="0"/>
        <w:keepLines w:val="0"/>
        <w:pageBreakBefore w:val="0"/>
        <w:shd w:val="clear" w:color="auto" w:fill="auto"/>
        <w:kinsoku/>
        <w:wordWrap/>
        <w:overflowPunct/>
        <w:topLinePunct w:val="0"/>
        <w:bidi w:val="0"/>
        <w:adjustRightInd/>
        <w:snapToGrid/>
        <w:spacing w:line="360" w:lineRule="auto"/>
        <w:ind w:left="0" w:leftChars="0" w:right="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15.2.2</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专家不主动提出回避的，一经发现，应立即终止其评标活动，已完成评标活动的，其评标结果无效。</w:t>
      </w:r>
    </w:p>
    <w:p w14:paraId="1642B4B0">
      <w:pPr>
        <w:keepNext w:val="0"/>
        <w:keepLines w:val="0"/>
        <w:pageBreakBefore w:val="0"/>
        <w:shd w:val="clear" w:color="auto" w:fill="auto"/>
        <w:kinsoku/>
        <w:wordWrap/>
        <w:overflowPunct/>
        <w:topLinePunct w:val="0"/>
        <w:bidi w:val="0"/>
        <w:adjustRightInd/>
        <w:snapToGrid/>
        <w:spacing w:line="360" w:lineRule="auto"/>
        <w:ind w:left="0" w:leftChars="0" w:right="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cs="宋体"/>
          <w:b/>
          <w:bCs/>
          <w:snapToGrid w:val="0"/>
          <w:color w:val="auto"/>
          <w:kern w:val="0"/>
          <w:sz w:val="24"/>
          <w:highlight w:val="none"/>
          <w:lang w:val="en-US" w:eastAsia="zh-CN"/>
        </w:rPr>
        <w:t>15.3</w:t>
      </w:r>
      <w:r>
        <w:rPr>
          <w:rFonts w:hint="eastAsia" w:ascii="宋体" w:hAnsi="宋体" w:cs="宋体"/>
          <w:snapToGrid w:val="0"/>
          <w:color w:val="auto"/>
          <w:kern w:val="0"/>
          <w:sz w:val="24"/>
          <w:highlight w:val="none"/>
        </w:rPr>
        <w:t xml:space="preserve"> </w:t>
      </w:r>
      <w:r>
        <w:rPr>
          <w:rFonts w:hint="eastAsia" w:ascii="宋体" w:hAnsi="宋体" w:eastAsia="宋体" w:cs="宋体"/>
          <w:b/>
          <w:color w:val="auto"/>
          <w:sz w:val="24"/>
          <w:highlight w:val="none"/>
        </w:rPr>
        <w:t>评标过程的保密</w:t>
      </w:r>
    </w:p>
    <w:p w14:paraId="163002D0">
      <w:pPr>
        <w:keepNext w:val="0"/>
        <w:keepLines w:val="0"/>
        <w:pageBreakBefore w:val="0"/>
        <w:widowControl w:val="0"/>
        <w:shd w:val="clear" w:color="auto" w:fill="auto"/>
        <w:kinsoku/>
        <w:wordWrap/>
        <w:overflowPunct/>
        <w:topLinePunct w:val="0"/>
        <w:autoSpaceDE w:val="0"/>
        <w:autoSpaceDN w:val="0"/>
        <w:bidi w:val="0"/>
        <w:adjustRightInd/>
        <w:snapToGrid/>
        <w:spacing w:line="360" w:lineRule="auto"/>
        <w:ind w:left="0" w:leftChars="0" w:right="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15.3.1</w:t>
      </w:r>
      <w:r>
        <w:rPr>
          <w:rFonts w:hint="eastAsia" w:ascii="宋体" w:hAnsi="宋体" w:eastAsia="宋体" w:cs="宋体"/>
          <w:color w:val="auto"/>
          <w:kern w:val="0"/>
          <w:sz w:val="24"/>
          <w:highlight w:val="none"/>
        </w:rPr>
        <w:t xml:space="preserve"> 开标后，直至授予中标人合同为止，凡属于对投标人文件的审查、澄清、评价和比较有关的资料及与中标候选人的推荐情况，与评标有关的其他任何情况均应严格保密。</w:t>
      </w:r>
    </w:p>
    <w:p w14:paraId="4694A313">
      <w:pPr>
        <w:keepNext w:val="0"/>
        <w:keepLines w:val="0"/>
        <w:pageBreakBefore w:val="0"/>
        <w:shd w:val="clear" w:color="auto" w:fill="auto"/>
        <w:kinsoku/>
        <w:wordWrap/>
        <w:overflowPunct/>
        <w:topLinePunct w:val="0"/>
        <w:bidi w:val="0"/>
        <w:adjustRightInd/>
        <w:snapToGrid/>
        <w:spacing w:line="360" w:lineRule="auto"/>
        <w:ind w:left="0" w:leftChars="0" w:right="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15.3.2</w:t>
      </w:r>
      <w:r>
        <w:rPr>
          <w:rFonts w:hint="eastAsia" w:ascii="宋体" w:hAnsi="宋体" w:eastAsia="宋体" w:cs="宋体"/>
          <w:color w:val="auto"/>
          <w:kern w:val="0"/>
          <w:sz w:val="24"/>
          <w:highlight w:val="none"/>
        </w:rPr>
        <w:t xml:space="preserve"> 在投标文件的评审和比较、中标候选人推荐以及授予合同的过程中，投标人向招标人和评标委员会施加影响的任何行为，都将会导致其投标被拒绝。</w:t>
      </w:r>
    </w:p>
    <w:p w14:paraId="3745944F">
      <w:pPr>
        <w:keepNext w:val="0"/>
        <w:keepLines w:val="0"/>
        <w:pageBreakBefore w:val="0"/>
        <w:shd w:val="clear" w:color="auto" w:fill="auto"/>
        <w:kinsoku/>
        <w:wordWrap/>
        <w:overflowPunct/>
        <w:topLinePunct w:val="0"/>
        <w:bidi w:val="0"/>
        <w:adjustRightInd/>
        <w:snapToGrid/>
        <w:spacing w:line="360" w:lineRule="auto"/>
        <w:ind w:left="0" w:leftChars="0" w:right="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15.3.3</w:t>
      </w:r>
      <w:r>
        <w:rPr>
          <w:rFonts w:hint="eastAsia" w:ascii="宋体" w:hAnsi="宋体" w:eastAsia="宋体" w:cs="宋体"/>
          <w:color w:val="auto"/>
          <w:kern w:val="0"/>
          <w:sz w:val="24"/>
          <w:highlight w:val="none"/>
        </w:rPr>
        <w:t>中标人确定后，招标人不对未中标人就评标过程以及未能中标原因作出任何解释。未中标人不得向评标委员会组成人员或其他有关人员索问评标过程的情况和材料。</w:t>
      </w:r>
    </w:p>
    <w:p w14:paraId="4433A9EB">
      <w:pPr>
        <w:keepNext w:val="0"/>
        <w:keepLines w:val="0"/>
        <w:pageBreakBefore w:val="0"/>
        <w:overflowPunct/>
        <w:topLinePunct w:val="0"/>
        <w:bidi w:val="0"/>
        <w:spacing w:line="360" w:lineRule="auto"/>
        <w:ind w:left="0" w:right="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lang w:val="en-US" w:eastAsia="zh-CN"/>
        </w:rPr>
        <w:t>15.3.4</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03791E4">
      <w:pPr>
        <w:keepNext w:val="0"/>
        <w:keepLines w:val="0"/>
        <w:pageBreakBefore w:val="0"/>
        <w:overflowPunct/>
        <w:topLinePunct w:val="0"/>
        <w:bidi w:val="0"/>
        <w:spacing w:line="360" w:lineRule="auto"/>
        <w:ind w:left="0" w:right="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15.</w:t>
      </w:r>
      <w:r>
        <w:rPr>
          <w:rFonts w:hint="eastAsia" w:ascii="宋体" w:hAnsi="宋体" w:eastAsia="宋体" w:cs="宋体"/>
          <w:b/>
          <w:bCs/>
          <w:color w:val="auto"/>
          <w:spacing w:val="-1"/>
          <w:sz w:val="24"/>
          <w:szCs w:val="24"/>
          <w:highlight w:val="none"/>
          <w:lang w:val="en-US" w:eastAsia="zh-CN"/>
        </w:rPr>
        <w:t>3.5</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EE9F1E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3.6</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keepNext w:val="0"/>
        <w:keepLines w:val="0"/>
        <w:pageBreakBefore w:val="0"/>
        <w:overflowPunct/>
        <w:topLinePunct w:val="0"/>
        <w:bidi w:val="0"/>
        <w:spacing w:line="360" w:lineRule="auto"/>
        <w:ind w:left="0" w:right="0" w:firstLine="474" w:firstLineChars="200"/>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3</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评标方法</w:t>
      </w:r>
    </w:p>
    <w:p w14:paraId="6D924BEF">
      <w:pPr>
        <w:keepNext w:val="0"/>
        <w:keepLines w:val="0"/>
        <w:pageBreakBefore w:val="0"/>
        <w:overflowPunct/>
        <w:topLinePunct w:val="0"/>
        <w:bidi w:val="0"/>
        <w:spacing w:line="360" w:lineRule="auto"/>
        <w:ind w:left="0" w:right="0" w:firstLine="464" w:firstLineChars="200"/>
        <w:rPr>
          <w:rFonts w:hint="eastAsia" w:ascii="宋体" w:hAnsi="宋体" w:eastAsia="宋体" w:cs="宋体"/>
          <w:color w:val="auto"/>
          <w:highlight w:val="none"/>
        </w:rPr>
      </w:pPr>
      <w:bookmarkStart w:id="89" w:name="bookmark125"/>
      <w:bookmarkEnd w:id="89"/>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lang w:eastAsia="zh-CN"/>
        </w:rPr>
        <w:t xml:space="preserve"> 综合评分法</w:t>
      </w:r>
      <w:r>
        <w:rPr>
          <w:rFonts w:hint="eastAsia" w:ascii="宋体" w:hAnsi="宋体" w:eastAsia="宋体" w:cs="宋体"/>
          <w:b/>
          <w:bCs/>
          <w:color w:val="auto"/>
          <w:spacing w:val="-4"/>
          <w:sz w:val="24"/>
          <w:szCs w:val="24"/>
          <w:highlight w:val="none"/>
          <w:u w:val="single"/>
        </w:rPr>
        <w:t xml:space="preserve"> </w:t>
      </w:r>
      <w:r>
        <w:rPr>
          <w:rFonts w:hint="eastAsia" w:ascii="宋体" w:hAnsi="宋体" w:eastAsia="宋体" w:cs="宋体"/>
          <w:color w:val="auto"/>
          <w:spacing w:val="-1"/>
          <w:sz w:val="24"/>
          <w:szCs w:val="24"/>
          <w:highlight w:val="none"/>
        </w:rPr>
        <w:t>进行评标。</w:t>
      </w:r>
    </w:p>
    <w:p w14:paraId="083CCE6C">
      <w:pPr>
        <w:keepNext w:val="0"/>
        <w:keepLines w:val="0"/>
        <w:pageBreakBefore w:val="0"/>
        <w:overflowPunct/>
        <w:topLinePunct w:val="0"/>
        <w:bidi w:val="0"/>
        <w:spacing w:line="360" w:lineRule="auto"/>
        <w:ind w:left="0" w:right="0" w:firstLine="470" w:firstLineChars="200"/>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4</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keepNext w:val="0"/>
        <w:keepLines w:val="0"/>
        <w:pageBreakBefore w:val="0"/>
        <w:overflowPunct/>
        <w:topLinePunct w:val="0"/>
        <w:bidi w:val="0"/>
        <w:spacing w:line="360" w:lineRule="auto"/>
        <w:ind w:left="0" w:right="0"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初步评审阶段</w:t>
      </w:r>
    </w:p>
    <w:p w14:paraId="5B763A9F">
      <w:pPr>
        <w:keepNext w:val="0"/>
        <w:keepLines w:val="0"/>
        <w:pageBreakBefore w:val="0"/>
        <w:overflowPunct/>
        <w:topLinePunct w:val="0"/>
        <w:bidi w:val="0"/>
        <w:spacing w:line="360" w:lineRule="auto"/>
        <w:ind w:left="0" w:right="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5EFB8E43">
      <w:pPr>
        <w:keepNext w:val="0"/>
        <w:keepLines w:val="0"/>
        <w:pageBreakBefore w:val="0"/>
        <w:overflowPunct/>
        <w:topLinePunct w:val="0"/>
        <w:bidi w:val="0"/>
        <w:spacing w:line="360" w:lineRule="auto"/>
        <w:ind w:left="0" w:right="0" w:firstLine="470"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p>
    <w:p w14:paraId="12AA72C0">
      <w:pPr>
        <w:keepNext w:val="0"/>
        <w:keepLines w:val="0"/>
        <w:pageBreakBefore w:val="0"/>
        <w:overflowPunct/>
        <w:topLinePunct w:val="0"/>
        <w:bidi w:val="0"/>
        <w:spacing w:line="360" w:lineRule="auto"/>
        <w:ind w:left="0" w:right="0" w:firstLine="46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Theme="minorEastAsia" w:hAnsiTheme="minorEastAsia" w:eastAsiaTheme="minorEastAsia" w:cstheme="minorEastAsia"/>
          <w:color w:val="auto"/>
          <w:spacing w:val="-4"/>
          <w:sz w:val="24"/>
          <w:szCs w:val="24"/>
          <w:highlight w:val="none"/>
        </w:rPr>
      </w:pPr>
      <w:bookmarkStart w:id="90"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交易场所工作人员见证下，登录信用中国网站（https://www.creditchina.gov.cn），在企业查询界面下载和打印《法人和非法人组织公共信用信息报告》，作为评审依据移交评标委员会。</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0" w:right="0" w:firstLine="47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8"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1" w:name="bookmark126"/>
      <w:bookmarkEnd w:id="91"/>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0" w:right="0" w:firstLine="47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0" w:right="0" w:firstLine="488" w:firstLineChars="200"/>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701B845D">
      <w:pPr>
        <w:keepNext w:val="0"/>
        <w:keepLines w:val="0"/>
        <w:pageBreakBefore w:val="0"/>
        <w:widowControl/>
        <w:kinsoku w:val="0"/>
        <w:overflowPunct/>
        <w:topLinePunct w:val="0"/>
        <w:autoSpaceDE w:val="0"/>
        <w:autoSpaceDN w:val="0"/>
        <w:bidi w:val="0"/>
        <w:adjustRightInd w:val="0"/>
        <w:snapToGrid w:val="0"/>
        <w:spacing w:line="360" w:lineRule="auto"/>
        <w:ind w:left="0" w:right="0" w:firstLine="476" w:firstLineChars="200"/>
        <w:textAlignment w:val="baseline"/>
        <w:rPr>
          <w:rFonts w:hint="eastAsia" w:asciiTheme="minorEastAsia" w:hAnsiTheme="minorEastAsia" w:eastAsiaTheme="minorEastAsia" w:cstheme="minorEastAsia"/>
          <w:color w:val="auto"/>
          <w:spacing w:val="-1"/>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1"/>
          <w:sz w:val="24"/>
          <w:szCs w:val="24"/>
          <w:highlight w:val="none"/>
          <w:lang w:val="en-US" w:eastAsia="zh-CN"/>
        </w:rPr>
        <w:t>6</w:t>
      </w:r>
      <w:r>
        <w:rPr>
          <w:rFonts w:hint="eastAsia" w:asciiTheme="minorEastAsia" w:hAnsiTheme="minorEastAsia" w:eastAsiaTheme="minorEastAsia" w:cstheme="minorEastAsia"/>
          <w:color w:val="auto"/>
          <w:spacing w:val="-1"/>
          <w:sz w:val="24"/>
          <w:szCs w:val="24"/>
          <w:highlight w:val="none"/>
          <w:lang w:eastAsia="zh-CN"/>
        </w:rPr>
        <w:t>）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0" w:right="0" w:firstLine="488"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7</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5E3A3AD8">
      <w:pPr>
        <w:keepNext w:val="0"/>
        <w:keepLines w:val="0"/>
        <w:pageBreakBefore w:val="0"/>
        <w:overflowPunct/>
        <w:topLinePunct w:val="0"/>
        <w:bidi w:val="0"/>
        <w:spacing w:line="360" w:lineRule="auto"/>
        <w:ind w:left="0" w:right="0"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.2 </w:t>
      </w:r>
      <w:r>
        <w:rPr>
          <w:rFonts w:hint="eastAsia" w:ascii="宋体" w:hAnsi="宋体" w:eastAsia="宋体" w:cs="宋体"/>
          <w:color w:val="auto"/>
          <w:spacing w:val="1"/>
          <w:sz w:val="24"/>
          <w:szCs w:val="24"/>
          <w:highlight w:val="none"/>
        </w:rPr>
        <w:t xml:space="preserve"> 形式评审环节</w:t>
      </w:r>
    </w:p>
    <w:p w14:paraId="720A176D">
      <w:pPr>
        <w:keepNext w:val="0"/>
        <w:keepLines w:val="0"/>
        <w:pageBreakBefore w:val="0"/>
        <w:overflowPunct/>
        <w:topLinePunct w:val="0"/>
        <w:bidi w:val="0"/>
        <w:spacing w:line="360" w:lineRule="auto"/>
        <w:ind w:left="0" w:right="0"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90"/>
    </w:p>
    <w:p w14:paraId="540DEAA8">
      <w:pPr>
        <w:keepNext w:val="0"/>
        <w:keepLines w:val="0"/>
        <w:pageBreakBefore w:val="0"/>
        <w:overflowPunct/>
        <w:topLinePunct w:val="0"/>
        <w:bidi w:val="0"/>
        <w:spacing w:line="360" w:lineRule="auto"/>
        <w:ind w:left="0" w:right="0" w:firstLine="476" w:firstLineChars="200"/>
        <w:outlineLvl w:val="9"/>
        <w:rPr>
          <w:rFonts w:hint="eastAsia" w:ascii="宋体" w:hAnsi="宋体" w:eastAsia="宋体" w:cs="宋体"/>
          <w:color w:val="auto"/>
          <w:sz w:val="24"/>
          <w:szCs w:val="24"/>
          <w:highlight w:val="none"/>
        </w:rPr>
      </w:pPr>
      <w:bookmarkStart w:id="92" w:name="_Toc23632"/>
      <w:bookmarkStart w:id="93" w:name="_Toc4914"/>
      <w:bookmarkStart w:id="94" w:name="_Toc20481"/>
      <w:bookmarkStart w:id="95" w:name="_Toc13304"/>
      <w:r>
        <w:rPr>
          <w:rFonts w:hint="eastAsia" w:ascii="宋体" w:hAnsi="宋体" w:eastAsia="宋体" w:cs="宋体"/>
          <w:color w:val="auto"/>
          <w:spacing w:val="-1"/>
          <w:sz w:val="24"/>
          <w:szCs w:val="24"/>
          <w:highlight w:val="none"/>
        </w:rPr>
        <w:t>（1）各分册是否按招标文件规定加盖电子印章。</w:t>
      </w:r>
      <w:bookmarkEnd w:id="92"/>
      <w:bookmarkEnd w:id="93"/>
      <w:bookmarkEnd w:id="94"/>
      <w:bookmarkEnd w:id="95"/>
    </w:p>
    <w:p w14:paraId="64C926F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64" w:firstLineChars="200"/>
        <w:textAlignment w:val="baseline"/>
        <w:outlineLvl w:val="9"/>
        <w:rPr>
          <w:rFonts w:hint="eastAsia" w:ascii="宋体" w:hAnsi="宋体" w:eastAsia="宋体" w:cs="宋体"/>
          <w:color w:val="auto"/>
          <w:spacing w:val="-1"/>
          <w:sz w:val="24"/>
          <w:szCs w:val="24"/>
          <w:highlight w:val="none"/>
          <w:lang w:eastAsia="zh-CN"/>
        </w:rPr>
      </w:pPr>
      <w:bookmarkStart w:id="96" w:name="_Toc27432"/>
      <w:bookmarkStart w:id="97" w:name="_Toc28409"/>
      <w:bookmarkStart w:id="98" w:name="_Toc10806"/>
      <w:bookmarkStart w:id="99"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w:t>
      </w:r>
      <w:r>
        <w:rPr>
          <w:rFonts w:hint="eastAsia" w:ascii="宋体" w:hAnsi="宋体" w:eastAsia="宋体" w:cs="宋体"/>
          <w:color w:val="auto"/>
          <w:spacing w:val="-4"/>
          <w:sz w:val="24"/>
          <w:szCs w:val="24"/>
          <w:highlight w:val="none"/>
          <w:lang w:val="en-US" w:eastAsia="zh-CN"/>
        </w:rPr>
        <w:t>3</w:t>
      </w:r>
      <w:r>
        <w:rPr>
          <w:rFonts w:hint="eastAsia" w:ascii="宋体" w:hAnsi="宋体" w:eastAsia="宋体" w:cs="宋体"/>
          <w:color w:val="auto"/>
          <w:spacing w:val="-4"/>
          <w:sz w:val="24"/>
          <w:szCs w:val="24"/>
          <w:highlight w:val="none"/>
        </w:rPr>
        <w:t>目中规定</w:t>
      </w:r>
      <w:r>
        <w:rPr>
          <w:rFonts w:hint="eastAsia" w:ascii="宋体" w:hAnsi="宋体" w:eastAsia="宋体" w:cs="宋体"/>
          <w:color w:val="auto"/>
          <w:spacing w:val="-5"/>
          <w:sz w:val="24"/>
          <w:szCs w:val="24"/>
          <w:highlight w:val="none"/>
        </w:rPr>
        <w:t>的“所有投标人均应提</w:t>
      </w:r>
      <w:bookmarkEnd w:id="96"/>
      <w:bookmarkEnd w:id="97"/>
      <w:bookmarkEnd w:id="98"/>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9"/>
      <w:r>
        <w:rPr>
          <w:rFonts w:hint="eastAsia" w:ascii="宋体" w:hAnsi="宋体" w:eastAsia="宋体" w:cs="宋体"/>
          <w:color w:val="auto"/>
          <w:spacing w:val="-1"/>
          <w:sz w:val="24"/>
          <w:szCs w:val="24"/>
          <w:highlight w:val="none"/>
          <w:lang w:eastAsia="zh-CN"/>
        </w:rPr>
        <w:t>。</w:t>
      </w:r>
    </w:p>
    <w:p w14:paraId="127DFB0D">
      <w:pPr>
        <w:keepNext w:val="0"/>
        <w:keepLines w:val="0"/>
        <w:pageBreakBefore w:val="0"/>
        <w:overflowPunct/>
        <w:topLinePunct w:val="0"/>
        <w:bidi w:val="0"/>
        <w:spacing w:line="360" w:lineRule="auto"/>
        <w:ind w:left="0" w:right="0" w:firstLine="474" w:firstLineChars="200"/>
        <w:jc w:val="both"/>
        <w:outlineLvl w:val="9"/>
        <w:rPr>
          <w:rFonts w:hint="eastAsia" w:ascii="宋体" w:hAnsi="宋体" w:eastAsia="宋体" w:cs="宋体"/>
          <w:color w:val="auto"/>
          <w:spacing w:val="2"/>
          <w:sz w:val="24"/>
          <w:szCs w:val="24"/>
          <w:highlight w:val="none"/>
        </w:rPr>
      </w:pPr>
      <w:bookmarkStart w:id="100" w:name="_Toc22642"/>
      <w:bookmarkStart w:id="101" w:name="_Toc14202"/>
      <w:bookmarkStart w:id="102" w:name="_Toc16645"/>
      <w:bookmarkStart w:id="103" w:name="_Toc22562"/>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.3  </w:t>
      </w:r>
      <w:r>
        <w:rPr>
          <w:rFonts w:hint="eastAsia" w:ascii="宋体" w:hAnsi="宋体" w:eastAsia="宋体" w:cs="宋体"/>
          <w:color w:val="auto"/>
          <w:spacing w:val="2"/>
          <w:sz w:val="24"/>
          <w:szCs w:val="24"/>
          <w:highlight w:val="none"/>
        </w:rPr>
        <w:t xml:space="preserve">响应性评审环节 </w:t>
      </w:r>
    </w:p>
    <w:p w14:paraId="746226A2">
      <w:pPr>
        <w:keepNext w:val="0"/>
        <w:keepLines w:val="0"/>
        <w:pageBreakBefore w:val="0"/>
        <w:overflowPunct/>
        <w:topLinePunct w:val="0"/>
        <w:bidi w:val="0"/>
        <w:spacing w:line="360" w:lineRule="auto"/>
        <w:ind w:left="0" w:right="0"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100"/>
      <w:bookmarkEnd w:id="101"/>
      <w:bookmarkEnd w:id="102"/>
      <w:bookmarkEnd w:id="103"/>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r>
        <w:rPr>
          <w:rFonts w:hint="eastAsia" w:ascii="宋体" w:hAnsi="宋体" w:eastAsia="宋体" w:cs="宋体"/>
          <w:color w:val="auto"/>
          <w:spacing w:val="-2"/>
          <w:sz w:val="24"/>
          <w:szCs w:val="24"/>
          <w:highlight w:val="none"/>
          <w:lang w:eastAsia="zh-CN"/>
        </w:rPr>
        <w:t>。</w:t>
      </w:r>
    </w:p>
    <w:p w14:paraId="1684033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4" w:name="bookmark127"/>
      <w:bookmarkEnd w:id="104"/>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B4A1888">
      <w:pPr>
        <w:keepNext w:val="0"/>
        <w:keepLines w:val="0"/>
        <w:pageBreakBefore w:val="0"/>
        <w:overflowPunct/>
        <w:topLinePunct w:val="0"/>
        <w:bidi w:val="0"/>
        <w:spacing w:line="360" w:lineRule="auto"/>
        <w:ind w:left="0" w:right="0" w:firstLine="484"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keepNext w:val="0"/>
        <w:keepLines w:val="0"/>
        <w:pageBreakBefore w:val="0"/>
        <w:overflowPunct/>
        <w:topLinePunct w:val="0"/>
        <w:bidi w:val="0"/>
        <w:spacing w:line="360" w:lineRule="auto"/>
        <w:ind w:left="0" w:right="0" w:firstLine="470" w:firstLineChars="200"/>
        <w:outlineLvl w:val="9"/>
        <w:rPr>
          <w:rFonts w:hint="eastAsia" w:ascii="宋体" w:hAnsi="宋体" w:eastAsia="宋体" w:cs="宋体"/>
          <w:color w:val="auto"/>
          <w:sz w:val="25"/>
          <w:szCs w:val="25"/>
          <w:highlight w:val="none"/>
        </w:rPr>
      </w:pPr>
      <w:bookmarkStart w:id="105" w:name="_Toc18204"/>
      <w:bookmarkStart w:id="106" w:name="_Toc15367"/>
      <w:bookmarkStart w:id="107" w:name="_Toc32114"/>
      <w:bookmarkStart w:id="108" w:name="_Toc19814"/>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 xml:space="preserve">.4  </w:t>
      </w:r>
      <w:r>
        <w:rPr>
          <w:rFonts w:hint="eastAsia" w:ascii="宋体" w:hAnsi="宋体" w:eastAsia="宋体" w:cs="宋体"/>
          <w:color w:val="auto"/>
          <w:spacing w:val="-3"/>
          <w:sz w:val="24"/>
          <w:szCs w:val="24"/>
          <w:highlight w:val="none"/>
        </w:rPr>
        <w:t>否决投标说明</w:t>
      </w:r>
      <w:bookmarkEnd w:id="105"/>
      <w:bookmarkEnd w:id="106"/>
      <w:bookmarkEnd w:id="107"/>
      <w:bookmarkEnd w:id="108"/>
    </w:p>
    <w:p w14:paraId="0A7D0F98">
      <w:pPr>
        <w:keepNext w:val="0"/>
        <w:keepLines w:val="0"/>
        <w:pageBreakBefore w:val="0"/>
        <w:overflowPunct/>
        <w:topLinePunct w:val="0"/>
        <w:bidi w:val="0"/>
        <w:spacing w:line="360" w:lineRule="auto"/>
        <w:ind w:left="0" w:right="0" w:firstLine="460" w:firstLineChars="200"/>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keepNext w:val="0"/>
        <w:keepLines w:val="0"/>
        <w:pageBreakBefore w:val="0"/>
        <w:overflowPunct/>
        <w:topLinePunct w:val="0"/>
        <w:bidi w:val="0"/>
        <w:spacing w:line="360" w:lineRule="auto"/>
        <w:ind w:left="0" w:right="0"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0288"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5"/>
                    <a:stretch>
                      <a:fillRect/>
                    </a:stretch>
                  </pic:blipFill>
                  <pic:spPr>
                    <a:xfrm>
                      <a:off x="0" y="0"/>
                      <a:ext cx="6350" cy="279400"/>
                    </a:xfrm>
                    <a:prstGeom prst="rect">
                      <a:avLst/>
                    </a:prstGeom>
                    <a:noFill/>
                    <a:ln>
                      <a:noFill/>
                    </a:ln>
                  </pic:spPr>
                </pic:pic>
              </a:graphicData>
            </a:graphic>
          </wp:anchor>
        </w:drawing>
      </w:r>
      <w:bookmarkStart w:id="109" w:name="bookmark128"/>
      <w:bookmarkEnd w:id="109"/>
      <w:r>
        <w:rPr>
          <w:rFonts w:hint="eastAsia" w:ascii="宋体" w:hAnsi="宋体" w:eastAsia="宋体" w:cs="宋体"/>
          <w:b/>
          <w:bCs/>
          <w:color w:val="auto"/>
          <w:spacing w:val="-2"/>
          <w:sz w:val="24"/>
          <w:szCs w:val="24"/>
          <w:highlight w:val="none"/>
        </w:rPr>
        <w:t>1</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详细评审阶段</w:t>
      </w:r>
    </w:p>
    <w:p w14:paraId="21AA4981">
      <w:pPr>
        <w:keepNext w:val="0"/>
        <w:keepLines w:val="0"/>
        <w:pageBreakBefore w:val="0"/>
        <w:overflowPunct/>
        <w:topLinePunct w:val="0"/>
        <w:bidi w:val="0"/>
        <w:spacing w:line="360" w:lineRule="auto"/>
        <w:ind w:left="0" w:right="0" w:firstLine="470" w:firstLineChars="200"/>
        <w:outlineLvl w:val="9"/>
        <w:rPr>
          <w:rFonts w:hint="eastAsia" w:ascii="宋体" w:hAnsi="宋体" w:eastAsia="宋体" w:cs="宋体"/>
          <w:color w:val="auto"/>
          <w:sz w:val="25"/>
          <w:szCs w:val="25"/>
          <w:highlight w:val="none"/>
        </w:rPr>
      </w:pPr>
      <w:bookmarkStart w:id="110" w:name="_Toc10503"/>
      <w:bookmarkStart w:id="111" w:name="_Toc28572"/>
      <w:bookmarkStart w:id="112" w:name="_Toc4119"/>
      <w:bookmarkStart w:id="113" w:name="_Toc14991"/>
      <w:r>
        <w:rPr>
          <w:rFonts w:hint="eastAsia" w:ascii="宋体" w:hAnsi="宋体" w:eastAsia="宋体" w:cs="宋体"/>
          <w:b/>
          <w:bCs/>
          <w:color w:val="auto"/>
          <w:spacing w:val="-3"/>
          <w:sz w:val="24"/>
          <w:szCs w:val="24"/>
          <w:highlight w:val="none"/>
          <w:lang w:val="en-US" w:eastAsia="zh-CN"/>
        </w:rPr>
        <w:t>15</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10"/>
      <w:bookmarkEnd w:id="111"/>
      <w:bookmarkEnd w:id="112"/>
      <w:bookmarkEnd w:id="113"/>
    </w:p>
    <w:p w14:paraId="5801B40B">
      <w:pPr>
        <w:keepNext w:val="0"/>
        <w:keepLines w:val="0"/>
        <w:pageBreakBefore w:val="0"/>
        <w:overflowPunct/>
        <w:topLinePunct w:val="0"/>
        <w:bidi w:val="0"/>
        <w:spacing w:line="360" w:lineRule="auto"/>
        <w:ind w:left="0" w:right="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keepNext w:val="0"/>
        <w:keepLines w:val="0"/>
        <w:pageBreakBefore w:val="0"/>
        <w:overflowPunct/>
        <w:topLinePunct w:val="0"/>
        <w:bidi w:val="0"/>
        <w:spacing w:line="360" w:lineRule="auto"/>
        <w:ind w:left="0" w:right="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keepNext w:val="0"/>
        <w:keepLines w:val="0"/>
        <w:pageBreakBefore w:val="0"/>
        <w:overflowPunct/>
        <w:topLinePunct w:val="0"/>
        <w:bidi w:val="0"/>
        <w:spacing w:line="360" w:lineRule="auto"/>
        <w:ind w:left="0" w:right="0" w:firstLine="468" w:firstLineChars="200"/>
        <w:outlineLvl w:val="9"/>
        <w:rPr>
          <w:rFonts w:hint="eastAsia" w:ascii="宋体" w:hAnsi="宋体" w:eastAsia="宋体" w:cs="宋体"/>
          <w:color w:val="auto"/>
          <w:sz w:val="24"/>
          <w:szCs w:val="24"/>
          <w:highlight w:val="none"/>
        </w:rPr>
      </w:pPr>
      <w:bookmarkStart w:id="114" w:name="_Toc18029"/>
      <w:bookmarkStart w:id="115" w:name="_Toc10398"/>
      <w:bookmarkStart w:id="116" w:name="_Toc17510"/>
      <w:bookmarkStart w:id="117" w:name="_Toc22949"/>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4"/>
      <w:bookmarkEnd w:id="115"/>
      <w:bookmarkEnd w:id="116"/>
      <w:bookmarkEnd w:id="117"/>
    </w:p>
    <w:p w14:paraId="392026E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881815B">
      <w:pPr>
        <w:keepNext w:val="0"/>
        <w:keepLines w:val="0"/>
        <w:pageBreakBefore w:val="0"/>
        <w:overflowPunct/>
        <w:topLinePunct w:val="0"/>
        <w:bidi w:val="0"/>
        <w:spacing w:line="360" w:lineRule="auto"/>
        <w:ind w:left="0" w:right="0" w:firstLine="486"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16A785CF">
      <w:pPr>
        <w:keepNext w:val="0"/>
        <w:keepLines w:val="0"/>
        <w:pageBreakBefore w:val="0"/>
        <w:overflowPunct/>
        <w:topLinePunct w:val="0"/>
        <w:bidi w:val="0"/>
        <w:spacing w:line="360" w:lineRule="auto"/>
        <w:ind w:left="0" w:right="0" w:firstLine="434" w:firstLineChars="200"/>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0A2F9F5C">
      <w:pPr>
        <w:keepNext w:val="0"/>
        <w:keepLines w:val="0"/>
        <w:pageBreakBefore w:val="0"/>
        <w:overflowPunct/>
        <w:topLinePunct w:val="0"/>
        <w:bidi w:val="0"/>
        <w:spacing w:line="360" w:lineRule="auto"/>
        <w:ind w:left="0" w:right="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keepNext w:val="0"/>
        <w:keepLines w:val="0"/>
        <w:pageBreakBefore w:val="0"/>
        <w:overflowPunct/>
        <w:topLinePunct w:val="0"/>
        <w:bidi w:val="0"/>
        <w:spacing w:line="360" w:lineRule="auto"/>
        <w:ind w:left="0" w:right="0" w:firstLine="472" w:firstLineChars="200"/>
        <w:outlineLvl w:val="9"/>
        <w:rPr>
          <w:rFonts w:hint="eastAsia" w:ascii="宋体" w:hAnsi="宋体" w:eastAsia="宋体" w:cs="宋体"/>
          <w:color w:val="auto"/>
          <w:sz w:val="24"/>
          <w:szCs w:val="24"/>
          <w:highlight w:val="none"/>
        </w:rPr>
      </w:pPr>
      <w:bookmarkStart w:id="118" w:name="_Toc3958"/>
      <w:bookmarkStart w:id="119" w:name="_Toc14059"/>
      <w:bookmarkStart w:id="120" w:name="_Toc27609"/>
      <w:bookmarkStart w:id="121" w:name="_Toc16136"/>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8"/>
      <w:bookmarkEnd w:id="119"/>
      <w:bookmarkEnd w:id="120"/>
      <w:bookmarkEnd w:id="121"/>
    </w:p>
    <w:p w14:paraId="32CC3A83">
      <w:pPr>
        <w:keepNext w:val="0"/>
        <w:keepLines w:val="0"/>
        <w:pageBreakBefore w:val="0"/>
        <w:overflowPunct/>
        <w:topLinePunct w:val="0"/>
        <w:bidi w:val="0"/>
        <w:spacing w:line="360" w:lineRule="auto"/>
        <w:ind w:left="0" w:right="0"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0.5分</w:t>
      </w:r>
      <w:r>
        <w:rPr>
          <w:rFonts w:hint="eastAsia" w:ascii="宋体" w:hAnsi="宋体" w:eastAsia="宋体" w:cs="宋体"/>
          <w:color w:val="auto"/>
          <w:spacing w:val="-2"/>
          <w:sz w:val="24"/>
          <w:szCs w:val="24"/>
          <w:highlight w:val="none"/>
        </w:rPr>
        <w:t>，扣完为止。公式如下：</w:t>
      </w:r>
    </w:p>
    <w:p w14:paraId="7BBB0CF5">
      <w:pPr>
        <w:keepNext w:val="0"/>
        <w:keepLines w:val="0"/>
        <w:pageBreakBefore w:val="0"/>
        <w:overflowPunct/>
        <w:topLinePunct w:val="0"/>
        <w:bidi w:val="0"/>
        <w:spacing w:line="360" w:lineRule="auto"/>
        <w:ind w:left="0" w:right="0" w:firstLine="456"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keepNext w:val="0"/>
        <w:keepLines w:val="0"/>
        <w:pageBreakBefore w:val="0"/>
        <w:overflowPunct/>
        <w:topLinePunct w:val="0"/>
        <w:bidi w:val="0"/>
        <w:spacing w:line="360" w:lineRule="auto"/>
        <w:ind w:left="0" w:right="0"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＝0.5。</w:t>
      </w:r>
    </w:p>
    <w:p w14:paraId="25245EA0">
      <w:pPr>
        <w:keepNext w:val="0"/>
        <w:keepLines w:val="0"/>
        <w:pageBreakBefore w:val="0"/>
        <w:overflowPunct/>
        <w:topLinePunct w:val="0"/>
        <w:bidi w:val="0"/>
        <w:spacing w:line="360" w:lineRule="auto"/>
        <w:ind w:left="0" w:right="0" w:firstLine="468" w:firstLineChars="200"/>
        <w:outlineLvl w:val="9"/>
        <w:rPr>
          <w:rFonts w:hint="eastAsia" w:ascii="宋体" w:hAnsi="宋体" w:eastAsia="宋体" w:cs="宋体"/>
          <w:color w:val="auto"/>
          <w:sz w:val="24"/>
          <w:szCs w:val="24"/>
          <w:highlight w:val="none"/>
        </w:rPr>
      </w:pPr>
      <w:bookmarkStart w:id="122" w:name="_Toc4990"/>
      <w:bookmarkStart w:id="123" w:name="_Toc576"/>
      <w:bookmarkStart w:id="124" w:name="_Toc3861"/>
      <w:bookmarkStart w:id="125" w:name="_Toc7915"/>
      <w:r>
        <w:rPr>
          <w:rFonts w:hint="eastAsia" w:ascii="宋体" w:hAnsi="宋体" w:eastAsia="宋体" w:cs="宋体"/>
          <w:color w:val="auto"/>
          <w:spacing w:val="-3"/>
          <w:sz w:val="24"/>
          <w:szCs w:val="24"/>
          <w:highlight w:val="none"/>
        </w:rPr>
        <w:t>（3）综合得分</w:t>
      </w:r>
      <w:bookmarkEnd w:id="122"/>
      <w:bookmarkEnd w:id="123"/>
      <w:bookmarkEnd w:id="124"/>
      <w:bookmarkEnd w:id="125"/>
    </w:p>
    <w:p w14:paraId="0F362937">
      <w:pPr>
        <w:keepNext w:val="0"/>
        <w:keepLines w:val="0"/>
        <w:pageBreakBefore w:val="0"/>
        <w:overflowPunct/>
        <w:topLinePunct w:val="0"/>
        <w:bidi w:val="0"/>
        <w:spacing w:line="360" w:lineRule="auto"/>
        <w:ind w:left="0" w:right="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C5D7075">
      <w:pPr>
        <w:keepNext w:val="0"/>
        <w:keepLines w:val="0"/>
        <w:pageBreakBefore w:val="0"/>
        <w:overflowPunct/>
        <w:topLinePunct w:val="0"/>
        <w:bidi w:val="0"/>
        <w:spacing w:line="360" w:lineRule="auto"/>
        <w:ind w:left="0" w:right="0" w:firstLine="480" w:firstLineChars="200"/>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keepNext w:val="0"/>
        <w:keepLines w:val="0"/>
        <w:pageBreakBefore w:val="0"/>
        <w:overflowPunct/>
        <w:topLinePunct w:val="0"/>
        <w:bidi w:val="0"/>
        <w:spacing w:line="360" w:lineRule="auto"/>
        <w:ind w:left="0" w:right="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31F4B4FC">
      <w:pPr>
        <w:keepNext w:val="0"/>
        <w:keepLines w:val="0"/>
        <w:pageBreakBefore w:val="0"/>
        <w:overflowPunct/>
        <w:topLinePunct w:val="0"/>
        <w:bidi w:val="0"/>
        <w:spacing w:line="360" w:lineRule="auto"/>
        <w:ind w:left="0" w:right="0" w:firstLine="490" w:firstLineChars="200"/>
        <w:jc w:val="both"/>
        <w:rPr>
          <w:rFonts w:hint="eastAsia" w:ascii="宋体" w:hAnsi="宋体" w:eastAsia="宋体" w:cs="宋体"/>
          <w:b/>
          <w:bCs/>
          <w:color w:val="auto"/>
          <w:spacing w:val="2"/>
          <w:sz w:val="24"/>
          <w:szCs w:val="24"/>
          <w:highlight w:val="none"/>
        </w:rPr>
      </w:pPr>
      <w:bookmarkStart w:id="126" w:name="_Toc30671"/>
      <w:bookmarkStart w:id="127" w:name="_Toc2885"/>
      <w:bookmarkStart w:id="128" w:name="_Toc25214"/>
      <w:bookmarkStart w:id="129" w:name="_Toc32384"/>
      <w:r>
        <w:rPr>
          <w:rFonts w:hint="eastAsia" w:ascii="宋体" w:hAnsi="宋体" w:eastAsia="宋体" w:cs="宋体"/>
          <w:b/>
          <w:bCs/>
          <w:color w:val="auto"/>
          <w:spacing w:val="2"/>
          <w:sz w:val="24"/>
          <w:szCs w:val="24"/>
          <w:highlight w:val="none"/>
        </w:rPr>
        <w:t>（4）</w:t>
      </w:r>
      <w:bookmarkEnd w:id="126"/>
      <w:bookmarkEnd w:id="127"/>
      <w:bookmarkEnd w:id="128"/>
      <w:bookmarkEnd w:id="129"/>
      <w:r>
        <w:rPr>
          <w:rFonts w:hint="eastAsia" w:ascii="宋体" w:hAnsi="宋体" w:eastAsia="宋体" w:cs="宋体"/>
          <w:b/>
          <w:bCs/>
          <w:color w:val="auto"/>
          <w:spacing w:val="2"/>
          <w:sz w:val="24"/>
          <w:szCs w:val="24"/>
          <w:highlight w:val="none"/>
        </w:rPr>
        <w:t>评标委员会根据招标文件规定的评分细则，对招标文件中的各评审因素进行评审、比较、打分，将得分前5名不排序（按企业统一社会信用代码后4位</w:t>
      </w:r>
      <w:r>
        <w:rPr>
          <w:rFonts w:hint="eastAsia" w:ascii="宋体" w:hAnsi="宋体" w:eastAsia="宋体" w:cs="宋体"/>
          <w:b/>
          <w:bCs/>
          <w:color w:val="auto"/>
          <w:spacing w:val="2"/>
          <w:sz w:val="24"/>
          <w:szCs w:val="24"/>
          <w:highlight w:val="none"/>
          <w:lang w:val="en-US" w:eastAsia="zh-CN"/>
        </w:rPr>
        <w:t>由</w:t>
      </w:r>
      <w:r>
        <w:rPr>
          <w:rFonts w:hint="eastAsia" w:ascii="宋体" w:hAnsi="宋体" w:eastAsia="宋体" w:cs="宋体"/>
          <w:b/>
          <w:bCs/>
          <w:color w:val="auto"/>
          <w:spacing w:val="2"/>
          <w:sz w:val="24"/>
          <w:szCs w:val="24"/>
          <w:highlight w:val="none"/>
        </w:rPr>
        <w:t>大</w:t>
      </w:r>
      <w:r>
        <w:rPr>
          <w:rFonts w:hint="eastAsia" w:ascii="宋体" w:hAnsi="宋体" w:eastAsia="宋体" w:cs="宋体"/>
          <w:b/>
          <w:bCs/>
          <w:color w:val="auto"/>
          <w:spacing w:val="2"/>
          <w:sz w:val="24"/>
          <w:szCs w:val="24"/>
          <w:highlight w:val="none"/>
          <w:lang w:val="en-US" w:eastAsia="zh-CN"/>
        </w:rPr>
        <w:t>到</w:t>
      </w:r>
      <w:r>
        <w:rPr>
          <w:rFonts w:hint="eastAsia" w:ascii="宋体" w:hAnsi="宋体" w:eastAsia="宋体" w:cs="宋体"/>
          <w:b/>
          <w:bCs/>
          <w:color w:val="auto"/>
          <w:spacing w:val="2"/>
          <w:sz w:val="24"/>
          <w:szCs w:val="24"/>
          <w:highlight w:val="none"/>
        </w:rPr>
        <w:t>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keepNext w:val="0"/>
        <w:keepLines w:val="0"/>
        <w:pageBreakBefore w:val="0"/>
        <w:overflowPunct/>
        <w:topLinePunct w:val="0"/>
        <w:bidi w:val="0"/>
        <w:spacing w:line="360" w:lineRule="auto"/>
        <w:ind w:left="0" w:right="0"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5"/>
        <w:spacing w:line="304" w:lineRule="auto"/>
        <w:rPr>
          <w:rFonts w:hint="eastAsia" w:ascii="宋体" w:hAnsi="宋体" w:eastAsia="宋体" w:cs="宋体"/>
          <w:color w:val="auto"/>
          <w:highlight w:val="none"/>
        </w:rPr>
      </w:pPr>
    </w:p>
    <w:p w14:paraId="3C8BE0F2">
      <w:pPr>
        <w:rPr>
          <w:rFonts w:hint="eastAsia" w:ascii="宋体" w:hAnsi="宋体" w:eastAsia="宋体" w:cs="宋体"/>
          <w:b/>
          <w:bCs/>
          <w:color w:val="auto"/>
          <w:spacing w:val="-6"/>
          <w:sz w:val="30"/>
          <w:szCs w:val="30"/>
          <w:highlight w:val="none"/>
        </w:rPr>
      </w:pPr>
      <w:bookmarkStart w:id="130" w:name="_Toc16801"/>
      <w:bookmarkStart w:id="131" w:name="_Toc17375"/>
      <w:bookmarkStart w:id="132" w:name="_Toc3020"/>
      <w:r>
        <w:rPr>
          <w:rFonts w:hint="eastAsia" w:ascii="宋体" w:hAnsi="宋体" w:eastAsia="宋体" w:cs="宋体"/>
          <w:b/>
          <w:bCs/>
          <w:color w:val="auto"/>
          <w:spacing w:val="-6"/>
          <w:sz w:val="30"/>
          <w:szCs w:val="30"/>
          <w:highlight w:val="none"/>
        </w:rPr>
        <w:br w:type="page"/>
      </w:r>
    </w:p>
    <w:p w14:paraId="40D4E59D">
      <w:pPr>
        <w:spacing w:before="98" w:line="221" w:lineRule="auto"/>
        <w:ind w:left="4248"/>
        <w:outlineLvl w:val="9"/>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t>综合评分表</w:t>
      </w:r>
      <w:bookmarkEnd w:id="130"/>
      <w:bookmarkEnd w:id="131"/>
      <w:bookmarkEnd w:id="132"/>
    </w:p>
    <w:tbl>
      <w:tblPr>
        <w:tblStyle w:val="14"/>
        <w:tblW w:w="104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91"/>
        <w:gridCol w:w="168"/>
        <w:gridCol w:w="3700"/>
        <w:gridCol w:w="5065"/>
      </w:tblGrid>
      <w:tr w14:paraId="5FB65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248FBA9C">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rPr>
                <w:rFonts w:hint="eastAsia" w:ascii="宋体" w:hAnsi="宋体" w:eastAsia="宋体" w:cs="宋体"/>
                <w:b/>
                <w:bCs/>
                <w:caps w:val="0"/>
                <w:smallCaps w:val="0"/>
                <w:snapToGrid w:val="0"/>
                <w:color w:val="auto"/>
                <w:spacing w:val="0"/>
                <w:kern w:val="0"/>
                <w:sz w:val="24"/>
                <w:szCs w:val="24"/>
                <w:highlight w:val="none"/>
                <w:lang w:eastAsia="zh-CN"/>
              </w:rPr>
            </w:pPr>
            <w:bookmarkStart w:id="133" w:name="_Toc17436"/>
            <w:bookmarkStart w:id="134" w:name="_Toc31744"/>
            <w:bookmarkStart w:id="135" w:name="_Toc9725"/>
            <w:bookmarkStart w:id="136" w:name="_Toc5769"/>
            <w:r>
              <w:rPr>
                <w:rFonts w:hint="eastAsia" w:ascii="宋体" w:hAnsi="宋体" w:eastAsia="宋体" w:cs="宋体"/>
                <w:b/>
                <w:bCs/>
                <w:caps w:val="0"/>
                <w:smallCaps w:val="0"/>
                <w:snapToGrid w:val="0"/>
                <w:color w:val="auto"/>
                <w:spacing w:val="0"/>
                <w:kern w:val="0"/>
                <w:sz w:val="24"/>
                <w:szCs w:val="24"/>
                <w:highlight w:val="none"/>
                <w:lang w:eastAsia="zh-CN"/>
              </w:rPr>
              <w:t>商务部分，满分：</w:t>
            </w:r>
            <w:r>
              <w:rPr>
                <w:rFonts w:hint="eastAsia" w:ascii="宋体" w:hAnsi="宋体" w:eastAsia="宋体" w:cs="宋体"/>
                <w:b/>
                <w:bCs/>
                <w:caps w:val="0"/>
                <w:smallCaps w:val="0"/>
                <w:snapToGrid w:val="0"/>
                <w:color w:val="auto"/>
                <w:spacing w:val="0"/>
                <w:kern w:val="0"/>
                <w:sz w:val="24"/>
                <w:szCs w:val="24"/>
                <w:highlight w:val="none"/>
                <w:u w:val="single"/>
                <w:lang w:val="en-US" w:eastAsia="zh-CN"/>
              </w:rPr>
              <w:t xml:space="preserve"> 80 </w:t>
            </w:r>
            <w:r>
              <w:rPr>
                <w:rFonts w:hint="eastAsia" w:ascii="宋体" w:hAnsi="宋体" w:eastAsia="宋体" w:cs="宋体"/>
                <w:b/>
                <w:bCs/>
                <w:caps w:val="0"/>
                <w:smallCaps w:val="0"/>
                <w:snapToGrid w:val="0"/>
                <w:color w:val="auto"/>
                <w:spacing w:val="0"/>
                <w:kern w:val="0"/>
                <w:sz w:val="24"/>
                <w:szCs w:val="24"/>
                <w:highlight w:val="none"/>
                <w:lang w:val="en-US" w:eastAsia="zh-CN"/>
              </w:rPr>
              <w:t>分。</w:t>
            </w:r>
          </w:p>
        </w:tc>
      </w:tr>
      <w:tr w14:paraId="33626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835041F">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109D750">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评分标准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2014B04">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val="en-US"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备注</w:t>
            </w:r>
          </w:p>
        </w:tc>
      </w:tr>
      <w:tr w14:paraId="5BE33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40ED197">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企业奖项 (10分)</w:t>
            </w:r>
          </w:p>
          <w:p w14:paraId="40F71588">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center"/>
              <w:textAlignment w:val="auto"/>
              <w:outlineLvl w:val="9"/>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caps w:val="0"/>
                <w:smallCaps w:val="0"/>
                <w:snapToGrid w:val="0"/>
                <w:color w:val="auto"/>
                <w:spacing w:val="0"/>
                <w:kern w:val="0"/>
                <w:sz w:val="24"/>
                <w:szCs w:val="24"/>
                <w:highlight w:val="none"/>
                <w:lang w:val="en-US" w:eastAsia="zh-CN"/>
              </w:rPr>
              <w:t>（由牵头人提供）</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00E249C3">
            <w:pPr>
              <w:pStyle w:val="5"/>
              <w:wordWrap w:val="0"/>
              <w:spacing w:before="0" w:beforeAutospacing="0" w:after="0"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企业近</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年来（</w:t>
            </w:r>
            <w:r>
              <w:rPr>
                <w:rFonts w:hint="eastAsia" w:ascii="宋体" w:hAnsi="宋体" w:eastAsia="宋体" w:cs="宋体"/>
                <w:color w:val="auto"/>
                <w:kern w:val="0"/>
                <w:sz w:val="24"/>
                <w:szCs w:val="24"/>
                <w:highlight w:val="none"/>
                <w:lang w:val="en-US" w:eastAsia="zh-CN"/>
              </w:rPr>
              <w:t>2022</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日至</w:t>
            </w:r>
            <w:r>
              <w:rPr>
                <w:rFonts w:hint="eastAsia" w:ascii="宋体" w:hAnsi="宋体" w:eastAsia="宋体" w:cs="宋体"/>
                <w:color w:val="auto"/>
                <w:kern w:val="0"/>
                <w:sz w:val="24"/>
                <w:szCs w:val="24"/>
                <w:highlight w:val="none"/>
                <w:lang w:val="en-US" w:eastAsia="zh-CN"/>
              </w:rPr>
              <w:t>今</w:t>
            </w:r>
            <w:r>
              <w:rPr>
                <w:rFonts w:hint="eastAsia" w:ascii="宋体" w:hAnsi="宋体" w:eastAsia="宋体" w:cs="宋体"/>
                <w:color w:val="auto"/>
                <w:kern w:val="0"/>
                <w:sz w:val="24"/>
                <w:szCs w:val="24"/>
                <w:highlight w:val="none"/>
              </w:rPr>
              <w:t>）获得</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工程</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类奖项情况：      </w:t>
            </w:r>
          </w:p>
          <w:p w14:paraId="553D7CDD">
            <w:pPr>
              <w:pStyle w:val="5"/>
              <w:wordWrap w:val="0"/>
              <w:spacing w:before="0" w:beforeAutospacing="0" w:after="0"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1．获得国家级奖项的，每个得</w:t>
            </w:r>
            <w:r>
              <w:rPr>
                <w:rFonts w:hint="eastAsia" w:ascii="宋体" w:hAnsi="宋体" w:eastAsia="宋体" w:cs="宋体"/>
                <w:color w:val="auto"/>
                <w:kern w:val="0"/>
                <w:sz w:val="24"/>
                <w:szCs w:val="24"/>
                <w:highlight w:val="none"/>
                <w:u w:val="single"/>
              </w:rPr>
              <w:t xml:space="preserve"> 8 </w:t>
            </w:r>
            <w:r>
              <w:rPr>
                <w:rFonts w:hint="eastAsia" w:ascii="宋体" w:hAnsi="宋体" w:eastAsia="宋体" w:cs="宋体"/>
                <w:color w:val="auto"/>
                <w:kern w:val="0"/>
                <w:sz w:val="24"/>
                <w:szCs w:val="24"/>
                <w:highlight w:val="none"/>
              </w:rPr>
              <w:t>分。</w:t>
            </w:r>
          </w:p>
          <w:p w14:paraId="5FDD1EC8">
            <w:pPr>
              <w:pStyle w:val="5"/>
              <w:wordWrap w:val="0"/>
              <w:spacing w:before="0" w:beforeAutospacing="0" w:after="0"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2．获得省级奖项的，</w:t>
            </w:r>
            <w:r>
              <w:rPr>
                <w:rFonts w:hint="eastAsia" w:ascii="宋体" w:hAnsi="宋体" w:eastAsia="宋体" w:cs="宋体"/>
                <w:color w:val="auto"/>
                <w:kern w:val="0"/>
                <w:sz w:val="24"/>
                <w:szCs w:val="24"/>
                <w:highlight w:val="none"/>
                <w:u w:val="none"/>
              </w:rPr>
              <w:t>每个得</w:t>
            </w:r>
            <w:r>
              <w:rPr>
                <w:rFonts w:hint="eastAsia" w:ascii="宋体" w:hAnsi="宋体" w:eastAsia="宋体" w:cs="宋体"/>
                <w:color w:val="auto"/>
                <w:kern w:val="0"/>
                <w:sz w:val="24"/>
                <w:szCs w:val="24"/>
                <w:highlight w:val="none"/>
                <w:u w:val="single"/>
              </w:rPr>
              <w:t xml:space="preserve"> 6 </w:t>
            </w:r>
            <w:r>
              <w:rPr>
                <w:rFonts w:hint="eastAsia" w:ascii="宋体" w:hAnsi="宋体" w:eastAsia="宋体" w:cs="宋体"/>
                <w:color w:val="auto"/>
                <w:kern w:val="0"/>
                <w:sz w:val="24"/>
                <w:szCs w:val="24"/>
                <w:highlight w:val="none"/>
                <w:u w:val="none"/>
              </w:rPr>
              <w:t>分</w:t>
            </w:r>
            <w:r>
              <w:rPr>
                <w:rFonts w:hint="eastAsia" w:ascii="宋体" w:hAnsi="宋体" w:eastAsia="宋体" w:cs="宋体"/>
                <w:color w:val="auto"/>
                <w:kern w:val="0"/>
                <w:sz w:val="24"/>
                <w:szCs w:val="24"/>
                <w:highlight w:val="none"/>
              </w:rPr>
              <w:t>。</w:t>
            </w:r>
          </w:p>
          <w:p w14:paraId="2887D10A">
            <w:pPr>
              <w:pStyle w:val="5"/>
              <w:wordWrap w:val="0"/>
              <w:spacing w:before="0" w:beforeAutospacing="0" w:after="0"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3．获得地市级奖项的，每个</w:t>
            </w:r>
            <w:r>
              <w:rPr>
                <w:rFonts w:hint="eastAsia" w:ascii="宋体" w:hAnsi="宋体" w:eastAsia="宋体" w:cs="宋体"/>
                <w:color w:val="auto"/>
                <w:kern w:val="0"/>
                <w:sz w:val="24"/>
                <w:szCs w:val="24"/>
                <w:highlight w:val="none"/>
                <w:u w:val="none"/>
              </w:rPr>
              <w:t>得</w:t>
            </w:r>
            <w:r>
              <w:rPr>
                <w:rFonts w:hint="eastAsia" w:ascii="宋体" w:hAnsi="宋体" w:eastAsia="宋体" w:cs="宋体"/>
                <w:color w:val="auto"/>
                <w:kern w:val="0"/>
                <w:sz w:val="24"/>
                <w:szCs w:val="24"/>
                <w:highlight w:val="none"/>
                <w:u w:val="single"/>
                <w:lang w:val="en-US" w:eastAsia="zh-CN"/>
              </w:rPr>
              <w:t xml:space="preserve">5 </w:t>
            </w:r>
            <w:r>
              <w:rPr>
                <w:rFonts w:hint="eastAsia" w:ascii="宋体" w:hAnsi="宋体" w:eastAsia="宋体" w:cs="宋体"/>
                <w:color w:val="auto"/>
                <w:kern w:val="0"/>
                <w:sz w:val="24"/>
                <w:szCs w:val="24"/>
                <w:highlight w:val="none"/>
                <w:u w:val="none"/>
              </w:rPr>
              <w:t>分</w:t>
            </w:r>
            <w:r>
              <w:rPr>
                <w:rFonts w:hint="eastAsia" w:ascii="宋体" w:hAnsi="宋体" w:eastAsia="宋体" w:cs="宋体"/>
                <w:color w:val="auto"/>
                <w:kern w:val="0"/>
                <w:sz w:val="24"/>
                <w:szCs w:val="24"/>
                <w:highlight w:val="none"/>
              </w:rPr>
              <w:t>。</w:t>
            </w:r>
          </w:p>
          <w:p w14:paraId="06CAC59C">
            <w:pPr>
              <w:pStyle w:val="5"/>
              <w:wordWrap w:val="0"/>
              <w:spacing w:before="0" w:beforeAutospacing="0" w:after="0"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4．以上奖项均未获得的，不予计分。</w:t>
            </w:r>
          </w:p>
          <w:p w14:paraId="178C3CC9">
            <w:pPr>
              <w:pStyle w:val="5"/>
              <w:wordWrap w:val="0"/>
              <w:spacing w:before="0" w:beforeAutospacing="0" w:after="0"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5．本项最高得10分。</w:t>
            </w:r>
          </w:p>
          <w:p w14:paraId="65386AD3">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snapToGrid w:val="0"/>
                <w:color w:val="auto"/>
                <w:kern w:val="0"/>
                <w:sz w:val="24"/>
                <w:szCs w:val="24"/>
                <w:highlight w:val="none"/>
                <w:lang w:val="en-US" w:eastAsia="zh-CN" w:bidi="ar-SA"/>
              </w:rPr>
            </w:pP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A365733">
            <w:pPr>
              <w:widowControl/>
              <w:spacing w:beforeAutospacing="0" w:after="0" w:afterAutospacing="0" w:line="360" w:lineRule="auto"/>
              <w:ind w:lef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kern w:val="0"/>
                <w:sz w:val="24"/>
                <w:szCs w:val="24"/>
                <w:highlight w:val="none"/>
                <w:u w:val="none"/>
                <w:lang w:val="en-US" w:eastAsia="zh-CN" w:bidi="ar"/>
              </w:rPr>
              <w:t>1.允许投标人提交多个业绩，但同一业绩只按最高级别奖项计分一次。</w:t>
            </w:r>
          </w:p>
          <w:p w14:paraId="240A7805">
            <w:pPr>
              <w:widowControl/>
              <w:spacing w:beforeAutospacing="0" w:after="0" w:afterAutospacing="0" w:line="360" w:lineRule="auto"/>
              <w:ind w:lef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kern w:val="0"/>
                <w:sz w:val="24"/>
                <w:szCs w:val="24"/>
                <w:highlight w:val="none"/>
                <w:u w:val="none"/>
                <w:lang w:val="en-US" w:eastAsia="zh-CN" w:bidi="ar"/>
              </w:rPr>
              <w:t>2.需附有关奖项证明扫描件</w:t>
            </w:r>
            <w:r>
              <w:rPr>
                <w:rFonts w:hint="eastAsia" w:ascii="宋体" w:hAnsi="宋体" w:eastAsia="宋体" w:cs="宋体"/>
                <w:b/>
                <w:i w:val="0"/>
                <w:caps w:val="0"/>
                <w:color w:val="auto"/>
                <w:spacing w:val="0"/>
                <w:kern w:val="0"/>
                <w:sz w:val="24"/>
                <w:szCs w:val="24"/>
                <w:highlight w:val="none"/>
                <w:u w:val="none"/>
                <w:lang w:val="en-US" w:eastAsia="zh-CN" w:bidi="ar"/>
              </w:rPr>
              <w:t>。</w:t>
            </w:r>
          </w:p>
          <w:p w14:paraId="20101F5E">
            <w:pPr>
              <w:widowControl/>
              <w:spacing w:beforeAutospacing="0" w:after="0" w:afterAutospacing="0" w:line="360" w:lineRule="auto"/>
              <w:ind w:lef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kern w:val="0"/>
                <w:sz w:val="24"/>
                <w:szCs w:val="24"/>
                <w:highlight w:val="none"/>
                <w:u w:val="none"/>
                <w:lang w:val="en-US" w:eastAsia="zh-CN" w:bidi="ar"/>
              </w:rPr>
              <w:t>3.颁发机构限定以下范围：</w:t>
            </w:r>
          </w:p>
          <w:p w14:paraId="25AFB0D7">
            <w:pPr>
              <w:pStyle w:val="12"/>
              <w:widowControl/>
              <w:spacing w:beforeAutospacing="0" w:after="90" w:afterAutospacing="0" w:line="360" w:lineRule="auto"/>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①国家级奖项：</w:t>
            </w:r>
            <w:r>
              <w:rPr>
                <w:rFonts w:hint="eastAsia" w:ascii="宋体" w:hAnsi="宋体" w:eastAsia="宋体" w:cs="宋体"/>
                <w:i w:val="0"/>
                <w:caps w:val="0"/>
                <w:color w:val="auto"/>
                <w:spacing w:val="0"/>
                <w:sz w:val="24"/>
                <w:szCs w:val="24"/>
                <w:highlight w:val="none"/>
                <w:u w:val="single"/>
              </w:rPr>
              <w:t>国务院、住建部、国家级建筑行业协会、国家级市政类行业协会；（相关协会需经民政部门备案）；</w:t>
            </w:r>
          </w:p>
          <w:p w14:paraId="3DD694BC">
            <w:pPr>
              <w:pStyle w:val="12"/>
              <w:widowControl/>
              <w:spacing w:beforeAutospacing="0" w:after="90" w:afterAutospacing="0" w:line="360" w:lineRule="auto"/>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②省级奖项：</w:t>
            </w:r>
            <w:r>
              <w:rPr>
                <w:rFonts w:hint="eastAsia" w:ascii="宋体" w:hAnsi="宋体" w:eastAsia="宋体" w:cs="宋体"/>
                <w:i w:val="0"/>
                <w:caps w:val="0"/>
                <w:color w:val="auto"/>
                <w:spacing w:val="0"/>
                <w:sz w:val="24"/>
                <w:szCs w:val="24"/>
                <w:highlight w:val="none"/>
                <w:u w:val="single"/>
              </w:rPr>
              <w:t>省级人民政府、省级住建部门、省级建筑行业协会、省级市政类行业协会；（相关协会需经民政部门备案）；</w:t>
            </w:r>
          </w:p>
          <w:p w14:paraId="6B5883C9">
            <w:pPr>
              <w:pStyle w:val="12"/>
              <w:widowControl/>
              <w:spacing w:beforeAutospacing="0" w:after="90" w:afterAutospacing="0" w:line="360" w:lineRule="auto"/>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③地市级奖项：</w:t>
            </w:r>
            <w:r>
              <w:rPr>
                <w:rFonts w:hint="eastAsia" w:ascii="宋体" w:hAnsi="宋体" w:eastAsia="宋体" w:cs="宋体"/>
                <w:i w:val="0"/>
                <w:caps w:val="0"/>
                <w:color w:val="auto"/>
                <w:spacing w:val="0"/>
                <w:sz w:val="24"/>
                <w:szCs w:val="24"/>
                <w:highlight w:val="none"/>
                <w:u w:val="single"/>
              </w:rPr>
              <w:t>地市级人民政府、地市级住建部门、市级建筑行业协会、市级市政类行业协会。（相关协会需经民政部门备案）。</w:t>
            </w:r>
          </w:p>
          <w:p w14:paraId="2DC0B785">
            <w:pPr>
              <w:widowControl/>
              <w:spacing w:beforeAutospacing="0" w:after="0" w:afterAutospacing="0" w:line="360" w:lineRule="auto"/>
              <w:ind w:lef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kern w:val="0"/>
                <w:sz w:val="24"/>
                <w:szCs w:val="24"/>
                <w:highlight w:val="none"/>
                <w:u w:val="none"/>
                <w:lang w:val="en-US" w:eastAsia="zh-CN" w:bidi="ar"/>
              </w:rPr>
              <w:t>4.获奖时间以奖项证明的落款日期为准。</w:t>
            </w:r>
          </w:p>
          <w:p w14:paraId="41780053">
            <w:pPr>
              <w:pStyle w:val="12"/>
              <w:widowControl/>
              <w:spacing w:beforeAutospacing="0" w:after="0" w:afterAutospacing="0" w:line="360" w:lineRule="auto"/>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5．任一奖项有以下情形之一的，该奖项视为无效，不予计分：</w:t>
            </w:r>
          </w:p>
          <w:p w14:paraId="46D409F2">
            <w:pPr>
              <w:pStyle w:val="12"/>
              <w:widowControl/>
              <w:spacing w:beforeAutospacing="0" w:after="0" w:afterAutospacing="0" w:line="360" w:lineRule="auto"/>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①奖项不属于指定类别的；</w:t>
            </w:r>
          </w:p>
          <w:p w14:paraId="659EA2BC">
            <w:pPr>
              <w:pStyle w:val="12"/>
              <w:widowControl/>
              <w:spacing w:beforeAutospacing="0" w:after="0" w:afterAutospacing="0" w:line="360" w:lineRule="auto"/>
              <w:ind w:left="0" w:right="0" w:firstLine="0"/>
              <w:jc w:val="both"/>
              <w:rPr>
                <w:rFonts w:hint="eastAsia" w:ascii="宋体" w:hAnsi="宋体" w:eastAsia="宋体" w:cs="宋体"/>
                <w:i w:val="0"/>
                <w:caps w:val="0"/>
                <w:color w:val="auto"/>
                <w:spacing w:val="0"/>
                <w:sz w:val="24"/>
                <w:szCs w:val="24"/>
                <w:highlight w:val="none"/>
                <w:u w:val="none"/>
              </w:rPr>
            </w:pPr>
            <w:r>
              <w:rPr>
                <w:rFonts w:hint="eastAsia" w:ascii="宋体" w:hAnsi="宋体" w:eastAsia="宋体" w:cs="宋体"/>
                <w:i w:val="0"/>
                <w:caps w:val="0"/>
                <w:color w:val="auto"/>
                <w:spacing w:val="0"/>
                <w:sz w:val="24"/>
                <w:szCs w:val="24"/>
                <w:highlight w:val="none"/>
                <w:u w:val="none"/>
              </w:rPr>
              <w:t>②颁发机构不符合要求的；</w:t>
            </w:r>
          </w:p>
          <w:p w14:paraId="59A220B9">
            <w:pPr>
              <w:pStyle w:val="12"/>
              <w:widowControl/>
              <w:spacing w:beforeAutospacing="0" w:after="0" w:afterAutospacing="0" w:line="360" w:lineRule="auto"/>
              <w:ind w:left="0" w:right="0" w:firstLine="0"/>
              <w:jc w:val="both"/>
              <w:rPr>
                <w:rFonts w:hint="eastAsia" w:ascii="宋体" w:hAnsi="宋体" w:eastAsia="宋体" w:cs="宋体"/>
                <w:color w:val="auto"/>
                <w:sz w:val="24"/>
                <w:szCs w:val="24"/>
                <w:highlight w:val="none"/>
                <w:lang w:val="en-US" w:eastAsia="zh-CN"/>
              </w:rPr>
            </w:pPr>
            <w:r>
              <w:rPr>
                <w:rFonts w:hint="eastAsia" w:ascii="宋体" w:hAnsi="宋体" w:eastAsia="宋体" w:cs="宋体"/>
                <w:i w:val="0"/>
                <w:caps w:val="0"/>
                <w:color w:val="auto"/>
                <w:spacing w:val="0"/>
                <w:sz w:val="24"/>
                <w:szCs w:val="24"/>
                <w:highlight w:val="none"/>
                <w:u w:val="none"/>
              </w:rPr>
              <w:t>③获奖时间不符合要求的；</w:t>
            </w:r>
          </w:p>
        </w:tc>
      </w:tr>
      <w:tr w14:paraId="48A4B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B56F178">
            <w:pPr>
              <w:pStyle w:val="5"/>
              <w:keepNext w:val="0"/>
              <w:keepLines w:val="0"/>
              <w:pageBreakBefore w:val="0"/>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w:t>
            </w:r>
          </w:p>
          <w:p w14:paraId="2127532A">
            <w:pPr>
              <w:pStyle w:val="5"/>
              <w:keepNext w:val="0"/>
              <w:keepLines w:val="0"/>
              <w:pageBreakBefore w:val="0"/>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综合素质</w:t>
            </w:r>
          </w:p>
          <w:p w14:paraId="15F40AA1">
            <w:pPr>
              <w:pStyle w:val="5"/>
              <w:keepNext w:val="0"/>
              <w:keepLines w:val="0"/>
              <w:pageBreakBefore w:val="0"/>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p w14:paraId="238E0A2F">
            <w:pPr>
              <w:pStyle w:val="5"/>
              <w:keepNext w:val="0"/>
              <w:keepLines w:val="0"/>
              <w:pageBreakBefore w:val="0"/>
              <w:kinsoku/>
              <w:wordWrap w:val="0"/>
              <w:overflowPunct/>
              <w:topLinePunct w:val="0"/>
              <w:autoSpaceDE/>
              <w:autoSpaceDN/>
              <w:bidi w:val="0"/>
              <w:adjustRightInd w:val="0"/>
              <w:snapToGrid w:val="0"/>
              <w:spacing w:after="0" w:line="360" w:lineRule="auto"/>
              <w:jc w:val="center"/>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b/>
                <w:bCs/>
                <w:caps w:val="0"/>
                <w:smallCaps w:val="0"/>
                <w:snapToGrid w:val="0"/>
                <w:color w:val="auto"/>
                <w:spacing w:val="0"/>
                <w:kern w:val="0"/>
                <w:sz w:val="24"/>
                <w:szCs w:val="24"/>
                <w:highlight w:val="none"/>
                <w:lang w:val="en-US" w:eastAsia="zh-CN"/>
              </w:rPr>
              <w:t>（由牵头人提供）</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42B80620">
            <w:pPr>
              <w:pStyle w:val="5"/>
              <w:keepNext w:val="0"/>
              <w:keepLines w:val="0"/>
              <w:pageBreakBefore w:val="0"/>
              <w:kinsoku/>
              <w:wordWrap w:val="0"/>
              <w:overflowPunct/>
              <w:topLinePunct w:val="0"/>
              <w:autoSpaceDE/>
              <w:autoSpaceDN/>
              <w:bidi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项目经理工程类技术职称情况：</w:t>
            </w:r>
          </w:p>
          <w:p w14:paraId="62176153">
            <w:pPr>
              <w:pStyle w:val="5"/>
              <w:keepNext w:val="0"/>
              <w:keepLines w:val="0"/>
              <w:pageBreakBefore w:val="0"/>
              <w:kinsoku/>
              <w:wordWrap w:val="0"/>
              <w:overflowPunct/>
              <w:topLinePunct w:val="0"/>
              <w:autoSpaceDE/>
              <w:autoSpaceDN/>
              <w:bidi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具备</w:t>
            </w:r>
            <w:r>
              <w:rPr>
                <w:rFonts w:hint="eastAsia" w:ascii="宋体" w:hAnsi="宋体" w:eastAsia="宋体" w:cs="宋体"/>
                <w:snapToGrid w:val="0"/>
                <w:color w:val="auto"/>
                <w:kern w:val="0"/>
                <w:sz w:val="24"/>
                <w:szCs w:val="24"/>
                <w:highlight w:val="none"/>
                <w:lang w:val="en-US" w:eastAsia="zh-CN"/>
              </w:rPr>
              <w:t>助理</w:t>
            </w:r>
            <w:r>
              <w:rPr>
                <w:rFonts w:hint="eastAsia" w:ascii="宋体" w:hAnsi="宋体" w:eastAsia="宋体" w:cs="宋体"/>
                <w:snapToGrid w:val="0"/>
                <w:color w:val="auto"/>
                <w:kern w:val="0"/>
                <w:sz w:val="24"/>
                <w:szCs w:val="24"/>
                <w:highlight w:val="none"/>
              </w:rPr>
              <w:t>工程师</w:t>
            </w:r>
            <w:r>
              <w:rPr>
                <w:rFonts w:hint="eastAsia" w:ascii="宋体" w:hAnsi="宋体" w:eastAsia="宋体" w:cs="宋体"/>
                <w:snapToGrid w:val="0"/>
                <w:color w:val="auto"/>
                <w:kern w:val="0"/>
                <w:sz w:val="24"/>
                <w:szCs w:val="24"/>
                <w:highlight w:val="none"/>
                <w:lang w:val="en-US" w:eastAsia="zh-CN"/>
              </w:rPr>
              <w:t>或以上的，</w:t>
            </w:r>
            <w:r>
              <w:rPr>
                <w:rFonts w:hint="eastAsia" w:ascii="宋体" w:hAnsi="宋体" w:eastAsia="宋体" w:cs="宋体"/>
                <w:snapToGrid w:val="0"/>
                <w:color w:val="auto"/>
                <w:kern w:val="0"/>
                <w:sz w:val="24"/>
                <w:szCs w:val="24"/>
                <w:highlight w:val="none"/>
              </w:rPr>
              <w:t>得</w:t>
            </w:r>
            <w:r>
              <w:rPr>
                <w:rFonts w:hint="eastAsia" w:ascii="宋体" w:hAnsi="宋体" w:eastAsia="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分。</w:t>
            </w:r>
          </w:p>
          <w:p w14:paraId="160E6002">
            <w:pPr>
              <w:pStyle w:val="5"/>
              <w:keepNext w:val="0"/>
              <w:keepLines w:val="0"/>
              <w:pageBreakBefore w:val="0"/>
              <w:kinsoku/>
              <w:wordWrap w:val="0"/>
              <w:overflowPunct/>
              <w:topLinePunct w:val="0"/>
              <w:autoSpaceDE/>
              <w:autoSpaceDN/>
              <w:bidi w:val="0"/>
              <w:adjustRightInd w:val="0"/>
              <w:snapToGrid w:val="0"/>
              <w:spacing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2.具备技术员</w:t>
            </w:r>
            <w:r>
              <w:rPr>
                <w:rFonts w:hint="eastAsia" w:ascii="宋体" w:hAnsi="宋体" w:eastAsia="宋体" w:cs="宋体"/>
                <w:snapToGrid w:val="0"/>
                <w:color w:val="auto"/>
                <w:kern w:val="0"/>
                <w:sz w:val="24"/>
                <w:szCs w:val="24"/>
                <w:highlight w:val="none"/>
              </w:rPr>
              <w:t>职称的，</w:t>
            </w:r>
            <w:r>
              <w:rPr>
                <w:rFonts w:hint="eastAsia" w:ascii="宋体" w:hAnsi="宋体" w:eastAsia="宋体" w:cs="宋体"/>
                <w:snapToGrid w:val="0"/>
                <w:color w:val="auto"/>
                <w:kern w:val="0"/>
                <w:sz w:val="24"/>
                <w:szCs w:val="24"/>
                <w:highlight w:val="none"/>
                <w:lang w:val="en-US" w:eastAsia="zh-CN"/>
              </w:rPr>
              <w:t>得</w:t>
            </w:r>
            <w:r>
              <w:rPr>
                <w:rFonts w:hint="eastAsia" w:ascii="宋体" w:hAnsi="宋体" w:eastAsia="宋体" w:cs="宋体"/>
                <w:snapToGrid w:val="0"/>
                <w:color w:val="auto"/>
                <w:kern w:val="0"/>
                <w:sz w:val="24"/>
                <w:szCs w:val="24"/>
                <w:highlight w:val="none"/>
                <w:u w:val="single"/>
                <w:lang w:val="en-US" w:eastAsia="zh-CN"/>
              </w:rPr>
              <w:t xml:space="preserve"> 5 </w:t>
            </w:r>
            <w:r>
              <w:rPr>
                <w:rFonts w:hint="eastAsia" w:ascii="宋体" w:hAnsi="宋体" w:eastAsia="宋体" w:cs="宋体"/>
                <w:snapToGrid w:val="0"/>
                <w:color w:val="auto"/>
                <w:kern w:val="0"/>
                <w:sz w:val="24"/>
                <w:szCs w:val="24"/>
                <w:highlight w:val="none"/>
                <w:lang w:val="en-US" w:eastAsia="zh-CN"/>
              </w:rPr>
              <w:t>分。</w:t>
            </w:r>
          </w:p>
          <w:p w14:paraId="7B668044">
            <w:pPr>
              <w:pStyle w:val="5"/>
              <w:keepNext w:val="0"/>
              <w:keepLines w:val="0"/>
              <w:pageBreakBefore w:val="0"/>
              <w:kinsoku/>
              <w:wordWrap w:val="0"/>
              <w:overflowPunct/>
              <w:topLinePunct w:val="0"/>
              <w:autoSpaceDE/>
              <w:autoSpaceDN/>
              <w:bidi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不具备以上职称的不予计分。</w:t>
            </w:r>
          </w:p>
          <w:p w14:paraId="61C7C9D0">
            <w:pPr>
              <w:pStyle w:val="5"/>
              <w:keepNext w:val="0"/>
              <w:keepLines w:val="0"/>
              <w:pageBreakBefore w:val="0"/>
              <w:kinsoku/>
              <w:wordWrap w:val="0"/>
              <w:overflowPunct/>
              <w:topLinePunct w:val="0"/>
              <w:autoSpaceDE/>
              <w:autoSpaceDN/>
              <w:bidi w:val="0"/>
              <w:adjustRightInd w:val="0"/>
              <w:snapToGrid w:val="0"/>
              <w:spacing w:after="0" w:line="360" w:lineRule="auto"/>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eastAsia="zh-CN"/>
              </w:rPr>
              <w:t>本项</w:t>
            </w:r>
            <w:r>
              <w:rPr>
                <w:rFonts w:hint="eastAsia" w:ascii="宋体" w:hAnsi="宋体" w:eastAsia="宋体" w:cs="宋体"/>
                <w:snapToGrid w:val="0"/>
                <w:color w:val="auto"/>
                <w:kern w:val="0"/>
                <w:sz w:val="24"/>
                <w:szCs w:val="24"/>
                <w:highlight w:val="none"/>
              </w:rPr>
              <w:t>最高得</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54270A2">
            <w:pPr>
              <w:pStyle w:val="5"/>
              <w:wordWrap w:val="0"/>
              <w:adjustRightInd w:val="0"/>
              <w:snapToGrid w:val="0"/>
              <w:spacing w:after="0" w:line="360" w:lineRule="auto"/>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需附职称证</w:t>
            </w:r>
            <w:r>
              <w:rPr>
                <w:rFonts w:hint="eastAsia" w:ascii="宋体" w:hAnsi="宋体" w:eastAsia="宋体" w:cs="宋体"/>
                <w:caps w:val="0"/>
                <w:smallCaps w:val="0"/>
                <w:snapToGrid w:val="0"/>
                <w:color w:val="auto"/>
                <w:spacing w:val="0"/>
                <w:kern w:val="0"/>
                <w:sz w:val="24"/>
                <w:szCs w:val="24"/>
                <w:highlight w:val="none"/>
                <w:lang w:val="en-US" w:eastAsia="zh-CN"/>
              </w:rPr>
              <w:t>彩色扫描件，</w:t>
            </w:r>
            <w:r>
              <w:rPr>
                <w:rFonts w:hint="eastAsia" w:ascii="宋体" w:hAnsi="宋体" w:eastAsia="宋体" w:cs="宋体"/>
                <w:b/>
                <w:bCs/>
                <w:snapToGrid w:val="0"/>
                <w:color w:val="auto"/>
                <w:kern w:val="0"/>
                <w:sz w:val="24"/>
                <w:szCs w:val="24"/>
                <w:highlight w:val="none"/>
              </w:rPr>
              <w:t>（职称证为电子证书打印件的除外）</w:t>
            </w:r>
            <w:r>
              <w:rPr>
                <w:rFonts w:hint="eastAsia" w:ascii="宋体" w:hAnsi="宋体" w:eastAsia="宋体" w:cs="宋体"/>
                <w:snapToGrid w:val="0"/>
                <w:color w:val="auto"/>
                <w:kern w:val="0"/>
                <w:sz w:val="24"/>
                <w:szCs w:val="24"/>
                <w:highlight w:val="none"/>
              </w:rPr>
              <w:t>。</w:t>
            </w:r>
          </w:p>
        </w:tc>
      </w:tr>
      <w:tr w14:paraId="6DE89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B98B7EC">
            <w:pPr>
              <w:pStyle w:val="5"/>
              <w:pageBreakBefore w:val="0"/>
              <w:kinsoku/>
              <w:wordWrap w:val="0"/>
              <w:overflowPunct/>
              <w:topLinePunct w:val="0"/>
              <w:bidi w:val="0"/>
              <w:adjustRightInd w:val="0"/>
              <w:snapToGrid w:val="0"/>
              <w:spacing w:after="0" w:afterLines="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企业业绩</w:t>
            </w:r>
          </w:p>
          <w:p w14:paraId="09390612">
            <w:pPr>
              <w:pStyle w:val="5"/>
              <w:keepNext w:val="0"/>
              <w:keepLines w:val="0"/>
              <w:pageBreakBefore w:val="0"/>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p w14:paraId="42F81D64">
            <w:pPr>
              <w:pStyle w:val="5"/>
              <w:keepNext w:val="0"/>
              <w:keepLines w:val="0"/>
              <w:pageBreakBefore w:val="0"/>
              <w:kinsoku/>
              <w:wordWrap w:val="0"/>
              <w:overflowPunct/>
              <w:topLinePunct w:val="0"/>
              <w:autoSpaceDE/>
              <w:autoSpaceDN/>
              <w:bidi w:val="0"/>
              <w:adjustRightInd w:val="0"/>
              <w:snapToGrid w:val="0"/>
              <w:spacing w:after="0"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caps w:val="0"/>
                <w:smallCaps w:val="0"/>
                <w:snapToGrid w:val="0"/>
                <w:color w:val="auto"/>
                <w:spacing w:val="0"/>
                <w:kern w:val="0"/>
                <w:sz w:val="24"/>
                <w:szCs w:val="24"/>
                <w:highlight w:val="none"/>
                <w:lang w:val="en-US" w:eastAsia="zh-CN"/>
              </w:rPr>
              <w:t>（由牵头人提供）</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A74FE02">
            <w:pPr>
              <w:pageBreakBefore w:val="0"/>
              <w:kinsoku/>
              <w:overflowPunct/>
              <w:topLinePunct w:val="0"/>
              <w:bidi w:val="0"/>
              <w:snapToGrid w:val="0"/>
              <w:spacing w:line="360" w:lineRule="auto"/>
              <w:ind w:firstLine="240" w:firstLineChars="100"/>
              <w:jc w:val="both"/>
              <w:rPr>
                <w:rFonts w:hint="eastAsia" w:ascii="宋体" w:hAnsi="宋体" w:eastAsia="宋体" w:cs="宋体"/>
                <w:color w:val="auto"/>
                <w:sz w:val="24"/>
                <w:szCs w:val="24"/>
                <w:highlight w:val="none"/>
              </w:rPr>
            </w:pPr>
            <w:r>
              <w:rPr>
                <w:rFonts w:hint="eastAsia" w:ascii="宋体" w:hAnsi="宋体" w:eastAsia="宋体" w:cs="宋体"/>
                <w:caps w:val="0"/>
                <w:smallCaps w:val="0"/>
                <w:snapToGrid w:val="0"/>
                <w:color w:val="auto"/>
                <w:spacing w:val="0"/>
                <w:kern w:val="0"/>
                <w:sz w:val="24"/>
                <w:szCs w:val="24"/>
                <w:highlight w:val="none"/>
              </w:rPr>
              <w:t>企业近</w:t>
            </w:r>
            <w:r>
              <w:rPr>
                <w:rFonts w:hint="eastAsia" w:ascii="宋体" w:hAnsi="宋体" w:eastAsia="宋体" w:cs="宋体"/>
                <w:caps w:val="0"/>
                <w:smallCaps w:val="0"/>
                <w:snapToGrid w:val="0"/>
                <w:color w:val="auto"/>
                <w:spacing w:val="0"/>
                <w:kern w:val="0"/>
                <w:sz w:val="24"/>
                <w:szCs w:val="24"/>
                <w:highlight w:val="none"/>
                <w:lang w:val="en-US" w:eastAsia="zh-CN"/>
              </w:rPr>
              <w:t>5</w:t>
            </w:r>
            <w:r>
              <w:rPr>
                <w:rFonts w:hint="eastAsia" w:ascii="宋体" w:hAnsi="宋体" w:eastAsia="宋体" w:cs="宋体"/>
                <w:caps w:val="0"/>
                <w:smallCaps w:val="0"/>
                <w:snapToGrid w:val="0"/>
                <w:color w:val="auto"/>
                <w:spacing w:val="0"/>
                <w:kern w:val="0"/>
                <w:sz w:val="24"/>
                <w:szCs w:val="24"/>
                <w:highlight w:val="none"/>
              </w:rPr>
              <w:t>年来（202</w:t>
            </w:r>
            <w:r>
              <w:rPr>
                <w:rFonts w:hint="eastAsia" w:ascii="宋体" w:hAnsi="宋体" w:eastAsia="宋体" w:cs="宋体"/>
                <w:caps w:val="0"/>
                <w:smallCaps w:val="0"/>
                <w:snapToGrid w:val="0"/>
                <w:color w:val="auto"/>
                <w:spacing w:val="0"/>
                <w:kern w:val="0"/>
                <w:sz w:val="24"/>
                <w:szCs w:val="24"/>
                <w:highlight w:val="none"/>
                <w:lang w:val="en-US" w:eastAsia="zh-CN"/>
              </w:rPr>
              <w:t>2</w:t>
            </w:r>
            <w:r>
              <w:rPr>
                <w:rFonts w:hint="eastAsia" w:ascii="宋体" w:hAnsi="宋体" w:eastAsia="宋体" w:cs="宋体"/>
                <w:caps w:val="0"/>
                <w:smallCaps w:val="0"/>
                <w:snapToGrid w:val="0"/>
                <w:color w:val="auto"/>
                <w:spacing w:val="0"/>
                <w:kern w:val="0"/>
                <w:sz w:val="24"/>
                <w:szCs w:val="24"/>
                <w:highlight w:val="none"/>
              </w:rPr>
              <w:t>年1月1日至今）</w:t>
            </w:r>
            <w:r>
              <w:rPr>
                <w:rFonts w:hint="eastAsia" w:ascii="宋体" w:hAnsi="宋体" w:eastAsia="宋体" w:cs="宋体"/>
                <w:color w:val="auto"/>
                <w:sz w:val="24"/>
                <w:szCs w:val="24"/>
                <w:highlight w:val="none"/>
              </w:rPr>
              <w:t>业绩情况：</w:t>
            </w:r>
          </w:p>
          <w:p w14:paraId="0B95B445">
            <w:pPr>
              <w:pStyle w:val="5"/>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u w:val="single"/>
              </w:rPr>
              <w:t xml:space="preserve"> 承接 </w:t>
            </w:r>
            <w:r>
              <w:rPr>
                <w:rFonts w:hint="eastAsia" w:ascii="宋体" w:hAnsi="宋体" w:eastAsia="宋体" w:cs="宋体"/>
                <w:snapToGrid w:val="0"/>
                <w:color w:val="auto"/>
                <w:kern w:val="0"/>
                <w:sz w:val="24"/>
                <w:szCs w:val="24"/>
                <w:highlight w:val="none"/>
              </w:rPr>
              <w:t>过类似工程的，每个得</w:t>
            </w:r>
            <w:r>
              <w:rPr>
                <w:rFonts w:hint="eastAsia" w:ascii="宋体" w:hAnsi="宋体" w:eastAsia="宋体" w:cs="宋体"/>
                <w:snapToGrid w:val="0"/>
                <w:color w:val="auto"/>
                <w:kern w:val="0"/>
                <w:sz w:val="24"/>
                <w:szCs w:val="24"/>
                <w:highlight w:val="none"/>
                <w:u w:val="single"/>
              </w:rPr>
              <w:t>5</w:t>
            </w:r>
            <w:r>
              <w:rPr>
                <w:rFonts w:hint="eastAsia" w:ascii="宋体" w:hAnsi="宋体" w:eastAsia="宋体" w:cs="宋体"/>
                <w:snapToGrid w:val="0"/>
                <w:color w:val="auto"/>
                <w:kern w:val="0"/>
                <w:sz w:val="24"/>
                <w:szCs w:val="24"/>
                <w:highlight w:val="none"/>
              </w:rPr>
              <w:t>分。</w:t>
            </w:r>
          </w:p>
          <w:p w14:paraId="6C87F8EB">
            <w:pPr>
              <w:pStyle w:val="5"/>
              <w:wordWrap w:val="0"/>
              <w:adjustRightInd w:val="0"/>
              <w:snapToGrid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2．未</w:t>
            </w:r>
            <w:r>
              <w:rPr>
                <w:rFonts w:hint="eastAsia" w:ascii="宋体" w:hAnsi="宋体" w:eastAsia="宋体" w:cs="宋体"/>
                <w:snapToGrid w:val="0"/>
                <w:color w:val="auto"/>
                <w:kern w:val="0"/>
                <w:sz w:val="24"/>
                <w:szCs w:val="24"/>
                <w:highlight w:val="none"/>
                <w:u w:val="single"/>
              </w:rPr>
              <w:t xml:space="preserve"> 承接 </w:t>
            </w:r>
            <w:r>
              <w:rPr>
                <w:rFonts w:hint="eastAsia" w:ascii="宋体" w:hAnsi="宋体" w:eastAsia="宋体" w:cs="宋体"/>
                <w:snapToGrid w:val="0"/>
                <w:color w:val="auto"/>
                <w:kern w:val="0"/>
                <w:sz w:val="24"/>
                <w:szCs w:val="24"/>
                <w:highlight w:val="none"/>
              </w:rPr>
              <w:t>过类似工程的，不予计分。</w:t>
            </w:r>
          </w:p>
          <w:p w14:paraId="539DBC07">
            <w:pPr>
              <w:pStyle w:val="5"/>
              <w:keepNext w:val="0"/>
              <w:keepLines w:val="0"/>
              <w:pageBreakBefore w:val="0"/>
              <w:widowControl w:val="0"/>
              <w:kinsoku/>
              <w:wordWrap w:val="0"/>
              <w:overflowPunct/>
              <w:topLinePunct w:val="0"/>
              <w:autoSpaceDE/>
              <w:autoSpaceDN/>
              <w:bidi w:val="0"/>
              <w:adjustRightInd w:val="0"/>
              <w:snapToGrid w:val="0"/>
              <w:spacing w:after="0" w:line="360" w:lineRule="auto"/>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3．本项最高得</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0分。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EA43237">
            <w:pPr>
              <w:spacing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1.类似工程指：</w:t>
            </w:r>
            <w:r>
              <w:rPr>
                <w:rFonts w:hint="eastAsia" w:ascii="宋体" w:hAnsi="宋体" w:eastAsia="宋体" w:cs="宋体"/>
                <w:snapToGrid w:val="0"/>
                <w:color w:val="auto"/>
                <w:kern w:val="0"/>
                <w:sz w:val="24"/>
                <w:szCs w:val="24"/>
                <w:highlight w:val="none"/>
                <w:u w:val="single"/>
                <w:lang w:val="en-US" w:eastAsia="zh-CN"/>
              </w:rPr>
              <w:t>市政类工程项目。</w:t>
            </w:r>
          </w:p>
          <w:p w14:paraId="2E035A57">
            <w:pPr>
              <w:pStyle w:val="5"/>
              <w:wordWrap w:val="0"/>
              <w:adjustRightInd w:val="0"/>
              <w:snapToGrid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需附</w:t>
            </w:r>
            <w:r>
              <w:rPr>
                <w:rFonts w:hint="eastAsia" w:ascii="宋体" w:hAnsi="宋体" w:eastAsia="宋体" w:cs="宋体"/>
                <w:color w:val="auto"/>
                <w:sz w:val="24"/>
                <w:szCs w:val="24"/>
                <w:highlight w:val="none"/>
                <w:lang w:val="en-US" w:eastAsia="zh-CN"/>
              </w:rPr>
              <w:t>有关业绩</w:t>
            </w:r>
            <w:r>
              <w:rPr>
                <w:rFonts w:hint="eastAsia" w:ascii="宋体" w:hAnsi="宋体" w:eastAsia="宋体" w:cs="宋体"/>
                <w:snapToGrid w:val="0"/>
                <w:color w:val="auto"/>
                <w:kern w:val="0"/>
                <w:sz w:val="24"/>
                <w:szCs w:val="24"/>
                <w:highlight w:val="none"/>
              </w:rPr>
              <w:t>（仅限于</w:t>
            </w:r>
            <w:r>
              <w:rPr>
                <w:rFonts w:hint="eastAsia" w:ascii="宋体" w:hAnsi="宋体" w:eastAsia="宋体" w:cs="宋体"/>
                <w:snapToGrid w:val="0"/>
                <w:color w:val="auto"/>
                <w:kern w:val="0"/>
                <w:sz w:val="24"/>
                <w:szCs w:val="24"/>
                <w:highlight w:val="none"/>
                <w:lang w:val="en-US" w:eastAsia="zh-CN"/>
              </w:rPr>
              <w:t>以</w:t>
            </w:r>
            <w:r>
              <w:rPr>
                <w:rFonts w:hint="eastAsia" w:ascii="宋体" w:hAnsi="宋体" w:eastAsia="宋体" w:cs="宋体"/>
                <w:snapToGrid w:val="0"/>
                <w:color w:val="auto"/>
                <w:kern w:val="0"/>
                <w:sz w:val="24"/>
                <w:szCs w:val="24"/>
                <w:highlight w:val="none"/>
              </w:rPr>
              <w:t>施工</w:t>
            </w:r>
            <w:r>
              <w:rPr>
                <w:rFonts w:hint="eastAsia" w:ascii="宋体" w:hAnsi="宋体" w:eastAsia="宋体" w:cs="宋体"/>
                <w:snapToGrid w:val="0"/>
                <w:color w:val="auto"/>
                <w:kern w:val="0"/>
                <w:sz w:val="24"/>
                <w:szCs w:val="24"/>
                <w:highlight w:val="none"/>
                <w:u w:val="single"/>
              </w:rPr>
              <w:t xml:space="preserve"> 总承包单位 </w:t>
            </w:r>
            <w:r>
              <w:rPr>
                <w:rFonts w:hint="eastAsia" w:ascii="宋体" w:hAnsi="宋体" w:eastAsia="宋体" w:cs="宋体"/>
                <w:snapToGrid w:val="0"/>
                <w:color w:val="auto"/>
                <w:kern w:val="0"/>
                <w:sz w:val="24"/>
                <w:szCs w:val="24"/>
                <w:highlight w:val="none"/>
              </w:rPr>
              <w:t>身份</w:t>
            </w:r>
            <w:r>
              <w:rPr>
                <w:rFonts w:hint="eastAsia" w:ascii="宋体" w:hAnsi="宋体" w:eastAsia="宋体" w:cs="宋体"/>
                <w:snapToGrid w:val="0"/>
                <w:color w:val="auto"/>
                <w:kern w:val="0"/>
                <w:sz w:val="24"/>
                <w:szCs w:val="24"/>
                <w:highlight w:val="none"/>
                <w:lang w:val="en-US" w:eastAsia="zh-CN"/>
              </w:rPr>
              <w:t>承</w:t>
            </w:r>
            <w:r>
              <w:rPr>
                <w:rFonts w:hint="eastAsia" w:ascii="宋体" w:hAnsi="宋体" w:eastAsia="宋体" w:cs="宋体"/>
                <w:snapToGrid w:val="0"/>
                <w:color w:val="auto"/>
                <w:kern w:val="0"/>
                <w:sz w:val="24"/>
                <w:szCs w:val="24"/>
                <w:highlight w:val="none"/>
              </w:rPr>
              <w:t>建的项目）</w:t>
            </w:r>
            <w:r>
              <w:rPr>
                <w:rFonts w:hint="eastAsia" w:ascii="宋体" w:hAnsi="宋体" w:eastAsia="宋体" w:cs="宋体"/>
                <w:color w:val="auto"/>
                <w:sz w:val="24"/>
                <w:szCs w:val="24"/>
                <w:highlight w:val="none"/>
                <w:lang w:val="en-US" w:eastAsia="zh-CN"/>
              </w:rPr>
              <w:t>中标通知书或</w:t>
            </w:r>
            <w:r>
              <w:rPr>
                <w:rFonts w:hint="eastAsia" w:ascii="宋体" w:hAnsi="宋体" w:eastAsia="宋体" w:cs="宋体"/>
                <w:color w:val="auto"/>
                <w:sz w:val="24"/>
                <w:szCs w:val="24"/>
                <w:highlight w:val="none"/>
              </w:rPr>
              <w:t>合同</w:t>
            </w:r>
            <w:r>
              <w:rPr>
                <w:rFonts w:hint="eastAsia" w:ascii="宋体" w:hAnsi="宋体" w:eastAsia="宋体" w:cs="宋体"/>
                <w:color w:val="auto"/>
                <w:sz w:val="24"/>
                <w:szCs w:val="24"/>
                <w:highlight w:val="none"/>
                <w:lang w:val="en-US" w:eastAsia="zh-CN"/>
              </w:rPr>
              <w:t>协议书</w:t>
            </w:r>
            <w:r>
              <w:rPr>
                <w:rFonts w:hint="eastAsia" w:ascii="宋体" w:hAnsi="宋体" w:eastAsia="宋体" w:cs="宋体"/>
                <w:color w:val="auto"/>
                <w:sz w:val="24"/>
                <w:szCs w:val="24"/>
                <w:highlight w:val="none"/>
              </w:rPr>
              <w:t>关键页</w:t>
            </w:r>
            <w:r>
              <w:rPr>
                <w:rFonts w:hint="eastAsia" w:ascii="宋体" w:hAnsi="宋体" w:eastAsia="宋体" w:cs="宋体"/>
                <w:color w:val="auto"/>
                <w:sz w:val="24"/>
                <w:szCs w:val="24"/>
                <w:highlight w:val="none"/>
                <w:lang w:val="en-US" w:eastAsia="zh-CN"/>
              </w:rPr>
              <w:t>的彩色扫描件（或打印件）</w:t>
            </w:r>
            <w:r>
              <w:rPr>
                <w:rFonts w:hint="eastAsia" w:ascii="宋体" w:hAnsi="宋体" w:eastAsia="宋体" w:cs="宋体"/>
                <w:snapToGrid w:val="0"/>
                <w:color w:val="auto"/>
                <w:kern w:val="0"/>
                <w:sz w:val="24"/>
                <w:szCs w:val="24"/>
                <w:highlight w:val="none"/>
              </w:rPr>
              <w:t>。</w:t>
            </w:r>
          </w:p>
          <w:p w14:paraId="31DA557B">
            <w:pPr>
              <w:pageBreakBefore w:val="0"/>
              <w:numPr>
                <w:ilvl w:val="0"/>
                <w:numId w:val="0"/>
              </w:numPr>
              <w:kinsoku/>
              <w:overflowPunct/>
              <w:topLinePunct w:val="0"/>
              <w:bidi w:val="0"/>
              <w:snapToGrid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3.业绩</w:t>
            </w:r>
            <w:r>
              <w:rPr>
                <w:rFonts w:hint="eastAsia" w:ascii="宋体" w:hAnsi="宋体" w:eastAsia="宋体" w:cs="宋体"/>
                <w:color w:val="auto"/>
                <w:sz w:val="24"/>
                <w:szCs w:val="24"/>
                <w:highlight w:val="none"/>
              </w:rPr>
              <w:t>时间以</w:t>
            </w:r>
            <w:r>
              <w:rPr>
                <w:rFonts w:hint="eastAsia" w:ascii="宋体" w:hAnsi="宋体" w:eastAsia="宋体" w:cs="宋体"/>
                <w:color w:val="auto"/>
                <w:sz w:val="24"/>
                <w:szCs w:val="24"/>
                <w:highlight w:val="none"/>
                <w:lang w:val="en-US" w:eastAsia="zh-CN"/>
              </w:rPr>
              <w:t>中标通知书颁发或合同签署日期</w:t>
            </w:r>
            <w:r>
              <w:rPr>
                <w:rFonts w:hint="eastAsia" w:ascii="宋体" w:hAnsi="宋体" w:eastAsia="宋体" w:cs="宋体"/>
                <w:color w:val="auto"/>
                <w:sz w:val="24"/>
                <w:szCs w:val="24"/>
                <w:highlight w:val="none"/>
              </w:rPr>
              <w:t>为准。</w:t>
            </w:r>
          </w:p>
          <w:p w14:paraId="35BC078F">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4.任一业绩有以下情形之一的，该业绩视为无效，不予计分</w:t>
            </w:r>
            <w:r>
              <w:rPr>
                <w:rFonts w:hint="eastAsia" w:ascii="宋体" w:hAnsi="宋体" w:eastAsia="宋体" w:cs="宋体"/>
                <w:caps w:val="0"/>
                <w:smallCaps w:val="0"/>
                <w:snapToGrid w:val="0"/>
                <w:color w:val="auto"/>
                <w:spacing w:val="0"/>
                <w:kern w:val="0"/>
                <w:sz w:val="24"/>
                <w:szCs w:val="24"/>
                <w:highlight w:val="none"/>
                <w:lang w:eastAsia="zh-CN"/>
              </w:rPr>
              <w:t>：</w:t>
            </w:r>
          </w:p>
          <w:p w14:paraId="65423858">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①业绩不属于类似工程的；</w:t>
            </w:r>
          </w:p>
          <w:p w14:paraId="0CB4DDEC">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②</w:t>
            </w:r>
            <w:r>
              <w:rPr>
                <w:rFonts w:hint="eastAsia" w:ascii="宋体" w:hAnsi="宋体" w:eastAsia="宋体" w:cs="宋体"/>
                <w:snapToGrid w:val="0"/>
                <w:color w:val="auto"/>
                <w:kern w:val="0"/>
                <w:sz w:val="24"/>
                <w:szCs w:val="24"/>
                <w:highlight w:val="none"/>
              </w:rPr>
              <w:t>不是以指定身份参建的</w:t>
            </w:r>
            <w:r>
              <w:rPr>
                <w:rFonts w:hint="eastAsia" w:ascii="宋体" w:hAnsi="宋体" w:eastAsia="宋体" w:cs="宋体"/>
                <w:caps w:val="0"/>
                <w:smallCaps w:val="0"/>
                <w:snapToGrid w:val="0"/>
                <w:color w:val="auto"/>
                <w:spacing w:val="0"/>
                <w:kern w:val="0"/>
                <w:sz w:val="24"/>
                <w:szCs w:val="24"/>
                <w:highlight w:val="none"/>
                <w:lang w:eastAsia="zh-CN"/>
              </w:rPr>
              <w:t>；</w:t>
            </w:r>
          </w:p>
          <w:p w14:paraId="7ABAD583">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left="0" w:leftChars="0" w:right="0" w:rightChars="0" w:firstLine="0" w:firstLineChars="0"/>
              <w:jc w:val="both"/>
              <w:textAlignment w:val="auto"/>
              <w:outlineLvl w:val="9"/>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eastAsia="zh-CN"/>
              </w:rPr>
              <w:t>③</w:t>
            </w:r>
            <w:r>
              <w:rPr>
                <w:rFonts w:hint="eastAsia" w:ascii="宋体" w:hAnsi="宋体" w:eastAsia="宋体" w:cs="宋体"/>
                <w:caps w:val="0"/>
                <w:smallCaps w:val="0"/>
                <w:snapToGrid w:val="0"/>
                <w:color w:val="auto"/>
                <w:spacing w:val="0"/>
                <w:kern w:val="0"/>
                <w:sz w:val="24"/>
                <w:szCs w:val="24"/>
                <w:highlight w:val="none"/>
                <w:lang w:val="en-US" w:eastAsia="zh-CN"/>
              </w:rPr>
              <w:t>业绩时间不符合要求的。</w:t>
            </w:r>
          </w:p>
        </w:tc>
      </w:tr>
      <w:tr w14:paraId="2BFAC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EF1A0C0">
            <w:pPr>
              <w:keepNext w:val="0"/>
              <w:keepLines w:val="0"/>
              <w:pageBreakBefore w:val="0"/>
              <w:widowControl w:val="0"/>
              <w:kinsoku/>
              <w:overflowPunct/>
              <w:topLinePunct w:val="0"/>
              <w:autoSpaceDE/>
              <w:autoSpaceDN/>
              <w:bidi w:val="0"/>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企业银行</w:t>
            </w:r>
          </w:p>
          <w:p w14:paraId="357AEE19">
            <w:pPr>
              <w:keepNext w:val="0"/>
              <w:keepLines w:val="0"/>
              <w:pageBreakBefore w:val="0"/>
              <w:widowControl w:val="0"/>
              <w:kinsoku/>
              <w:overflowPunct/>
              <w:topLinePunct w:val="0"/>
              <w:autoSpaceDE/>
              <w:autoSpaceDN/>
              <w:bidi w:val="0"/>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资信评级</w:t>
            </w:r>
          </w:p>
          <w:p w14:paraId="0B31E57F">
            <w:pPr>
              <w:keepNext w:val="0"/>
              <w:keepLines w:val="0"/>
              <w:pageBreakBefore w:val="0"/>
              <w:widowControl w:val="0"/>
              <w:kinsoku/>
              <w:overflowPunct/>
              <w:topLinePunct w:val="0"/>
              <w:autoSpaceDE/>
              <w:autoSpaceDN/>
              <w:bidi w:val="0"/>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（5分）</w:t>
            </w:r>
          </w:p>
          <w:p w14:paraId="1DCB57E6">
            <w:pPr>
              <w:keepNext w:val="0"/>
              <w:keepLines w:val="0"/>
              <w:pageBreakBefore w:val="0"/>
              <w:widowControl w:val="0"/>
              <w:kinsoku/>
              <w:overflowPunct/>
              <w:topLinePunct w:val="0"/>
              <w:autoSpaceDE/>
              <w:autoSpaceDN/>
              <w:bidi w:val="0"/>
              <w:snapToGrid/>
              <w:spacing w:line="36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caps w:val="0"/>
                <w:smallCaps w:val="0"/>
                <w:snapToGrid w:val="0"/>
                <w:color w:val="auto"/>
                <w:spacing w:val="0"/>
                <w:kern w:val="0"/>
                <w:sz w:val="24"/>
                <w:szCs w:val="24"/>
                <w:highlight w:val="none"/>
                <w:lang w:val="en-US" w:eastAsia="zh-CN"/>
              </w:rPr>
              <w:t>（由牵头人提供）</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72B280B">
            <w:pPr>
              <w:pStyle w:val="5"/>
              <w:wordWrap w:val="0"/>
              <w:spacing w:before="0" w:beforeAutospacing="0" w:after="0"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1．银行资信评级</w:t>
            </w:r>
            <w:r>
              <w:rPr>
                <w:rFonts w:hint="eastAsia" w:ascii="宋体" w:hAnsi="宋体" w:eastAsia="宋体" w:cs="宋体"/>
                <w:color w:val="auto"/>
                <w:kern w:val="0"/>
                <w:sz w:val="24"/>
                <w:szCs w:val="24"/>
                <w:highlight w:val="none"/>
                <w:u w:val="single"/>
              </w:rPr>
              <w:t>AAA</w:t>
            </w:r>
            <w:r>
              <w:rPr>
                <w:rFonts w:hint="eastAsia" w:ascii="宋体" w:hAnsi="宋体" w:eastAsia="宋体" w:cs="宋体"/>
                <w:color w:val="auto"/>
                <w:kern w:val="0"/>
                <w:sz w:val="24"/>
                <w:szCs w:val="24"/>
                <w:highlight w:val="none"/>
              </w:rPr>
              <w:t>的，得</w:t>
            </w:r>
            <w:r>
              <w:rPr>
                <w:rFonts w:hint="eastAsia" w:ascii="宋体" w:hAnsi="宋体" w:eastAsia="宋体" w:cs="宋体"/>
                <w:color w:val="auto"/>
                <w:kern w:val="0"/>
                <w:sz w:val="24"/>
                <w:szCs w:val="24"/>
                <w:highlight w:val="none"/>
                <w:u w:val="single"/>
              </w:rPr>
              <w:t xml:space="preserve"> 5 </w:t>
            </w:r>
            <w:r>
              <w:rPr>
                <w:rFonts w:hint="eastAsia" w:ascii="宋体" w:hAnsi="宋体" w:eastAsia="宋体" w:cs="宋体"/>
                <w:color w:val="auto"/>
                <w:kern w:val="0"/>
                <w:sz w:val="24"/>
                <w:szCs w:val="24"/>
                <w:highlight w:val="none"/>
              </w:rPr>
              <w:t>分；</w:t>
            </w:r>
          </w:p>
          <w:p w14:paraId="3D104EF3">
            <w:pPr>
              <w:pStyle w:val="5"/>
              <w:wordWrap w:val="0"/>
              <w:spacing w:before="0" w:beforeAutospacing="0" w:after="0"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2．银行资信评级AA（含AA＋、AA－）的，得</w:t>
            </w:r>
            <w:r>
              <w:rPr>
                <w:rFonts w:hint="eastAsia" w:ascii="宋体" w:hAnsi="宋体" w:eastAsia="宋体" w:cs="宋体"/>
                <w:color w:val="auto"/>
                <w:kern w:val="0"/>
                <w:sz w:val="24"/>
                <w:szCs w:val="24"/>
                <w:highlight w:val="none"/>
                <w:u w:val="single"/>
              </w:rPr>
              <w:t>4</w:t>
            </w:r>
            <w:r>
              <w:rPr>
                <w:rFonts w:hint="eastAsia" w:ascii="宋体" w:hAnsi="宋体" w:eastAsia="宋体" w:cs="宋体"/>
                <w:color w:val="auto"/>
                <w:kern w:val="0"/>
                <w:sz w:val="24"/>
                <w:szCs w:val="24"/>
                <w:highlight w:val="none"/>
              </w:rPr>
              <w:t>分。</w:t>
            </w:r>
          </w:p>
          <w:p w14:paraId="2815CBAE">
            <w:pPr>
              <w:pStyle w:val="5"/>
              <w:wordWrap w:val="0"/>
              <w:spacing w:before="0" w:beforeAutospacing="0" w:after="0"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3．银行资信评级A（含A＋、A－）的，得</w:t>
            </w:r>
            <w:r>
              <w:rPr>
                <w:rFonts w:hint="eastAsia" w:ascii="宋体" w:hAnsi="宋体" w:eastAsia="宋体" w:cs="宋体"/>
                <w:color w:val="auto"/>
                <w:kern w:val="0"/>
                <w:sz w:val="24"/>
                <w:szCs w:val="24"/>
                <w:highlight w:val="none"/>
                <w:u w:val="single"/>
              </w:rPr>
              <w:t>3</w:t>
            </w:r>
            <w:r>
              <w:rPr>
                <w:rFonts w:hint="eastAsia" w:ascii="宋体" w:hAnsi="宋体" w:eastAsia="宋体" w:cs="宋体"/>
                <w:color w:val="auto"/>
                <w:kern w:val="0"/>
                <w:sz w:val="24"/>
                <w:szCs w:val="24"/>
                <w:highlight w:val="none"/>
              </w:rPr>
              <w:t>分。</w:t>
            </w:r>
          </w:p>
          <w:p w14:paraId="28F18869">
            <w:pPr>
              <w:pStyle w:val="5"/>
              <w:wordWrap w:val="0"/>
              <w:spacing w:before="0" w:beforeAutospacing="0" w:after="0"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4．未获得过以上评级的，或评级证书无效的，不予计分。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2A7B75C">
            <w:pPr>
              <w:pStyle w:val="5"/>
              <w:wordWrap w:val="0"/>
              <w:spacing w:before="0" w:beforeAutospacing="0" w:after="0"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1．需附在有效期内的资信评级证书（证明）彩色扫描件。</w:t>
            </w:r>
          </w:p>
          <w:p w14:paraId="293DB737">
            <w:pPr>
              <w:pStyle w:val="5"/>
              <w:wordWrap w:val="0"/>
              <w:spacing w:before="0" w:beforeAutospacing="0" w:after="0"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2．评级证书（证明）须由企业基本账户开户银行</w:t>
            </w:r>
            <w:r>
              <w:rPr>
                <w:rFonts w:hint="eastAsia" w:ascii="宋体" w:hAnsi="宋体" w:eastAsia="宋体" w:cs="宋体"/>
                <w:color w:val="auto"/>
                <w:kern w:val="0"/>
                <w:sz w:val="24"/>
                <w:szCs w:val="24"/>
                <w:highlight w:val="none"/>
                <w:lang w:val="en-US" w:eastAsia="zh-CN"/>
              </w:rPr>
              <w:t>或</w:t>
            </w:r>
            <w:r>
              <w:rPr>
                <w:rFonts w:hint="eastAsia" w:ascii="宋体" w:hAnsi="宋体" w:eastAsia="宋体" w:cs="宋体"/>
                <w:color w:val="auto"/>
                <w:kern w:val="0"/>
                <w:sz w:val="24"/>
                <w:szCs w:val="24"/>
                <w:highlight w:val="none"/>
              </w:rPr>
              <w:t>市级</w:t>
            </w:r>
            <w:r>
              <w:rPr>
                <w:rFonts w:hint="eastAsia" w:ascii="宋体" w:hAnsi="宋体" w:eastAsia="宋体" w:cs="宋体"/>
                <w:color w:val="auto"/>
                <w:kern w:val="0"/>
                <w:sz w:val="24"/>
                <w:szCs w:val="24"/>
                <w:highlight w:val="none"/>
                <w:lang w:eastAsia="zh-CN"/>
              </w:rPr>
              <w:t>（或以上金融机构）</w:t>
            </w:r>
            <w:r>
              <w:rPr>
                <w:rFonts w:hint="eastAsia" w:ascii="宋体" w:hAnsi="宋体" w:eastAsia="宋体" w:cs="宋体"/>
                <w:color w:val="auto"/>
                <w:kern w:val="0"/>
                <w:sz w:val="24"/>
                <w:szCs w:val="24"/>
                <w:highlight w:val="none"/>
                <w:lang w:val="en-US" w:eastAsia="zh-CN"/>
              </w:rPr>
              <w:t>或</w:t>
            </w:r>
            <w:r>
              <w:rPr>
                <w:rFonts w:hint="eastAsia" w:ascii="宋体" w:hAnsi="宋体" w:eastAsia="宋体" w:cs="宋体"/>
                <w:color w:val="auto"/>
                <w:kern w:val="0"/>
                <w:sz w:val="24"/>
                <w:szCs w:val="24"/>
                <w:highlight w:val="none"/>
              </w:rPr>
              <w:t>市级</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或以上国有银行/金融机构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出具。</w:t>
            </w:r>
          </w:p>
          <w:p w14:paraId="07970303">
            <w:pPr>
              <w:pStyle w:val="5"/>
              <w:wordWrap w:val="0"/>
              <w:spacing w:before="0" w:beforeAutospacing="0" w:after="0"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3．评级证书（证明）有以下情形之一的，视为无效：</w:t>
            </w:r>
          </w:p>
          <w:p w14:paraId="437CB76D">
            <w:pPr>
              <w:pStyle w:val="5"/>
              <w:wordWrap w:val="0"/>
              <w:spacing w:before="0" w:beforeAutospacing="0" w:after="0"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①</w:t>
            </w:r>
            <w:r>
              <w:rPr>
                <w:rFonts w:hint="eastAsia" w:ascii="宋体" w:hAnsi="宋体" w:eastAsia="宋体" w:cs="宋体"/>
                <w:color w:val="auto"/>
                <w:kern w:val="0"/>
                <w:sz w:val="24"/>
                <w:szCs w:val="24"/>
                <w:highlight w:val="none"/>
              </w:rPr>
              <w:t>评级证书（证明）不在有效期内的；</w:t>
            </w:r>
          </w:p>
          <w:p w14:paraId="269EBC98">
            <w:pPr>
              <w:pStyle w:val="5"/>
              <w:wordWrap w:val="0"/>
              <w:spacing w:before="0" w:beforeAutospacing="0" w:after="0"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②</w:t>
            </w:r>
            <w:r>
              <w:rPr>
                <w:rFonts w:hint="eastAsia" w:ascii="宋体" w:hAnsi="宋体" w:eastAsia="宋体" w:cs="宋体"/>
                <w:color w:val="auto"/>
                <w:kern w:val="0"/>
                <w:sz w:val="24"/>
                <w:szCs w:val="24"/>
                <w:highlight w:val="none"/>
              </w:rPr>
              <w:t>出具机构不符合要求的。</w:t>
            </w:r>
          </w:p>
        </w:tc>
      </w:tr>
      <w:tr w14:paraId="7B3EB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328AB07F">
            <w:pPr>
              <w:keepNext w:val="0"/>
              <w:keepLines w:val="0"/>
              <w:pageBreakBefore w:val="0"/>
              <w:widowControl w:val="0"/>
              <w:kinsoku/>
              <w:overflowPunct/>
              <w:topLinePunct w:val="0"/>
              <w:autoSpaceDE/>
              <w:autoSpaceDN/>
              <w:bidi w:val="0"/>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企业管理</w:t>
            </w:r>
          </w:p>
          <w:p w14:paraId="4C9FCE24">
            <w:pPr>
              <w:keepNext w:val="0"/>
              <w:keepLines w:val="0"/>
              <w:pageBreakBefore w:val="0"/>
              <w:widowControl w:val="0"/>
              <w:kinsoku/>
              <w:overflowPunct/>
              <w:topLinePunct w:val="0"/>
              <w:autoSpaceDE/>
              <w:autoSpaceDN/>
              <w:bidi w:val="0"/>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体系认证</w:t>
            </w:r>
          </w:p>
          <w:p w14:paraId="48D58202">
            <w:pPr>
              <w:keepNext w:val="0"/>
              <w:keepLines w:val="0"/>
              <w:pageBreakBefore w:val="0"/>
              <w:widowControl w:val="0"/>
              <w:kinsoku/>
              <w:overflowPunct/>
              <w:topLinePunct w:val="0"/>
              <w:autoSpaceDE/>
              <w:autoSpaceDN/>
              <w:bidi w:val="0"/>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分）</w:t>
            </w:r>
          </w:p>
          <w:p w14:paraId="4B2C4AA3">
            <w:pPr>
              <w:keepNext w:val="0"/>
              <w:keepLines w:val="0"/>
              <w:pageBreakBefore w:val="0"/>
              <w:widowControl w:val="0"/>
              <w:kinsoku/>
              <w:overflowPunct/>
              <w:topLinePunct w:val="0"/>
              <w:autoSpaceDE/>
              <w:autoSpaceDN/>
              <w:bidi w:val="0"/>
              <w:snapToGrid/>
              <w:spacing w:line="36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caps w:val="0"/>
                <w:smallCaps w:val="0"/>
                <w:snapToGrid w:val="0"/>
                <w:color w:val="auto"/>
                <w:spacing w:val="0"/>
                <w:kern w:val="0"/>
                <w:sz w:val="24"/>
                <w:szCs w:val="24"/>
                <w:highlight w:val="none"/>
                <w:lang w:val="en-US" w:eastAsia="zh-CN"/>
              </w:rPr>
              <w:t>（由牵头人提供）</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C025936">
            <w:pPr>
              <w:keepNext w:val="0"/>
              <w:keepLines w:val="0"/>
              <w:pageBreakBefore w:val="0"/>
              <w:widowControl w:val="0"/>
              <w:kinsoku/>
              <w:overflowPunct/>
              <w:topLinePunct w:val="0"/>
              <w:autoSpaceDE/>
              <w:autoSpaceDN/>
              <w:bidi w:val="0"/>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质量管理体系认证、职业健康安全管理体系认证、环境管理体系认证</w:t>
            </w:r>
            <w:r>
              <w:rPr>
                <w:rFonts w:hint="eastAsia" w:ascii="宋体" w:hAnsi="宋体" w:eastAsia="宋体" w:cs="宋体"/>
                <w:color w:val="auto"/>
                <w:sz w:val="24"/>
                <w:szCs w:val="24"/>
                <w:highlight w:val="none"/>
                <w:lang w:val="en-US" w:eastAsia="zh-CN"/>
              </w:rPr>
              <w:t>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每</w:t>
            </w:r>
            <w:r>
              <w:rPr>
                <w:rFonts w:hint="eastAsia" w:ascii="宋体" w:hAnsi="宋体" w:eastAsia="宋体" w:cs="宋体"/>
                <w:color w:val="auto"/>
                <w:sz w:val="24"/>
                <w:szCs w:val="24"/>
                <w:highlight w:val="none"/>
                <w:lang w:eastAsia="zh-CN"/>
              </w:rPr>
              <w:t>获得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项认证</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；最高得</w:t>
            </w:r>
            <w:r>
              <w:rPr>
                <w:rFonts w:hint="eastAsia" w:ascii="宋体" w:hAnsi="宋体" w:eastAsia="宋体" w:cs="宋体"/>
                <w:color w:val="auto"/>
                <w:sz w:val="24"/>
                <w:szCs w:val="24"/>
                <w:highlight w:val="none"/>
                <w:lang w:val="en-US" w:eastAsia="zh-CN"/>
              </w:rPr>
              <w:t>9分。</w:t>
            </w:r>
          </w:p>
          <w:p w14:paraId="52028F29">
            <w:pPr>
              <w:keepNext w:val="0"/>
              <w:keepLines w:val="0"/>
              <w:pageBreakBefore w:val="0"/>
              <w:widowControl w:val="0"/>
              <w:kinsoku/>
              <w:overflowPunct/>
              <w:topLinePunct w:val="0"/>
              <w:autoSpaceDE/>
              <w:autoSpaceDN/>
              <w:bidi w:val="0"/>
              <w:snapToGrid/>
              <w:spacing w:line="360" w:lineRule="auto"/>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2.未获得以上认证的，不予计分。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7AAA16C">
            <w:pPr>
              <w:keepNext w:val="0"/>
              <w:keepLines w:val="0"/>
              <w:pageBreakBefore w:val="0"/>
              <w:widowControl w:val="0"/>
              <w:kinsoku/>
              <w:overflowPunct/>
              <w:topLinePunct w:val="0"/>
              <w:autoSpaceDE/>
              <w:autoSpaceDN/>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需附在有效期内的认证证书</w:t>
            </w:r>
            <w:r>
              <w:rPr>
                <w:rFonts w:hint="eastAsia" w:ascii="宋体" w:hAnsi="宋体" w:eastAsia="宋体" w:cs="宋体"/>
                <w:color w:val="auto"/>
                <w:sz w:val="24"/>
                <w:szCs w:val="24"/>
                <w:highlight w:val="none"/>
                <w:lang w:eastAsia="zh-CN"/>
              </w:rPr>
              <w:t>彩色扫描件</w:t>
            </w:r>
            <w:r>
              <w:rPr>
                <w:rFonts w:hint="eastAsia" w:ascii="宋体" w:hAnsi="宋体" w:eastAsia="宋体" w:cs="宋体"/>
                <w:color w:val="auto"/>
                <w:sz w:val="24"/>
                <w:szCs w:val="24"/>
                <w:highlight w:val="none"/>
              </w:rPr>
              <w:t>。</w:t>
            </w:r>
          </w:p>
          <w:p w14:paraId="6F89B0AC">
            <w:pPr>
              <w:keepNext w:val="0"/>
              <w:keepLines w:val="0"/>
              <w:pageBreakBefore w:val="0"/>
              <w:widowControl w:val="0"/>
              <w:kinsoku/>
              <w:overflowPunct/>
              <w:topLinePunct w:val="0"/>
              <w:autoSpaceDE/>
              <w:autoSpaceDN/>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任一认证证书有以下情形之一的，该认证证书视为无效，不予计分：</w:t>
            </w:r>
          </w:p>
          <w:p w14:paraId="2FED6966">
            <w:pPr>
              <w:keepNext w:val="0"/>
              <w:keepLines w:val="0"/>
              <w:pageBreakBefore w:val="0"/>
              <w:widowControl w:val="0"/>
              <w:kinsoku/>
              <w:overflowPunct/>
              <w:topLinePunct w:val="0"/>
              <w:autoSpaceDE/>
              <w:autoSpaceDN/>
              <w:bidi w:val="0"/>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w:t>
            </w:r>
            <w:r>
              <w:rPr>
                <w:rFonts w:hint="eastAsia" w:ascii="宋体" w:hAnsi="宋体" w:eastAsia="宋体" w:cs="宋体"/>
                <w:color w:val="auto"/>
                <w:sz w:val="24"/>
                <w:szCs w:val="24"/>
                <w:highlight w:val="none"/>
              </w:rPr>
              <w:t>认证证书不在有效期内的。</w:t>
            </w:r>
          </w:p>
        </w:tc>
      </w:tr>
      <w:tr w14:paraId="5DE56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tcBorders>
              <w:top w:val="single" w:color="auto" w:sz="4" w:space="0"/>
              <w:left w:val="single" w:color="auto" w:sz="4" w:space="0"/>
              <w:right w:val="single" w:color="auto" w:sz="4" w:space="0"/>
            </w:tcBorders>
            <w:noWrap w:val="0"/>
            <w:vAlign w:val="center"/>
          </w:tcPr>
          <w:p w14:paraId="710D841E">
            <w:pPr>
              <w:keepNext w:val="0"/>
              <w:keepLines w:val="0"/>
              <w:pageBreakBefore w:val="0"/>
              <w:widowControl w:val="0"/>
              <w:kinsoku/>
              <w:overflowPunct/>
              <w:topLinePunct w:val="0"/>
              <w:autoSpaceDE/>
              <w:autoSpaceDN/>
              <w:bidi w:val="0"/>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w:t>
            </w:r>
          </w:p>
          <w:p w14:paraId="51B95CE2">
            <w:pPr>
              <w:keepNext w:val="0"/>
              <w:keepLines w:val="0"/>
              <w:pageBreakBefore w:val="0"/>
              <w:widowControl w:val="0"/>
              <w:kinsoku/>
              <w:overflowPunct/>
              <w:topLinePunct w:val="0"/>
              <w:autoSpaceDE/>
              <w:autoSpaceDN/>
              <w:bidi w:val="0"/>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财务状况</w:t>
            </w:r>
          </w:p>
          <w:p w14:paraId="362FC0F6">
            <w:pPr>
              <w:keepNext w:val="0"/>
              <w:keepLines w:val="0"/>
              <w:pageBreakBefore w:val="0"/>
              <w:widowControl w:val="0"/>
              <w:kinsoku/>
              <w:overflowPunct/>
              <w:topLinePunct w:val="0"/>
              <w:autoSpaceDE/>
              <w:autoSpaceDN/>
              <w:bidi w:val="0"/>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14:paraId="122195D7">
            <w:pPr>
              <w:keepNext w:val="0"/>
              <w:keepLines w:val="0"/>
              <w:pageBreakBefore w:val="0"/>
              <w:widowControl w:val="0"/>
              <w:kinsoku/>
              <w:overflowPunct/>
              <w:topLinePunct w:val="0"/>
              <w:autoSpaceDE/>
              <w:autoSpaceDN/>
              <w:bidi w:val="0"/>
              <w:snapToGrid/>
              <w:spacing w:line="36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caps w:val="0"/>
                <w:smallCaps w:val="0"/>
                <w:snapToGrid w:val="0"/>
                <w:color w:val="auto"/>
                <w:spacing w:val="0"/>
                <w:kern w:val="0"/>
                <w:sz w:val="24"/>
                <w:szCs w:val="24"/>
                <w:highlight w:val="none"/>
                <w:lang w:val="en-US" w:eastAsia="zh-CN"/>
              </w:rPr>
              <w:t>（由牵头人提供）</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492104BD">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1.提供不少于</w:t>
            </w:r>
            <w:r>
              <w:rPr>
                <w:rFonts w:hint="eastAsia" w:ascii="宋体" w:hAnsi="宋体" w:eastAsia="宋体" w:cs="宋体"/>
                <w:snapToGrid w:val="0"/>
                <w:color w:val="auto"/>
                <w:kern w:val="0"/>
                <w:sz w:val="24"/>
                <w:szCs w:val="24"/>
                <w:highlight w:val="none"/>
                <w:u w:val="single"/>
                <w:lang w:val="en-US" w:eastAsia="zh-CN" w:bidi="ar-SA"/>
              </w:rPr>
              <w:t>50</w:t>
            </w:r>
            <w:r>
              <w:rPr>
                <w:rFonts w:hint="eastAsia" w:ascii="宋体" w:hAnsi="宋体" w:eastAsia="宋体" w:cs="宋体"/>
                <w:snapToGrid w:val="0"/>
                <w:color w:val="auto"/>
                <w:kern w:val="0"/>
                <w:sz w:val="24"/>
                <w:szCs w:val="24"/>
                <w:highlight w:val="none"/>
                <w:lang w:val="en-US" w:eastAsia="zh-CN" w:bidi="ar-SA"/>
              </w:rPr>
              <w:t>万元银行授信证明的，得</w:t>
            </w:r>
            <w:r>
              <w:rPr>
                <w:rFonts w:hint="eastAsia" w:ascii="宋体" w:hAnsi="宋体" w:eastAsia="宋体" w:cs="宋体"/>
                <w:snapToGrid w:val="0"/>
                <w:color w:val="auto"/>
                <w:kern w:val="0"/>
                <w:sz w:val="24"/>
                <w:szCs w:val="24"/>
                <w:highlight w:val="none"/>
                <w:u w:val="single"/>
                <w:lang w:val="en-US" w:eastAsia="zh-CN" w:bidi="ar-SA"/>
              </w:rPr>
              <w:t xml:space="preserve"> 3 </w:t>
            </w:r>
            <w:r>
              <w:rPr>
                <w:rFonts w:hint="eastAsia" w:ascii="宋体" w:hAnsi="宋体" w:eastAsia="宋体" w:cs="宋体"/>
                <w:snapToGrid w:val="0"/>
                <w:color w:val="auto"/>
                <w:kern w:val="0"/>
                <w:sz w:val="24"/>
                <w:szCs w:val="24"/>
                <w:highlight w:val="none"/>
                <w:lang w:val="en-US" w:eastAsia="zh-CN" w:bidi="ar-SA"/>
              </w:rPr>
              <w:t>分。</w:t>
            </w:r>
          </w:p>
          <w:p w14:paraId="6E3C71D1">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2.提供投标人基本账户在本项目招标公告发布之日起至投标截止时间期间出现过至少连续3日不少于</w:t>
            </w:r>
            <w:r>
              <w:rPr>
                <w:rFonts w:hint="eastAsia" w:ascii="宋体" w:hAnsi="宋体" w:eastAsia="宋体" w:cs="宋体"/>
                <w:snapToGrid w:val="0"/>
                <w:color w:val="auto"/>
                <w:kern w:val="0"/>
                <w:sz w:val="24"/>
                <w:szCs w:val="24"/>
                <w:highlight w:val="none"/>
                <w:u w:val="single"/>
                <w:lang w:val="en-US" w:eastAsia="zh-CN" w:bidi="ar-SA"/>
              </w:rPr>
              <w:t>50</w:t>
            </w:r>
            <w:r>
              <w:rPr>
                <w:rFonts w:hint="eastAsia" w:ascii="宋体" w:hAnsi="宋体" w:eastAsia="宋体" w:cs="宋体"/>
                <w:snapToGrid w:val="0"/>
                <w:color w:val="auto"/>
                <w:kern w:val="0"/>
                <w:sz w:val="24"/>
                <w:szCs w:val="24"/>
                <w:highlight w:val="none"/>
                <w:lang w:val="en-US" w:eastAsia="zh-CN" w:bidi="ar-SA"/>
              </w:rPr>
              <w:t>万元存款余额资金流水证明的，得</w:t>
            </w:r>
            <w:r>
              <w:rPr>
                <w:rFonts w:hint="eastAsia" w:ascii="宋体" w:hAnsi="宋体" w:eastAsia="宋体" w:cs="宋体"/>
                <w:snapToGrid w:val="0"/>
                <w:color w:val="auto"/>
                <w:kern w:val="0"/>
                <w:sz w:val="24"/>
                <w:szCs w:val="24"/>
                <w:highlight w:val="none"/>
                <w:u w:val="single"/>
                <w:lang w:val="en-US" w:eastAsia="zh-CN" w:bidi="ar-SA"/>
              </w:rPr>
              <w:t>3</w:t>
            </w:r>
            <w:r>
              <w:rPr>
                <w:rFonts w:hint="eastAsia" w:ascii="宋体" w:hAnsi="宋体" w:eastAsia="宋体" w:cs="宋体"/>
                <w:snapToGrid w:val="0"/>
                <w:color w:val="auto"/>
                <w:kern w:val="0"/>
                <w:sz w:val="24"/>
                <w:szCs w:val="24"/>
                <w:highlight w:val="none"/>
                <w:lang w:val="en-US" w:eastAsia="zh-CN" w:bidi="ar-SA"/>
              </w:rPr>
              <w:t>分。</w:t>
            </w:r>
          </w:p>
          <w:p w14:paraId="7162D393">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textAlignment w:val="auto"/>
              <w:rPr>
                <w:rFonts w:hint="eastAsia" w:ascii="宋体" w:hAnsi="宋体" w:eastAsia="宋体" w:cs="宋体"/>
                <w:snapToGrid w:val="0"/>
                <w:color w:val="auto"/>
                <w:kern w:val="0"/>
                <w:sz w:val="24"/>
                <w:szCs w:val="24"/>
                <w:highlight w:val="none"/>
                <w:lang w:val="en-US" w:eastAsia="zh-CN" w:bidi="ar-SA"/>
              </w:rPr>
            </w:pP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5CE6136">
            <w:pPr>
              <w:pStyle w:val="5"/>
              <w:wordWrap w:val="0"/>
              <w:spacing w:before="0" w:beforeAutospacing="0" w:after="0" w:line="360" w:lineRule="auto"/>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1．需附在有效期内的有关证明扫描件</w:t>
            </w:r>
            <w:r>
              <w:rPr>
                <w:rFonts w:hint="eastAsia" w:ascii="宋体" w:hAnsi="宋体" w:eastAsia="宋体" w:cs="宋体"/>
                <w:color w:val="auto"/>
                <w:kern w:val="0"/>
                <w:sz w:val="24"/>
                <w:szCs w:val="24"/>
                <w:highlight w:val="none"/>
              </w:rPr>
              <w:t>。</w:t>
            </w:r>
          </w:p>
          <w:p w14:paraId="0765B7BC">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2．</w:t>
            </w:r>
            <w:r>
              <w:rPr>
                <w:rFonts w:hint="eastAsia" w:ascii="宋体" w:hAnsi="宋体" w:eastAsia="宋体" w:cs="宋体"/>
                <w:caps w:val="0"/>
                <w:smallCaps w:val="0"/>
                <w:snapToGrid w:val="0"/>
                <w:color w:val="auto"/>
                <w:spacing w:val="0"/>
                <w:kern w:val="0"/>
                <w:sz w:val="24"/>
                <w:szCs w:val="24"/>
                <w:highlight w:val="none"/>
                <w:lang w:val="en-US" w:eastAsia="zh-CN" w:bidi="ar-SA"/>
              </w:rPr>
              <w:t>银行授信证明</w:t>
            </w:r>
            <w:r>
              <w:rPr>
                <w:rFonts w:hint="eastAsia" w:ascii="宋体" w:hAnsi="宋体" w:eastAsia="宋体" w:cs="宋体"/>
                <w:caps w:val="0"/>
                <w:smallCaps w:val="0"/>
                <w:snapToGrid w:val="0"/>
                <w:color w:val="auto"/>
                <w:spacing w:val="0"/>
                <w:kern w:val="0"/>
                <w:sz w:val="24"/>
                <w:szCs w:val="24"/>
                <w:highlight w:val="none"/>
                <w:lang w:val="en-US" w:eastAsia="zh-CN"/>
              </w:rPr>
              <w:t>有以下情形之一的，视为无效，不予计分</w:t>
            </w:r>
            <w:r>
              <w:rPr>
                <w:rFonts w:hint="eastAsia" w:ascii="宋体" w:hAnsi="宋体" w:eastAsia="宋体" w:cs="宋体"/>
                <w:caps w:val="0"/>
                <w:smallCaps w:val="0"/>
                <w:snapToGrid w:val="0"/>
                <w:color w:val="auto"/>
                <w:spacing w:val="0"/>
                <w:kern w:val="0"/>
                <w:sz w:val="24"/>
                <w:szCs w:val="24"/>
                <w:highlight w:val="none"/>
                <w:lang w:eastAsia="zh-CN"/>
              </w:rPr>
              <w:t>：</w:t>
            </w:r>
          </w:p>
          <w:p w14:paraId="7670DC27">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①授信证明不在有效期内的；</w:t>
            </w:r>
          </w:p>
          <w:p w14:paraId="4B1CE55B">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rPr>
              <w:t>②</w:t>
            </w:r>
            <w:r>
              <w:rPr>
                <w:rFonts w:hint="eastAsia" w:ascii="宋体" w:hAnsi="宋体" w:eastAsia="宋体" w:cs="宋体"/>
                <w:caps w:val="0"/>
                <w:smallCaps w:val="0"/>
                <w:snapToGrid w:val="0"/>
                <w:color w:val="auto"/>
                <w:spacing w:val="0"/>
                <w:kern w:val="0"/>
                <w:sz w:val="24"/>
                <w:szCs w:val="24"/>
                <w:highlight w:val="none"/>
                <w:lang w:val="en-US" w:eastAsia="zh-CN" w:bidi="ar-SA"/>
              </w:rPr>
              <w:t>授信额度不符合要求的；</w:t>
            </w:r>
          </w:p>
          <w:p w14:paraId="5DCB1D22">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3.存款余额资金流水证明有以下情形之一的，视为无效，不予计分。</w:t>
            </w:r>
          </w:p>
          <w:p w14:paraId="3339CCB6">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①存款账户不是基本账户的；</w:t>
            </w:r>
          </w:p>
          <w:p w14:paraId="62C34BC6">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rPr>
              <w:t>②</w:t>
            </w:r>
            <w:r>
              <w:rPr>
                <w:rFonts w:hint="eastAsia" w:ascii="宋体" w:hAnsi="宋体" w:eastAsia="宋体" w:cs="宋体"/>
                <w:caps w:val="0"/>
                <w:smallCaps w:val="0"/>
                <w:snapToGrid w:val="0"/>
                <w:color w:val="auto"/>
                <w:spacing w:val="0"/>
                <w:kern w:val="0"/>
                <w:sz w:val="24"/>
                <w:szCs w:val="24"/>
                <w:highlight w:val="none"/>
                <w:lang w:val="en-US" w:eastAsia="zh-CN" w:bidi="ar-SA"/>
              </w:rPr>
              <w:t>存款时间不符合要求的；</w:t>
            </w:r>
          </w:p>
          <w:p w14:paraId="769FABE4">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textAlignment w:val="auto"/>
              <w:outlineLvl w:val="9"/>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③</w:t>
            </w:r>
            <w:r>
              <w:rPr>
                <w:rFonts w:hint="eastAsia" w:ascii="宋体" w:hAnsi="宋体" w:eastAsia="宋体" w:cs="宋体"/>
                <w:caps w:val="0"/>
                <w:smallCaps w:val="0"/>
                <w:snapToGrid w:val="0"/>
                <w:color w:val="auto"/>
                <w:spacing w:val="0"/>
                <w:kern w:val="0"/>
                <w:sz w:val="24"/>
                <w:szCs w:val="24"/>
                <w:highlight w:val="none"/>
                <w:lang w:val="en-US" w:eastAsia="zh-CN" w:bidi="ar-SA"/>
              </w:rPr>
              <w:t>存款额度不符合要求</w:t>
            </w:r>
            <w:r>
              <w:rPr>
                <w:rFonts w:hint="eastAsia" w:ascii="宋体" w:hAnsi="宋体" w:eastAsia="宋体" w:cs="宋体"/>
                <w:caps w:val="0"/>
                <w:smallCaps w:val="0"/>
                <w:snapToGrid w:val="0"/>
                <w:color w:val="auto"/>
                <w:spacing w:val="0"/>
                <w:kern w:val="0"/>
                <w:sz w:val="24"/>
                <w:szCs w:val="24"/>
                <w:highlight w:val="none"/>
                <w:lang w:val="en-US" w:eastAsia="zh-CN"/>
              </w:rPr>
              <w:t>的。</w:t>
            </w:r>
          </w:p>
        </w:tc>
      </w:tr>
      <w:tr w14:paraId="3F579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vMerge w:val="restart"/>
            <w:tcBorders>
              <w:top w:val="single" w:color="auto" w:sz="4" w:space="0"/>
              <w:left w:val="single" w:color="auto" w:sz="4" w:space="0"/>
              <w:right w:val="single" w:color="auto" w:sz="4" w:space="0"/>
            </w:tcBorders>
            <w:noWrap w:val="0"/>
            <w:vAlign w:val="center"/>
          </w:tcPr>
          <w:p w14:paraId="1CD4C479">
            <w:pPr>
              <w:pStyle w:val="5"/>
              <w:keepNext w:val="0"/>
              <w:keepLines w:val="0"/>
              <w:pageBreakBefore w:val="0"/>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218C598D">
            <w:pPr>
              <w:pStyle w:val="5"/>
              <w:keepNext w:val="0"/>
              <w:keepLines w:val="0"/>
              <w:pageBreakBefore w:val="0"/>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自</w:t>
            </w:r>
            <w:r>
              <w:rPr>
                <w:rFonts w:hint="eastAsia" w:ascii="宋体" w:hAnsi="宋体" w:eastAsia="宋体" w:cs="宋体"/>
                <w:snapToGrid w:val="0"/>
                <w:color w:val="auto"/>
                <w:kern w:val="0"/>
                <w:sz w:val="24"/>
                <w:szCs w:val="24"/>
                <w:highlight w:val="none"/>
                <w:lang w:eastAsia="zh-CN"/>
              </w:rPr>
              <w:t>选</w:t>
            </w:r>
            <w:r>
              <w:rPr>
                <w:rFonts w:hint="eastAsia" w:ascii="宋体" w:hAnsi="宋体" w:eastAsia="宋体" w:cs="宋体"/>
                <w:snapToGrid w:val="0"/>
                <w:color w:val="auto"/>
                <w:kern w:val="0"/>
                <w:sz w:val="24"/>
                <w:szCs w:val="24"/>
                <w:highlight w:val="none"/>
              </w:rPr>
              <w:t>项</w:t>
            </w:r>
          </w:p>
          <w:p w14:paraId="2809D321">
            <w:pPr>
              <w:pStyle w:val="5"/>
              <w:keepNext w:val="0"/>
              <w:keepLines w:val="0"/>
              <w:pageBreakBefore w:val="0"/>
              <w:widowControl w:val="0"/>
              <w:kinsoku/>
              <w:wordWrap w:val="0"/>
              <w:overflowPunct/>
              <w:topLinePunct w:val="0"/>
              <w:autoSpaceDE/>
              <w:autoSpaceDN/>
              <w:bidi w:val="0"/>
              <w:adjustRightInd w:val="0"/>
              <w:snapToGrid w:val="0"/>
              <w:spacing w:after="0"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0分）</w:t>
            </w:r>
          </w:p>
          <w:p w14:paraId="376BF2D1">
            <w:pPr>
              <w:pStyle w:val="5"/>
              <w:keepNext w:val="0"/>
              <w:keepLines w:val="0"/>
              <w:pageBreakBefore w:val="0"/>
              <w:widowControl w:val="0"/>
              <w:kinsoku/>
              <w:wordWrap w:val="0"/>
              <w:overflowPunct/>
              <w:topLinePunct w:val="0"/>
              <w:autoSpaceDE/>
              <w:autoSpaceDN/>
              <w:bidi w:val="0"/>
              <w:adjustRightInd w:val="0"/>
              <w:snapToGrid w:val="0"/>
              <w:spacing w:after="0" w:line="36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（由牵头人提供）</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267EA47">
            <w:pPr>
              <w:pStyle w:val="38"/>
              <w:keepNext w:val="0"/>
              <w:keepLines w:val="0"/>
              <w:pageBreakBefore w:val="0"/>
              <w:wordWrap w:val="0"/>
              <w:overflowPunct/>
              <w:topLinePunct w:val="0"/>
              <w:bidi w:val="0"/>
              <w:spacing w:line="360" w:lineRule="auto"/>
              <w:ind w:firstLine="0" w:firstLineChars="0"/>
              <w:jc w:val="lef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1.企业近5年来（2022年度~至今）连续3年获得省级或以上商业联合会颁发的诚信兴商企业证书的得5分；</w:t>
            </w:r>
          </w:p>
          <w:p w14:paraId="15745D01">
            <w:pPr>
              <w:pStyle w:val="5"/>
              <w:keepNext w:val="0"/>
              <w:keepLines w:val="0"/>
              <w:pageBreakBefore w:val="0"/>
              <w:wordWrap w:val="0"/>
              <w:overflowPunct/>
              <w:topLinePunct w:val="0"/>
              <w:bidi w:val="0"/>
              <w:spacing w:after="0" w:line="360" w:lineRule="auto"/>
              <w:ind w:firstLine="0" w:firstLineChars="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bidi="ar"/>
              </w:rPr>
              <w:t>2.其他情形的，不予计分。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DB7F027">
            <w:pPr>
              <w:pStyle w:val="5"/>
              <w:keepNext w:val="0"/>
              <w:keepLines w:val="0"/>
              <w:pageBreakBefore w:val="0"/>
              <w:wordWrap w:val="0"/>
              <w:overflowPunct/>
              <w:topLinePunct w:val="0"/>
              <w:bidi w:val="0"/>
              <w:spacing w:after="0" w:line="360" w:lineRule="auto"/>
              <w:ind w:firstLine="0" w:firstLineChars="0"/>
              <w:jc w:val="lef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w:t>
            </w:r>
            <w:r>
              <w:rPr>
                <w:rFonts w:hint="eastAsia" w:ascii="宋体" w:hAnsi="宋体" w:eastAsia="宋体" w:cs="宋体"/>
                <w:color w:val="auto"/>
                <w:sz w:val="24"/>
                <w:szCs w:val="24"/>
                <w:highlight w:val="none"/>
                <w:lang w:val="en-US" w:eastAsia="zh-CN"/>
              </w:rPr>
              <w:t>需</w:t>
            </w:r>
            <w:r>
              <w:rPr>
                <w:rFonts w:hint="eastAsia" w:ascii="宋体" w:hAnsi="宋体" w:eastAsia="宋体" w:cs="宋体"/>
                <w:snapToGrid w:val="0"/>
                <w:color w:val="auto"/>
                <w:kern w:val="0"/>
                <w:sz w:val="24"/>
                <w:szCs w:val="24"/>
                <w:highlight w:val="none"/>
                <w:lang w:val="en-US" w:eastAsia="zh-CN" w:bidi="ar"/>
              </w:rPr>
              <w:t>提供有关证书彩色扫描件。</w:t>
            </w:r>
          </w:p>
          <w:p w14:paraId="5F8ED0E7">
            <w:pPr>
              <w:keepNext w:val="0"/>
              <w:keepLines w:val="0"/>
              <w:pageBreakBefore w:val="0"/>
              <w:widowControl/>
              <w:suppressLineNumbers w:val="0"/>
              <w:overflowPunct/>
              <w:topLinePunct w:val="0"/>
              <w:bidi w:val="0"/>
              <w:spacing w:line="360" w:lineRule="auto"/>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bidi="ar"/>
              </w:rPr>
              <w:t>2．颁发机构不符合要求的，按第2项标准处理。</w:t>
            </w:r>
          </w:p>
        </w:tc>
      </w:tr>
      <w:tr w14:paraId="083F5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vMerge w:val="continue"/>
            <w:tcBorders>
              <w:left w:val="single" w:color="auto" w:sz="4" w:space="0"/>
              <w:right w:val="single" w:color="auto" w:sz="4" w:space="0"/>
            </w:tcBorders>
            <w:noWrap w:val="0"/>
            <w:vAlign w:val="center"/>
          </w:tcPr>
          <w:p w14:paraId="1892ED3A">
            <w:pPr>
              <w:pStyle w:val="5"/>
              <w:keepNext w:val="0"/>
              <w:keepLines w:val="0"/>
              <w:pageBreakBefore w:val="0"/>
              <w:widowControl w:val="0"/>
              <w:kinsoku/>
              <w:wordWrap w:val="0"/>
              <w:overflowPunct/>
              <w:topLinePunct w:val="0"/>
              <w:autoSpaceDE/>
              <w:autoSpaceDN/>
              <w:bidi w:val="0"/>
              <w:adjustRightInd w:val="0"/>
              <w:snapToGrid w:val="0"/>
              <w:spacing w:after="0" w:line="360" w:lineRule="auto"/>
              <w:jc w:val="center"/>
              <w:textAlignment w:val="auto"/>
              <w:rPr>
                <w:rFonts w:hint="eastAsia" w:ascii="宋体" w:hAnsi="宋体" w:eastAsia="宋体" w:cs="宋体"/>
                <w:snapToGrid w:val="0"/>
                <w:color w:val="auto"/>
                <w:kern w:val="0"/>
                <w:sz w:val="24"/>
                <w:szCs w:val="24"/>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A8987A8">
            <w:pPr>
              <w:pStyle w:val="5"/>
              <w:keepNext w:val="0"/>
              <w:keepLines w:val="0"/>
              <w:pageBreakBefore w:val="0"/>
              <w:wordWrap w:val="0"/>
              <w:overflowPunct/>
              <w:topLinePunct w:val="0"/>
              <w:bidi w:val="0"/>
              <w:spacing w:after="0" w:line="360" w:lineRule="auto"/>
              <w:ind w:firstLine="0" w:firstLineChars="0"/>
              <w:jc w:val="lef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1.企业近5年来（2022年度~至今）连续2年以上（含2年）获得地级市及以上建筑协会颁发的“优秀典型施工企业”，得5分。</w:t>
            </w:r>
          </w:p>
          <w:p w14:paraId="01CA6D73">
            <w:pPr>
              <w:pStyle w:val="6"/>
              <w:keepNext w:val="0"/>
              <w:keepLines w:val="0"/>
              <w:pageBreakBefore w:val="0"/>
              <w:overflowPunct/>
              <w:topLinePunct w:val="0"/>
              <w:bidi w:val="0"/>
              <w:spacing w:line="360" w:lineRule="auto"/>
              <w:ind w:firstLine="0" w:firstLineChars="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
              </w:rPr>
              <w:t>2.其他情形的，不予计分。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57E2B500">
            <w:pPr>
              <w:pStyle w:val="5"/>
              <w:keepNext w:val="0"/>
              <w:keepLines w:val="0"/>
              <w:pageBreakBefore w:val="0"/>
              <w:wordWrap w:val="0"/>
              <w:overflowPunct/>
              <w:topLinePunct w:val="0"/>
              <w:bidi w:val="0"/>
              <w:spacing w:after="0" w:line="360" w:lineRule="auto"/>
              <w:ind w:firstLine="0" w:firstLineChars="0"/>
              <w:jc w:val="lef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1.需提供证书彩色扫描件。</w:t>
            </w:r>
          </w:p>
          <w:p w14:paraId="45C39AD3">
            <w:pPr>
              <w:pStyle w:val="5"/>
              <w:keepNext w:val="0"/>
              <w:keepLines w:val="0"/>
              <w:pageBreakBefore w:val="0"/>
              <w:wordWrap w:val="0"/>
              <w:overflowPunct/>
              <w:topLinePunct w:val="0"/>
              <w:bidi w:val="0"/>
              <w:spacing w:after="0" w:line="360" w:lineRule="auto"/>
              <w:ind w:firstLine="0" w:firstLineChars="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bidi="ar"/>
              </w:rPr>
              <w:t>2.需提供地级市及以上建设行政主管部门或地级市及以上建筑协会网站截图打印页,否则不得分。（相关协会需经民政部门备案）</w:t>
            </w:r>
          </w:p>
        </w:tc>
      </w:tr>
      <w:tr w14:paraId="239B4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vMerge w:val="continue"/>
            <w:tcBorders>
              <w:left w:val="single" w:color="auto" w:sz="4" w:space="0"/>
              <w:right w:val="single" w:color="auto" w:sz="4" w:space="0"/>
            </w:tcBorders>
            <w:noWrap w:val="0"/>
            <w:vAlign w:val="center"/>
          </w:tcPr>
          <w:p w14:paraId="7DF9C02D">
            <w:pPr>
              <w:pStyle w:val="5"/>
              <w:keepNext w:val="0"/>
              <w:keepLines w:val="0"/>
              <w:pageBreakBefore w:val="0"/>
              <w:widowControl w:val="0"/>
              <w:kinsoku/>
              <w:wordWrap w:val="0"/>
              <w:overflowPunct/>
              <w:topLinePunct w:val="0"/>
              <w:autoSpaceDE/>
              <w:autoSpaceDN/>
              <w:bidi w:val="0"/>
              <w:adjustRightInd w:val="0"/>
              <w:snapToGrid w:val="0"/>
              <w:spacing w:after="0" w:line="360" w:lineRule="auto"/>
              <w:jc w:val="center"/>
              <w:textAlignment w:val="auto"/>
              <w:rPr>
                <w:rFonts w:hint="eastAsia" w:ascii="宋体" w:hAnsi="宋体" w:eastAsia="宋体" w:cs="宋体"/>
                <w:snapToGrid w:val="0"/>
                <w:color w:val="auto"/>
                <w:kern w:val="0"/>
                <w:sz w:val="24"/>
                <w:szCs w:val="24"/>
                <w:highlight w:val="none"/>
                <w:lang w:val="en-US" w:eastAsia="zh-CN" w:bidi="ar"/>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310B10E">
            <w:pPr>
              <w:pStyle w:val="38"/>
              <w:keepNext w:val="0"/>
              <w:keepLines w:val="0"/>
              <w:pageBreakBefore w:val="0"/>
              <w:numPr>
                <w:ilvl w:val="0"/>
                <w:numId w:val="0"/>
              </w:numPr>
              <w:wordWrap w:val="0"/>
              <w:overflowPunct/>
              <w:topLinePunct w:val="0"/>
              <w:bidi w:val="0"/>
              <w:adjustRightInd w:val="0"/>
              <w:snapToGrid w:val="0"/>
              <w:spacing w:line="360" w:lineRule="auto"/>
              <w:ind w:firstLine="0" w:firstLineChars="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1.企业近年来（2022年度~至今）</w:t>
            </w:r>
            <w:r>
              <w:rPr>
                <w:rFonts w:hint="eastAsia" w:ascii="宋体" w:hAnsi="宋体" w:eastAsia="宋体" w:cs="宋体"/>
                <w:snapToGrid w:val="0"/>
                <w:color w:val="auto"/>
                <w:kern w:val="0"/>
                <w:sz w:val="24"/>
                <w:szCs w:val="24"/>
                <w:highlight w:val="none"/>
              </w:rPr>
              <w:t>获得过行政部门颁发的城市“绿美”荣誉证书的得</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w:t>
            </w:r>
          </w:p>
          <w:p w14:paraId="5FFD3009">
            <w:pPr>
              <w:pStyle w:val="38"/>
              <w:keepNext w:val="0"/>
              <w:keepLines w:val="0"/>
              <w:pageBreakBefore w:val="0"/>
              <w:numPr>
                <w:ilvl w:val="0"/>
                <w:numId w:val="0"/>
              </w:numPr>
              <w:wordWrap w:val="0"/>
              <w:overflowPunct/>
              <w:topLinePunct w:val="0"/>
              <w:bidi w:val="0"/>
              <w:adjustRightInd w:val="0"/>
              <w:snapToGrid w:val="0"/>
              <w:spacing w:line="360" w:lineRule="auto"/>
              <w:ind w:left="0" w:leftChars="0" w:firstLine="0" w:firstLineChars="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93696FF">
            <w:pPr>
              <w:pStyle w:val="5"/>
              <w:keepNext w:val="0"/>
              <w:keepLines w:val="0"/>
              <w:pageBreakBefore w:val="0"/>
              <w:widowControl/>
              <w:wordWrap w:val="0"/>
              <w:overflowPunct/>
              <w:topLinePunct w:val="0"/>
              <w:bidi w:val="0"/>
              <w:adjustRightInd w:val="0"/>
              <w:snapToGrid w:val="0"/>
              <w:spacing w:line="360" w:lineRule="auto"/>
              <w:ind w:firstLine="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证书由市级或以上行政部门颁发，</w:t>
            </w:r>
            <w:r>
              <w:rPr>
                <w:rFonts w:hint="eastAsia" w:ascii="宋体" w:hAnsi="宋体" w:eastAsia="宋体" w:cs="宋体"/>
                <w:color w:val="auto"/>
                <w:sz w:val="24"/>
                <w:szCs w:val="24"/>
                <w:highlight w:val="none"/>
                <w:lang w:val="en-US" w:eastAsia="zh-CN"/>
              </w:rPr>
              <w:t>需</w:t>
            </w:r>
            <w:r>
              <w:rPr>
                <w:rFonts w:hint="eastAsia" w:ascii="宋体" w:hAnsi="宋体" w:eastAsia="宋体" w:cs="宋体"/>
                <w:color w:val="auto"/>
                <w:sz w:val="24"/>
                <w:szCs w:val="24"/>
                <w:highlight w:val="none"/>
              </w:rPr>
              <w:t>提供有关证书彩色扫描件。</w:t>
            </w:r>
          </w:p>
        </w:tc>
      </w:tr>
      <w:tr w14:paraId="2DE5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vMerge w:val="continue"/>
            <w:tcBorders>
              <w:left w:val="single" w:color="auto" w:sz="4" w:space="0"/>
              <w:right w:val="single" w:color="auto" w:sz="4" w:space="0"/>
            </w:tcBorders>
            <w:noWrap w:val="0"/>
            <w:vAlign w:val="center"/>
          </w:tcPr>
          <w:p w14:paraId="15A2A450">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69BCEDE">
            <w:pPr>
              <w:pStyle w:val="38"/>
              <w:keepNext w:val="0"/>
              <w:keepLines w:val="0"/>
              <w:pageBreakBefore w:val="0"/>
              <w:numPr>
                <w:ilvl w:val="0"/>
                <w:numId w:val="0"/>
              </w:numPr>
              <w:wordWrap w:val="0"/>
              <w:overflowPunct/>
              <w:topLinePunct w:val="0"/>
              <w:bidi w:val="0"/>
              <w:adjustRightInd w:val="0"/>
              <w:snapToGrid w:val="0"/>
              <w:spacing w:line="360" w:lineRule="auto"/>
              <w:ind w:firstLine="0" w:firstLineChars="0"/>
              <w:jc w:val="left"/>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1.</w:t>
            </w:r>
            <w:r>
              <w:rPr>
                <w:rFonts w:hint="eastAsia" w:ascii="宋体" w:hAnsi="宋体" w:eastAsia="宋体" w:cs="宋体"/>
                <w:snapToGrid w:val="0"/>
                <w:color w:val="auto"/>
                <w:kern w:val="0"/>
                <w:sz w:val="24"/>
                <w:szCs w:val="24"/>
                <w:highlight w:val="none"/>
                <w:lang w:val="en-US" w:eastAsia="zh-CN" w:bidi="ar"/>
              </w:rPr>
              <w:t>企业近5年来（2022年度~至今）连续2年以上（含2年）</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获得过“用户满意企业”的，得 5 分。</w:t>
            </w:r>
          </w:p>
          <w:p w14:paraId="46FBD301">
            <w:pPr>
              <w:pStyle w:val="38"/>
              <w:keepNext w:val="0"/>
              <w:keepLines w:val="0"/>
              <w:pageBreakBefore w:val="0"/>
              <w:numPr>
                <w:ilvl w:val="0"/>
                <w:numId w:val="0"/>
              </w:numPr>
              <w:wordWrap w:val="0"/>
              <w:overflowPunct/>
              <w:topLinePunct w:val="0"/>
              <w:bidi w:val="0"/>
              <w:adjustRightInd w:val="0"/>
              <w:snapToGrid w:val="0"/>
              <w:spacing w:line="360" w:lineRule="auto"/>
              <w:ind w:left="0" w:leftChars="0" w:firstLine="0" w:firstLineChars="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val="0"/>
                <w:bCs w:val="0"/>
                <w:i w:val="0"/>
                <w:iCs w:val="0"/>
                <w:snapToGrid w:val="0"/>
                <w:color w:val="auto"/>
                <w:kern w:val="0"/>
                <w:sz w:val="24"/>
                <w:szCs w:val="24"/>
                <w:highlight w:val="none"/>
                <w:lang w:val="en-US" w:eastAsia="zh-CN"/>
              </w:rPr>
              <w:t>2.</w:t>
            </w:r>
            <w:r>
              <w:rPr>
                <w:rFonts w:hint="eastAsia" w:ascii="宋体" w:hAnsi="宋体" w:eastAsia="宋体" w:cs="宋体"/>
                <w:b w:val="0"/>
                <w:bCs w:val="0"/>
                <w:i w:val="0"/>
                <w:iCs w:val="0"/>
                <w:snapToGrid w:val="0"/>
                <w:color w:val="auto"/>
                <w:kern w:val="0"/>
                <w:sz w:val="24"/>
                <w:szCs w:val="24"/>
                <w:highlight w:val="none"/>
              </w:rPr>
              <w:t>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49C6DDA2">
            <w:pPr>
              <w:pStyle w:val="5"/>
              <w:keepNext w:val="0"/>
              <w:keepLines w:val="0"/>
              <w:pageBreakBefore w:val="0"/>
              <w:wordWrap w:val="0"/>
              <w:overflowPunct/>
              <w:topLinePunct w:val="0"/>
              <w:bidi w:val="0"/>
              <w:adjustRightInd w:val="0"/>
              <w:snapToGrid w:val="0"/>
              <w:spacing w:after="0" w:line="360" w:lineRule="auto"/>
              <w:ind w:firstLine="0" w:firstLineChars="0"/>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1．需附证书彩色扫描件。</w:t>
            </w:r>
          </w:p>
          <w:p w14:paraId="235116AF">
            <w:pPr>
              <w:pStyle w:val="5"/>
              <w:keepNext w:val="0"/>
              <w:keepLines w:val="0"/>
              <w:pageBreakBefore w:val="0"/>
              <w:wordWrap w:val="0"/>
              <w:overflowPunct/>
              <w:topLinePunct w:val="0"/>
              <w:bidi w:val="0"/>
              <w:adjustRightInd w:val="0"/>
              <w:snapToGrid w:val="0"/>
              <w:spacing w:after="0" w:line="360" w:lineRule="auto"/>
              <w:ind w:firstLine="0" w:firstLineChars="0"/>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2．证书须由省级/国级质量协会颁发。</w:t>
            </w:r>
          </w:p>
          <w:p w14:paraId="34BA8A2A">
            <w:pPr>
              <w:pStyle w:val="5"/>
              <w:keepNext w:val="0"/>
              <w:keepLines w:val="0"/>
              <w:pageBreakBefore w:val="0"/>
              <w:wordWrap w:val="0"/>
              <w:overflowPunct/>
              <w:topLinePunct w:val="0"/>
              <w:bidi w:val="0"/>
              <w:adjustRightInd w:val="0"/>
              <w:snapToGrid w:val="0"/>
              <w:spacing w:after="0" w:line="360" w:lineRule="auto"/>
              <w:ind w:firstLine="0" w:firstLineChars="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rPr>
              <w:t>3．颁发机构、获奖时间不符合评分标准和备注规定的，不予得分。</w:t>
            </w:r>
          </w:p>
        </w:tc>
      </w:tr>
      <w:tr w14:paraId="069B9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vMerge w:val="continue"/>
            <w:tcBorders>
              <w:left w:val="single" w:color="auto" w:sz="4" w:space="0"/>
              <w:right w:val="single" w:color="auto" w:sz="4" w:space="0"/>
            </w:tcBorders>
            <w:noWrap w:val="0"/>
            <w:vAlign w:val="center"/>
          </w:tcPr>
          <w:p w14:paraId="2E18F680">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70507058">
            <w:pPr>
              <w:pStyle w:val="5"/>
              <w:keepNext w:val="0"/>
              <w:keepLines w:val="0"/>
              <w:pageBreakBefore w:val="0"/>
              <w:wordWrap w:val="0"/>
              <w:overflowPunct/>
              <w:topLinePunct w:val="0"/>
              <w:bidi w:val="0"/>
              <w:adjustRightInd w:val="0"/>
              <w:snapToGrid w:val="0"/>
              <w:spacing w:line="360" w:lineRule="auto"/>
              <w:ind w:firstLine="0" w:firstLineChars="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val="en-US" w:eastAsia="zh-CN" w:bidi="ar"/>
              </w:rPr>
              <w:t>企业近5年来（2022年度~至今）连续2年以上（含2年）</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获得过</w:t>
            </w:r>
            <w:r>
              <w:rPr>
                <w:rFonts w:hint="eastAsia" w:ascii="宋体" w:hAnsi="宋体" w:eastAsia="宋体" w:cs="宋体"/>
                <w:snapToGrid w:val="0"/>
                <w:color w:val="auto"/>
                <w:kern w:val="0"/>
                <w:sz w:val="24"/>
                <w:szCs w:val="24"/>
                <w:highlight w:val="none"/>
                <w:lang w:val="en-US" w:eastAsia="zh-CN"/>
              </w:rPr>
              <w:t>中国市政工程协会颁发的企业信用等级AAA级证书的，得5分。</w:t>
            </w:r>
          </w:p>
          <w:p w14:paraId="1724484F">
            <w:pPr>
              <w:keepNext w:val="0"/>
              <w:keepLines w:val="0"/>
              <w:pageBreakBefore w:val="0"/>
              <w:overflowPunct/>
              <w:topLinePunct w:val="0"/>
              <w:bidi w:val="0"/>
              <w:spacing w:line="360" w:lineRule="auto"/>
              <w:ind w:firstLine="0" w:firstLineChars="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58FC1D7A">
            <w:pPr>
              <w:pStyle w:val="5"/>
              <w:keepNext w:val="0"/>
              <w:keepLines w:val="0"/>
              <w:pageBreakBefore w:val="0"/>
              <w:wordWrap w:val="0"/>
              <w:overflowPunct/>
              <w:topLinePunct w:val="0"/>
              <w:bidi w:val="0"/>
              <w:adjustRightInd w:val="0"/>
              <w:snapToGrid w:val="0"/>
              <w:spacing w:line="360" w:lineRule="auto"/>
              <w:ind w:firstLine="0" w:firstLineChars="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1.证书由“中国市政工程协会”颁发，</w:t>
            </w:r>
            <w:r>
              <w:rPr>
                <w:rFonts w:hint="eastAsia" w:ascii="宋体" w:hAnsi="宋体" w:eastAsia="宋体" w:cs="宋体"/>
                <w:color w:val="auto"/>
                <w:sz w:val="24"/>
                <w:szCs w:val="24"/>
                <w:highlight w:val="none"/>
                <w:lang w:val="en-US" w:eastAsia="zh-CN"/>
              </w:rPr>
              <w:t>需</w:t>
            </w:r>
            <w:r>
              <w:rPr>
                <w:rFonts w:hint="eastAsia" w:ascii="宋体" w:hAnsi="宋体" w:eastAsia="宋体" w:cs="宋体"/>
                <w:snapToGrid w:val="0"/>
                <w:color w:val="auto"/>
                <w:kern w:val="0"/>
                <w:sz w:val="24"/>
                <w:szCs w:val="24"/>
                <w:highlight w:val="none"/>
              </w:rPr>
              <w:t>提供有关证书彩色扫描件。</w:t>
            </w:r>
          </w:p>
          <w:p w14:paraId="141A75C7">
            <w:pPr>
              <w:pStyle w:val="5"/>
              <w:keepNext w:val="0"/>
              <w:keepLines w:val="0"/>
              <w:pageBreakBefore w:val="0"/>
              <w:wordWrap w:val="0"/>
              <w:overflowPunct/>
              <w:topLinePunct w:val="0"/>
              <w:bidi w:val="0"/>
              <w:adjustRightInd w:val="0"/>
              <w:snapToGrid w:val="0"/>
              <w:spacing w:line="360" w:lineRule="auto"/>
              <w:ind w:firstLine="0" w:firstLineChars="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颁发机构不符合要求的，按第2项标准处理。</w:t>
            </w:r>
          </w:p>
        </w:tc>
      </w:tr>
      <w:tr w14:paraId="50778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vMerge w:val="continue"/>
            <w:tcBorders>
              <w:left w:val="single" w:color="auto" w:sz="4" w:space="0"/>
              <w:right w:val="single" w:color="auto" w:sz="4" w:space="0"/>
            </w:tcBorders>
            <w:noWrap w:val="0"/>
            <w:vAlign w:val="center"/>
          </w:tcPr>
          <w:p w14:paraId="07C99A48">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rPr>
            </w:pPr>
          </w:p>
        </w:tc>
        <w:tc>
          <w:tcPr>
            <w:tcW w:w="3868" w:type="dxa"/>
            <w:gridSpan w:val="2"/>
            <w:tcBorders>
              <w:top w:val="single" w:color="auto" w:sz="4" w:space="0"/>
              <w:left w:val="single" w:color="auto" w:sz="4" w:space="0"/>
              <w:right w:val="single" w:color="auto" w:sz="4" w:space="0"/>
            </w:tcBorders>
            <w:noWrap w:val="0"/>
            <w:vAlign w:val="center"/>
          </w:tcPr>
          <w:p w14:paraId="5E4448C0">
            <w:pPr>
              <w:pStyle w:val="38"/>
              <w:keepNext w:val="0"/>
              <w:keepLines w:val="0"/>
              <w:pageBreakBefore w:val="0"/>
              <w:wordWrap w:val="0"/>
              <w:overflowPunct/>
              <w:topLinePunct w:val="0"/>
              <w:bidi w:val="0"/>
              <w:adjustRightInd w:val="0"/>
              <w:snapToGrid w:val="0"/>
              <w:spacing w:line="360" w:lineRule="auto"/>
              <w:ind w:firstLine="0" w:firstLineChars="0"/>
              <w:jc w:val="left"/>
              <w:rPr>
                <w:rFonts w:hint="eastAsia" w:ascii="宋体" w:hAnsi="宋体" w:eastAsia="宋体" w:cs="宋体"/>
                <w:b w:val="0"/>
                <w:bCs w:val="0"/>
                <w:i w:val="0"/>
                <w:iCs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bidi="ar"/>
              </w:rPr>
              <w:t>1.企业近5年来（2022年度~至今）</w:t>
            </w:r>
            <w:r>
              <w:rPr>
                <w:rFonts w:hint="eastAsia" w:ascii="宋体" w:hAnsi="宋体" w:eastAsia="宋体" w:cs="宋体"/>
                <w:b w:val="0"/>
                <w:bCs w:val="0"/>
                <w:i w:val="0"/>
                <w:iCs w:val="0"/>
                <w:snapToGrid w:val="0"/>
                <w:color w:val="auto"/>
                <w:kern w:val="0"/>
                <w:sz w:val="24"/>
                <w:szCs w:val="24"/>
                <w:highlight w:val="none"/>
                <w:lang w:val="en-US" w:eastAsia="zh-CN"/>
              </w:rPr>
              <w:t>获得过国家级“AAA级信用企业”称号的得3分，每复审一次的加1分。本项最高得5分。</w:t>
            </w:r>
          </w:p>
          <w:p w14:paraId="486A5C4E">
            <w:pPr>
              <w:pStyle w:val="38"/>
              <w:keepNext w:val="0"/>
              <w:keepLines w:val="0"/>
              <w:pageBreakBefore w:val="0"/>
              <w:wordWrap w:val="0"/>
              <w:overflowPunct/>
              <w:topLinePunct w:val="0"/>
              <w:bidi w:val="0"/>
              <w:adjustRightInd w:val="0"/>
              <w:snapToGrid w:val="0"/>
              <w:spacing w:line="360" w:lineRule="auto"/>
              <w:ind w:firstLine="0" w:firstLineChars="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2.其他情形的，不予计分。</w:t>
            </w:r>
          </w:p>
        </w:tc>
        <w:tc>
          <w:tcPr>
            <w:tcW w:w="5065" w:type="dxa"/>
            <w:tcBorders>
              <w:top w:val="single" w:color="auto" w:sz="4" w:space="0"/>
              <w:left w:val="single" w:color="auto" w:sz="4" w:space="0"/>
              <w:right w:val="single" w:color="auto" w:sz="4" w:space="0"/>
            </w:tcBorders>
            <w:noWrap w:val="0"/>
            <w:vAlign w:val="center"/>
          </w:tcPr>
          <w:p w14:paraId="55CE7BB0">
            <w:pPr>
              <w:pStyle w:val="5"/>
              <w:keepNext w:val="0"/>
              <w:keepLines w:val="0"/>
              <w:pageBreakBefore w:val="0"/>
              <w:wordWrap w:val="0"/>
              <w:overflowPunct/>
              <w:topLinePunct w:val="0"/>
              <w:bidi w:val="0"/>
              <w:adjustRightInd w:val="0"/>
              <w:snapToGrid w:val="0"/>
              <w:spacing w:line="360" w:lineRule="auto"/>
              <w:ind w:firstLine="0" w:firstLineChars="0"/>
              <w:jc w:val="lef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1．需附相关证书彩色扫描件。</w:t>
            </w:r>
          </w:p>
          <w:p w14:paraId="663B6264">
            <w:pPr>
              <w:pStyle w:val="5"/>
              <w:keepNext w:val="0"/>
              <w:keepLines w:val="0"/>
              <w:pageBreakBefore w:val="0"/>
              <w:wordWrap w:val="0"/>
              <w:overflowPunct/>
              <w:topLinePunct w:val="0"/>
              <w:bidi w:val="0"/>
              <w:adjustRightInd w:val="0"/>
              <w:snapToGrid w:val="0"/>
              <w:spacing w:line="360" w:lineRule="auto"/>
              <w:ind w:firstLine="0" w:firstLineChars="0"/>
              <w:jc w:val="lef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2．证书须由省级/国级企业联合会和企业家协会（需经民政局备案）同时颁发。</w:t>
            </w:r>
          </w:p>
          <w:p w14:paraId="364DDAB7">
            <w:pPr>
              <w:pStyle w:val="5"/>
              <w:keepNext w:val="0"/>
              <w:keepLines w:val="0"/>
              <w:pageBreakBefore w:val="0"/>
              <w:wordWrap w:val="0"/>
              <w:overflowPunct/>
              <w:topLinePunct w:val="0"/>
              <w:bidi w:val="0"/>
              <w:adjustRightInd w:val="0"/>
              <w:snapToGrid w:val="0"/>
              <w:spacing w:line="360" w:lineRule="auto"/>
              <w:ind w:firstLine="0" w:firstLineChars="0"/>
              <w:jc w:val="left"/>
              <w:rPr>
                <w:rFonts w:hint="eastAsia" w:ascii="宋体" w:hAnsi="宋体" w:eastAsia="宋体" w:cs="宋体"/>
                <w:b w:val="0"/>
                <w:bCs w:val="0"/>
                <w:color w:val="auto"/>
                <w:sz w:val="24"/>
                <w:szCs w:val="24"/>
                <w:highlight w:val="none"/>
                <w:lang w:eastAsia="zh-CN"/>
              </w:rPr>
            </w:pPr>
            <w:r>
              <w:rPr>
                <w:rFonts w:hint="eastAsia" w:ascii="宋体" w:hAnsi="宋体" w:eastAsia="宋体" w:cs="宋体"/>
                <w:snapToGrid w:val="0"/>
                <w:color w:val="auto"/>
                <w:kern w:val="0"/>
                <w:sz w:val="24"/>
                <w:szCs w:val="24"/>
                <w:highlight w:val="none"/>
                <w:lang w:val="en-US" w:eastAsia="zh-CN" w:bidi="ar"/>
              </w:rPr>
              <w:t>3．颁发机构、获奖时间不符合评分标准和备注规定的，不予得分。</w:t>
            </w:r>
          </w:p>
        </w:tc>
      </w:tr>
      <w:tr w14:paraId="47C95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11D6A432">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left"/>
              <w:textAlignment w:val="auto"/>
              <w:outlineLvl w:val="9"/>
              <w:rPr>
                <w:rFonts w:hint="eastAsia" w:ascii="宋体" w:hAnsi="宋体" w:eastAsia="宋体" w:cs="宋体"/>
                <w:b/>
                <w:bCs/>
                <w:caps w:val="0"/>
                <w:smallCaps w:val="0"/>
                <w:snapToGrid w:val="0"/>
                <w:color w:val="auto"/>
                <w:spacing w:val="0"/>
                <w:kern w:val="0"/>
                <w:sz w:val="24"/>
                <w:szCs w:val="24"/>
                <w:highlight w:val="none"/>
              </w:rPr>
            </w:pPr>
            <w:r>
              <w:rPr>
                <w:rFonts w:hint="eastAsia" w:ascii="宋体" w:hAnsi="宋体" w:eastAsia="宋体" w:cs="宋体"/>
                <w:b/>
                <w:bCs/>
                <w:caps w:val="0"/>
                <w:smallCaps w:val="0"/>
                <w:snapToGrid w:val="0"/>
                <w:color w:val="auto"/>
                <w:spacing w:val="0"/>
                <w:kern w:val="0"/>
                <w:sz w:val="24"/>
                <w:szCs w:val="24"/>
                <w:highlight w:val="none"/>
                <w:lang w:eastAsia="zh-CN"/>
              </w:rPr>
              <w:t>技术部分（施工组织设计），满分：</w:t>
            </w:r>
            <w:r>
              <w:rPr>
                <w:rFonts w:hint="eastAsia" w:ascii="宋体" w:hAnsi="宋体" w:eastAsia="宋体" w:cs="宋体"/>
                <w:b/>
                <w:bCs/>
                <w:caps w:val="0"/>
                <w:smallCaps w:val="0"/>
                <w:snapToGrid w:val="0"/>
                <w:color w:val="auto"/>
                <w:spacing w:val="0"/>
                <w:kern w:val="0"/>
                <w:sz w:val="24"/>
                <w:szCs w:val="24"/>
                <w:highlight w:val="none"/>
                <w:u w:val="single"/>
                <w:lang w:val="en-US" w:eastAsia="zh-CN"/>
              </w:rPr>
              <w:t xml:space="preserve">  20  </w:t>
            </w:r>
            <w:r>
              <w:rPr>
                <w:rFonts w:hint="eastAsia" w:ascii="宋体" w:hAnsi="宋体" w:eastAsia="宋体" w:cs="宋体"/>
                <w:b/>
                <w:bCs/>
                <w:caps w:val="0"/>
                <w:smallCaps w:val="0"/>
                <w:snapToGrid w:val="0"/>
                <w:color w:val="auto"/>
                <w:spacing w:val="0"/>
                <w:kern w:val="0"/>
                <w:sz w:val="24"/>
                <w:szCs w:val="24"/>
                <w:highlight w:val="none"/>
                <w:lang w:val="en-US" w:eastAsia="zh-CN"/>
              </w:rPr>
              <w:t>分。</w:t>
            </w:r>
          </w:p>
        </w:tc>
      </w:tr>
      <w:tr w14:paraId="6C61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9F6191F">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4"/>
                <w:szCs w:val="24"/>
                <w:highlight w:val="none"/>
              </w:rPr>
            </w:pPr>
            <w:r>
              <w:rPr>
                <w:rFonts w:hint="eastAsia" w:ascii="宋体" w:hAnsi="宋体" w:eastAsia="宋体" w:cs="宋体"/>
                <w:b/>
                <w:bCs/>
                <w:caps w:val="0"/>
                <w:smallCaps w:val="0"/>
                <w:snapToGrid w:val="0"/>
                <w:color w:val="auto"/>
                <w:spacing w:val="0"/>
                <w:kern w:val="0"/>
                <w:sz w:val="24"/>
                <w:szCs w:val="24"/>
                <w:highlight w:val="none"/>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34FD14D">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4"/>
                <w:szCs w:val="24"/>
                <w:highlight w:val="none"/>
              </w:rPr>
            </w:pPr>
            <w:r>
              <w:rPr>
                <w:rFonts w:hint="eastAsia" w:ascii="宋体" w:hAnsi="宋体" w:eastAsia="宋体" w:cs="宋体"/>
                <w:b/>
                <w:bCs/>
                <w:caps w:val="0"/>
                <w:smallCaps w:val="0"/>
                <w:snapToGrid w:val="0"/>
                <w:color w:val="auto"/>
                <w:spacing w:val="0"/>
                <w:kern w:val="0"/>
                <w:sz w:val="24"/>
                <w:szCs w:val="24"/>
                <w:highlight w:val="none"/>
              </w:rPr>
              <w:t>评分标准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DE5B26F">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备注</w:t>
            </w:r>
          </w:p>
        </w:tc>
      </w:tr>
      <w:tr w14:paraId="25B26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4EC4B3E">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 xml:space="preserve"> 总体概述</w:t>
            </w:r>
          </w:p>
          <w:p w14:paraId="7333D43A">
            <w:pPr>
              <w:keepNext w:val="0"/>
              <w:keepLines w:val="0"/>
              <w:pageBreakBefore w:val="0"/>
              <w:widowControl w:val="0"/>
              <w:kinsoku/>
              <w:wordWrap w:val="0"/>
              <w:overflowPunct/>
              <w:topLinePunct w:val="0"/>
              <w:autoSpaceDE/>
              <w:autoSpaceDN/>
              <w:bidi w:val="0"/>
              <w:adjustRightInd w:val="0"/>
              <w:snapToGrid w:val="0"/>
              <w:spacing w:before="0" w:afterAutospacing="0" w:line="360" w:lineRule="auto"/>
              <w:ind w:left="0" w:leftChars="0" w:right="0" w:rightChars="0" w:firstLine="0" w:firstLineChars="0"/>
              <w:jc w:val="center"/>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6F62ECC">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【优】得该项评分因素分值的90%～100%（含90%）。</w:t>
            </w:r>
          </w:p>
          <w:p w14:paraId="43B3257C">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【良】得该项评分因素分值的80%～90%（含80%）。</w:t>
            </w:r>
          </w:p>
          <w:p w14:paraId="56D845F0">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【中】得该项评分因素分值的70%～80%（含70%）。</w:t>
            </w:r>
          </w:p>
          <w:p w14:paraId="3FD70982">
            <w:pPr>
              <w:keepNext w:val="0"/>
              <w:keepLines w:val="0"/>
              <w:pageBreakBefore w:val="0"/>
              <w:widowControl w:val="0"/>
              <w:kinsoku/>
              <w:wordWrap w:val="0"/>
              <w:overflowPunct/>
              <w:topLinePunct w:val="0"/>
              <w:autoSpaceDE/>
              <w:autoSpaceDN/>
              <w:bidi w:val="0"/>
              <w:adjustRightInd w:val="0"/>
              <w:snapToGrid w:val="0"/>
              <w:spacing w:before="0" w:afterAutospacing="0" w:line="360" w:lineRule="auto"/>
              <w:ind w:left="0" w:leftChars="0" w:right="0" w:rightChars="0" w:firstLine="0" w:firstLineChars="0"/>
              <w:jc w:val="left"/>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3D54074">
            <w:pPr>
              <w:keepNext w:val="0"/>
              <w:keepLines w:val="0"/>
              <w:pageBreakBefore w:val="0"/>
              <w:widowControl w:val="0"/>
              <w:kinsoku/>
              <w:wordWrap w:val="0"/>
              <w:overflowPunct/>
              <w:topLinePunct w:val="0"/>
              <w:autoSpaceDE/>
              <w:autoSpaceDN/>
              <w:bidi w:val="0"/>
              <w:adjustRightInd w:val="0"/>
              <w:snapToGrid w:val="0"/>
              <w:spacing w:before="0" w:afterAutospacing="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【优】对项目总体有深刻认识，表述清晰、完整、严谨、合理，措施先进、具体、有效、成熟，采用了新技术、新工艺、新材料、新设备；施工段划分呼应总体表述，划分清晰、合理，符合规范要求。</w:t>
            </w:r>
          </w:p>
          <w:p w14:paraId="12153FF5">
            <w:pPr>
              <w:keepNext w:val="0"/>
              <w:keepLines w:val="0"/>
              <w:pageBreakBefore w:val="0"/>
              <w:widowControl w:val="0"/>
              <w:kinsoku/>
              <w:wordWrap w:val="0"/>
              <w:overflowPunct/>
              <w:topLinePunct w:val="0"/>
              <w:autoSpaceDE/>
              <w:autoSpaceDN/>
              <w:bidi w:val="0"/>
              <w:adjustRightInd w:val="0"/>
              <w:snapToGrid w:val="0"/>
              <w:spacing w:before="0" w:afterAutospacing="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【良】对项目总体有一定认识，表述清晰、完整，措施具体有效；施工段划分呼应总体表述，划分清晰，符合规范要求。</w:t>
            </w:r>
          </w:p>
          <w:p w14:paraId="5EBA7D58">
            <w:pPr>
              <w:keepNext w:val="0"/>
              <w:keepLines w:val="0"/>
              <w:pageBreakBefore w:val="0"/>
              <w:widowControl w:val="0"/>
              <w:kinsoku/>
              <w:wordWrap w:val="0"/>
              <w:overflowPunct/>
              <w:topLinePunct w:val="0"/>
              <w:autoSpaceDE/>
              <w:autoSpaceDN/>
              <w:bidi w:val="0"/>
              <w:adjustRightInd w:val="0"/>
              <w:snapToGrid w:val="0"/>
              <w:spacing w:before="0" w:afterAutospacing="0" w:line="360" w:lineRule="auto"/>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【中】对项目总体有认识，有一定的措施但部分不具体；施工段划分较合理，符合规范要求。</w:t>
            </w:r>
          </w:p>
          <w:p w14:paraId="5C73A9B2">
            <w:pPr>
              <w:keepNext w:val="0"/>
              <w:keepLines w:val="0"/>
              <w:pageBreakBefore w:val="0"/>
              <w:widowControl w:val="0"/>
              <w:kinsoku/>
              <w:wordWrap w:val="0"/>
              <w:overflowPunct/>
              <w:topLinePunct w:val="0"/>
              <w:autoSpaceDE/>
              <w:autoSpaceDN/>
              <w:bidi w:val="0"/>
              <w:adjustRightInd w:val="0"/>
              <w:snapToGrid w:val="0"/>
              <w:spacing w:before="0" w:afterAutospacing="0" w:line="360" w:lineRule="auto"/>
              <w:ind w:left="0" w:leftChars="0" w:right="0" w:rightChars="0" w:firstLine="0" w:firstLineChars="0"/>
              <w:jc w:val="left"/>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【差】对项目认识不足，表述不清晰，措施不具体；施工段划分不合理。</w:t>
            </w:r>
          </w:p>
        </w:tc>
      </w:tr>
      <w:tr w14:paraId="037BB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426F8C1">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施工总进</w:t>
            </w:r>
          </w:p>
          <w:p w14:paraId="3DAB3C6A">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度计划及</w:t>
            </w:r>
          </w:p>
          <w:p w14:paraId="6FB92D06">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保证措施</w:t>
            </w:r>
          </w:p>
          <w:p w14:paraId="6780E205">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center"/>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5E9097A">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【优】得该项评分因素分值的90%～100%（含90%）。</w:t>
            </w:r>
          </w:p>
          <w:p w14:paraId="2BB77EA5">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【良】得该项评分因素分值的80%～90%（含80%）。</w:t>
            </w:r>
          </w:p>
          <w:p w14:paraId="6971F765">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【中】得该项评分因素分值的70%～80%（含70%）。</w:t>
            </w:r>
          </w:p>
          <w:p w14:paraId="058DCEF2">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8EE883E">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caps w:val="0"/>
                <w:smallCaps w:val="0"/>
                <w:strike w:val="0"/>
                <w:dstrike w:val="0"/>
                <w:snapToGrid w:val="0"/>
                <w:color w:val="auto"/>
                <w:spacing w:val="0"/>
                <w:kern w:val="0"/>
                <w:sz w:val="24"/>
                <w:szCs w:val="24"/>
                <w:highlight w:val="none"/>
                <w:lang w:val="en-US" w:eastAsia="zh-CN" w:bidi="ar-SA"/>
              </w:rPr>
              <w:t>经济赔偿合理。</w:t>
            </w:r>
          </w:p>
          <w:p w14:paraId="2EA59569">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caps w:val="0"/>
                <w:smallCaps w:val="0"/>
                <w:strike w:val="0"/>
                <w:dstrike w:val="0"/>
                <w:snapToGrid w:val="0"/>
                <w:color w:val="auto"/>
                <w:spacing w:val="0"/>
                <w:kern w:val="0"/>
                <w:sz w:val="24"/>
                <w:szCs w:val="24"/>
                <w:highlight w:val="none"/>
                <w:lang w:val="en-US" w:eastAsia="zh-CN" w:bidi="ar-SA"/>
              </w:rPr>
              <w:t>经济赔偿较合理。</w:t>
            </w:r>
          </w:p>
          <w:p w14:paraId="62077663">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【中】关键线路基本准确，计划编制基本合理。关键节点的控制措施基本可行。人、材、机需求和进场计划与进度计划相呼应，基本满足施工需要，调配投入计划基本合理。进度违约责任承诺具体。</w:t>
            </w:r>
          </w:p>
          <w:p w14:paraId="6FD8C0F5">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【差】关键线路不准确，计划编制不合理。关键节点的控制不可行。人、材、机需求和进场计划与进度计划不相呼应，不能满足施工需要。没有违约责任承诺。</w:t>
            </w:r>
          </w:p>
        </w:tc>
      </w:tr>
      <w:tr w14:paraId="0D76A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871ECF0">
            <w:pPr>
              <w:pStyle w:val="27"/>
              <w:wordWrap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w:t>
            </w:r>
          </w:p>
          <w:p w14:paraId="1FBF3AEC">
            <w:pPr>
              <w:pStyle w:val="27"/>
              <w:wordWrap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保证措施</w:t>
            </w:r>
          </w:p>
          <w:p w14:paraId="1277B614">
            <w:pPr>
              <w:pStyle w:val="27"/>
              <w:wordWrap w:val="0"/>
              <w:spacing w:line="360" w:lineRule="auto"/>
              <w:jc w:val="center"/>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snapToGrid w:val="0"/>
                <w:color w:val="auto"/>
                <w:kern w:val="0"/>
                <w:sz w:val="24"/>
                <w:szCs w:val="24"/>
                <w:highlight w:val="none"/>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4 </w:t>
            </w:r>
            <w:r>
              <w:rPr>
                <w:rFonts w:hint="eastAsia" w:ascii="宋体" w:hAnsi="宋体" w:eastAsia="宋体" w:cs="宋体"/>
                <w:snapToGrid w:val="0"/>
                <w:color w:val="auto"/>
                <w:kern w:val="0"/>
                <w:sz w:val="24"/>
                <w:szCs w:val="24"/>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007839E">
            <w:pPr>
              <w:pStyle w:val="26"/>
              <w:wordWrap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0DDE4CE8">
            <w:pPr>
              <w:pStyle w:val="26"/>
              <w:wordWrap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226B370B">
            <w:pPr>
              <w:pStyle w:val="26"/>
              <w:wordWrap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0860C7AB">
            <w:pPr>
              <w:pStyle w:val="28"/>
              <w:wordWrap w:val="0"/>
              <w:spacing w:line="360" w:lineRule="auto"/>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FF594C8">
            <w:pPr>
              <w:pStyle w:val="5"/>
              <w:wordWrap w:val="0"/>
              <w:spacing w:after="0"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【优】应用新技术、新工艺、新材料、新设备，针对项目实际提出先进、可行、具体的保证措施。超过招标文件的质量要求。</w:t>
            </w:r>
          </w:p>
          <w:p w14:paraId="5D7DABA4">
            <w:pPr>
              <w:pStyle w:val="5"/>
              <w:wordWrap w:val="0"/>
              <w:spacing w:after="0" w:line="360" w:lineRule="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【良】针对项目实际提出先进、可行、具体的保证措施。满足招标文件的质量要求。</w:t>
            </w:r>
          </w:p>
          <w:p w14:paraId="47C950B5">
            <w:pPr>
              <w:pStyle w:val="5"/>
              <w:wordWrap w:val="0"/>
              <w:spacing w:after="0" w:line="360" w:lineRule="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【中】具体措施可行。满足招标文件的质量要求</w:t>
            </w:r>
            <w:r>
              <w:rPr>
                <w:rFonts w:hint="eastAsia" w:ascii="宋体" w:hAnsi="宋体" w:eastAsia="宋体" w:cs="宋体"/>
                <w:snapToGrid w:val="0"/>
                <w:color w:val="auto"/>
                <w:kern w:val="0"/>
                <w:sz w:val="24"/>
                <w:szCs w:val="24"/>
                <w:highlight w:val="none"/>
                <w:lang w:eastAsia="zh-CN"/>
              </w:rPr>
              <w:t>。</w:t>
            </w:r>
          </w:p>
          <w:p w14:paraId="59C3D929">
            <w:pPr>
              <w:pStyle w:val="28"/>
              <w:wordWrap w:val="0"/>
              <w:spacing w:line="360" w:lineRule="auto"/>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snapToGrid w:val="0"/>
                <w:color w:val="auto"/>
                <w:kern w:val="0"/>
                <w:sz w:val="24"/>
                <w:szCs w:val="24"/>
                <w:highlight w:val="none"/>
              </w:rPr>
              <w:t>【差】措施不可行，没有质量违约责任承诺。</w:t>
            </w:r>
          </w:p>
        </w:tc>
      </w:tr>
      <w:tr w14:paraId="7D45C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4309F90">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施工</w:t>
            </w:r>
          </w:p>
          <w:p w14:paraId="10E0DBEF">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技术措施</w:t>
            </w:r>
          </w:p>
          <w:p w14:paraId="7A2152B7">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bidi="ar-SA"/>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D6A5A96">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【优】得该项评分因素分值的90%～100%（含90%）。</w:t>
            </w:r>
          </w:p>
          <w:p w14:paraId="46B998B6">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【良】得该项评分因素分值的80%～90%（含80%）。</w:t>
            </w:r>
          </w:p>
          <w:p w14:paraId="78138843">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【中】得该项评分因素分值的70%～80%（含70%）。</w:t>
            </w:r>
          </w:p>
          <w:p w14:paraId="45B4BB13">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03F18BA">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caps w:val="0"/>
                <w:smallCaps w:val="0"/>
                <w:strike w:val="0"/>
                <w:dstrike w:val="0"/>
                <w:snapToGrid w:val="0"/>
                <w:color w:val="auto"/>
                <w:spacing w:val="0"/>
                <w:kern w:val="0"/>
                <w:sz w:val="24"/>
                <w:szCs w:val="24"/>
                <w:highlight w:val="none"/>
                <w:lang w:val="en-US" w:eastAsia="zh-CN" w:bidi="ar-SA"/>
              </w:rPr>
              <w:t>经济赔偿合理。</w:t>
            </w:r>
          </w:p>
          <w:p w14:paraId="417C0F77">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caps w:val="0"/>
                <w:smallCaps w:val="0"/>
                <w:strike w:val="0"/>
                <w:dstrike w:val="0"/>
                <w:snapToGrid w:val="0"/>
                <w:color w:val="auto"/>
                <w:spacing w:val="0"/>
                <w:kern w:val="0"/>
                <w:sz w:val="24"/>
                <w:szCs w:val="24"/>
                <w:highlight w:val="none"/>
                <w:lang w:val="en-US" w:eastAsia="zh-CN" w:bidi="ar-SA"/>
              </w:rPr>
              <w:t>经济赔偿较合理。</w:t>
            </w:r>
          </w:p>
          <w:p w14:paraId="44507D00">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1AB9CBE7">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bidi="ar-SA"/>
              </w:rPr>
              <w:t>【差】对项目关键技术有表述，对重点、难点有建议，解决方案不可行。采用的新技术针对性不强或验证材料不可靠，对节约投资、工期没有具体收益。无违约责任承诺。</w:t>
            </w:r>
          </w:p>
        </w:tc>
      </w:tr>
      <w:tr w14:paraId="77615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644BF9B">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绿色施工、</w:t>
            </w:r>
          </w:p>
          <w:p w14:paraId="6C81D194">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安全防护、</w:t>
            </w:r>
          </w:p>
          <w:p w14:paraId="638C625D">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文明施工</w:t>
            </w:r>
          </w:p>
          <w:p w14:paraId="78E2CFAA">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措施计划</w:t>
            </w:r>
          </w:p>
          <w:p w14:paraId="0AEC9777">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ADD8CA1">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【优】得该项评分因素分值的90%～100%（含90%）。</w:t>
            </w:r>
          </w:p>
          <w:p w14:paraId="5EE1FBD7">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【良】得该项评分因素分值的80%～90%（含80%）。</w:t>
            </w:r>
          </w:p>
          <w:p w14:paraId="0DFD8EAD">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【中】得该项评分因素分值的70%～80%（含70%）。</w:t>
            </w:r>
          </w:p>
          <w:p w14:paraId="1B36B2CF">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687ED96">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【优】针对项目实际情况，有先进、具体、完整、可行的措施，采用规范准确、清晰。</w:t>
            </w:r>
          </w:p>
          <w:p w14:paraId="14A6ED79">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【良】针对项目实际情况，有合理的措施且具体、完整，采用规范准确。</w:t>
            </w:r>
          </w:p>
          <w:p w14:paraId="72D94C8E">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【中】有基本合理的措施，采用规范准确。</w:t>
            </w:r>
          </w:p>
          <w:p w14:paraId="06B16B6A">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【差】措施不力，采用规范不正确。</w:t>
            </w:r>
          </w:p>
        </w:tc>
      </w:tr>
      <w:tr w14:paraId="6CB4F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2956FD4">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施工平面</w:t>
            </w:r>
          </w:p>
          <w:p w14:paraId="25BBEE01">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布置和临时设施布置</w:t>
            </w:r>
          </w:p>
          <w:p w14:paraId="1D6C6A02">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bidi="ar-SA"/>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9AAB17A">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【优】得该项评分因素分值的90%～100%（含90%）。</w:t>
            </w:r>
          </w:p>
          <w:p w14:paraId="24A2C3A7">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【良】得该项评分因素分值的80%～90%（含80%）。</w:t>
            </w:r>
          </w:p>
          <w:p w14:paraId="23E105B9">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【中】得该项评分因素分值的70%～80%（含70%）。</w:t>
            </w:r>
          </w:p>
          <w:p w14:paraId="3A880DA1">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B0E8C07">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【优】总体布置有针对性、合理，较好满足施工需要，符合绿色施工、安全防护、文明施工要求。</w:t>
            </w:r>
          </w:p>
          <w:p w14:paraId="652713E2">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【良】总体布置合理，能满足施工需要，基本符合绿色施工、安全防护、文明施工要求。</w:t>
            </w:r>
          </w:p>
          <w:p w14:paraId="657291C0">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【中】总体布置基本合理，基本满足施工需要。</w:t>
            </w:r>
          </w:p>
          <w:p w14:paraId="63EE77B9">
            <w:pPr>
              <w:keepNext w:val="0"/>
              <w:keepLines w:val="0"/>
              <w:pageBreakBefore w:val="0"/>
              <w:widowControl w:val="0"/>
              <w:kinsoku/>
              <w:wordWrap w:val="0"/>
              <w:overflowPunct/>
              <w:topLinePunct w:val="0"/>
              <w:autoSpaceDE/>
              <w:autoSpaceDN/>
              <w:bidi w:val="0"/>
              <w:adjustRightInd w:val="0"/>
              <w:snapToGrid w:val="0"/>
              <w:spacing w:before="0" w:line="360" w:lineRule="auto"/>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【差】总体布置不合理，不符合绿色施工、安全防护、文明施工要求。</w:t>
            </w:r>
          </w:p>
        </w:tc>
      </w:tr>
      <w:tr w14:paraId="53AF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B6196E3">
            <w:pPr>
              <w:pStyle w:val="27"/>
              <w:wordWrap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w:t>
            </w:r>
          </w:p>
          <w:p w14:paraId="1931B2B7">
            <w:pPr>
              <w:pStyle w:val="27"/>
              <w:wordWrap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管理机构</w:t>
            </w:r>
          </w:p>
          <w:p w14:paraId="0EC815FA">
            <w:pPr>
              <w:pStyle w:val="27"/>
              <w:wordWrap w:val="0"/>
              <w:spacing w:line="360" w:lineRule="auto"/>
              <w:jc w:val="center"/>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4F47295">
            <w:pPr>
              <w:pStyle w:val="26"/>
              <w:wordWrap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21C01A3F">
            <w:pPr>
              <w:pStyle w:val="26"/>
              <w:wordWrap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0CE6CB42">
            <w:pPr>
              <w:pStyle w:val="26"/>
              <w:wordWrap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6255D4DE">
            <w:pPr>
              <w:pStyle w:val="28"/>
              <w:wordWrap w:val="0"/>
              <w:spacing w:line="360" w:lineRule="auto"/>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07FF9CF">
            <w:pPr>
              <w:pStyle w:val="28"/>
              <w:wordWrap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【优】组织机构形式合理，有完善的指挥系统，生产及质量、绿色施工、安全、文明施工、创优达标监控系统、联络协调系统，项目管理人员内高级职称人员20%（含20%）以上、中级职称人员</w:t>
            </w:r>
            <w:r>
              <w:rPr>
                <w:rFonts w:hint="eastAsia" w:ascii="宋体" w:hAnsi="宋体" w:eastAsia="宋体" w:cs="宋体"/>
                <w:b/>
                <w:bCs/>
                <w:snapToGrid w:val="0"/>
                <w:color w:val="auto"/>
                <w:kern w:val="0"/>
                <w:sz w:val="24"/>
                <w:szCs w:val="24"/>
                <w:highlight w:val="none"/>
              </w:rPr>
              <w:t>及以上职称</w:t>
            </w:r>
            <w:r>
              <w:rPr>
                <w:rFonts w:hint="eastAsia" w:ascii="宋体" w:hAnsi="宋体" w:eastAsia="宋体" w:cs="宋体"/>
                <w:snapToGrid w:val="0"/>
                <w:color w:val="auto"/>
                <w:kern w:val="0"/>
                <w:sz w:val="24"/>
                <w:szCs w:val="24"/>
                <w:highlight w:val="none"/>
              </w:rPr>
              <w:t>60%（含60%）以上。</w:t>
            </w:r>
          </w:p>
          <w:p w14:paraId="22B3AF54">
            <w:pPr>
              <w:pStyle w:val="28"/>
              <w:wordWrap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【良】组织机构形式合理，指挥系统，生产及质量、绿色施工、安全、文明施工、创优达标监控系统、联络协调系统齐全，项目管理人员内高级职称人员15%～20%（含15%）、中级职称</w:t>
            </w:r>
            <w:r>
              <w:rPr>
                <w:rFonts w:hint="eastAsia" w:ascii="宋体" w:hAnsi="宋体" w:eastAsia="宋体" w:cs="宋体"/>
                <w:b/>
                <w:bCs/>
                <w:snapToGrid w:val="0"/>
                <w:color w:val="auto"/>
                <w:kern w:val="0"/>
                <w:sz w:val="24"/>
                <w:szCs w:val="24"/>
                <w:highlight w:val="none"/>
              </w:rPr>
              <w:t>及以上职称</w:t>
            </w:r>
            <w:r>
              <w:rPr>
                <w:rFonts w:hint="eastAsia" w:ascii="宋体" w:hAnsi="宋体" w:eastAsia="宋体" w:cs="宋体"/>
                <w:snapToGrid w:val="0"/>
                <w:color w:val="auto"/>
                <w:kern w:val="0"/>
                <w:sz w:val="24"/>
                <w:szCs w:val="24"/>
                <w:highlight w:val="none"/>
              </w:rPr>
              <w:t>人员50%～60%（含50%）。</w:t>
            </w:r>
          </w:p>
          <w:p w14:paraId="71B3578F">
            <w:pPr>
              <w:pStyle w:val="28"/>
              <w:wordWrap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【中】组织机构形式基本合理，有指挥系统，生产及质量、绿色施工、安全、文明施工、创优达标监控系统、联络协调系统，项目管理人员内高级职称人员10%～15%（含10%）、中级职称人员</w:t>
            </w:r>
            <w:r>
              <w:rPr>
                <w:rFonts w:hint="eastAsia" w:ascii="宋体" w:hAnsi="宋体" w:eastAsia="宋体" w:cs="宋体"/>
                <w:b/>
                <w:bCs/>
                <w:snapToGrid w:val="0"/>
                <w:color w:val="auto"/>
                <w:kern w:val="0"/>
                <w:sz w:val="24"/>
                <w:szCs w:val="24"/>
                <w:highlight w:val="none"/>
              </w:rPr>
              <w:t>及以上职称</w:t>
            </w:r>
            <w:r>
              <w:rPr>
                <w:rFonts w:hint="eastAsia" w:ascii="宋体" w:hAnsi="宋体" w:eastAsia="宋体" w:cs="宋体"/>
                <w:snapToGrid w:val="0"/>
                <w:color w:val="auto"/>
                <w:kern w:val="0"/>
                <w:sz w:val="24"/>
                <w:szCs w:val="24"/>
                <w:highlight w:val="none"/>
              </w:rPr>
              <w:t>40%～50%（含40%）。</w:t>
            </w:r>
          </w:p>
          <w:p w14:paraId="36C01698">
            <w:pPr>
              <w:pStyle w:val="28"/>
              <w:wordWrap w:val="0"/>
              <w:spacing w:line="360" w:lineRule="auto"/>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snapToGrid w:val="0"/>
                <w:color w:val="auto"/>
                <w:kern w:val="0"/>
                <w:sz w:val="24"/>
                <w:szCs w:val="24"/>
                <w:highlight w:val="none"/>
              </w:rPr>
              <w:t>【差】组织机构形式合理，指挥系统，生产及质量、绿色施工、安全、文明施工、创优达标监控系统、联络协调系统不齐全，项目管理人员内高级职称人员10%以下、中级职称人员</w:t>
            </w:r>
            <w:r>
              <w:rPr>
                <w:rFonts w:hint="eastAsia" w:ascii="宋体" w:hAnsi="宋体" w:eastAsia="宋体" w:cs="宋体"/>
                <w:b/>
                <w:bCs/>
                <w:snapToGrid w:val="0"/>
                <w:color w:val="auto"/>
                <w:kern w:val="0"/>
                <w:sz w:val="24"/>
                <w:szCs w:val="24"/>
                <w:highlight w:val="none"/>
              </w:rPr>
              <w:t>及以上职称</w:t>
            </w:r>
            <w:r>
              <w:rPr>
                <w:rFonts w:hint="eastAsia" w:ascii="宋体" w:hAnsi="宋体" w:eastAsia="宋体" w:cs="宋体"/>
                <w:snapToGrid w:val="0"/>
                <w:color w:val="auto"/>
                <w:kern w:val="0"/>
                <w:sz w:val="24"/>
                <w:szCs w:val="24"/>
                <w:highlight w:val="none"/>
              </w:rPr>
              <w:t>40%以下。</w:t>
            </w:r>
          </w:p>
        </w:tc>
      </w:tr>
      <w:tr w14:paraId="196A1D2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0" w:hRule="atLeas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EE34843">
            <w:pPr>
              <w:wordWrap w:val="0"/>
              <w:adjustRightInd w:val="0"/>
              <w:snapToGrid w:val="0"/>
              <w:spacing w:line="360" w:lineRule="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投标报价部分，满分：100分。</w:t>
            </w:r>
          </w:p>
        </w:tc>
      </w:tr>
      <w:tr w14:paraId="29320A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0"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7151DCBB">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评分事项</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05294EC3">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评分方法</w:t>
            </w:r>
          </w:p>
        </w:tc>
      </w:tr>
      <w:tr w14:paraId="663D5B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0"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07019414">
            <w:pPr>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评标基准价D</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789BE193">
            <w:pPr>
              <w:numPr>
                <w:ilvl w:val="0"/>
                <w:numId w:val="1"/>
              </w:numPr>
              <w:wordWrap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确定最高投标限价下浮系数n：用1～21号球分别代表一个下浮系数，由评委代表从这21个号码中随机抽取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次，每次抽取1个号码，抽出的号球不参与下次抽取。所抽取的</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个号码对应下浮系数的算术平均值作为最高投标限价下浮系数n。具体号码对应的下浮系数详见下表：</w:t>
            </w:r>
          </w:p>
          <w:tbl>
            <w:tblPr>
              <w:tblStyle w:val="14"/>
              <w:tblW w:w="0" w:type="auto"/>
              <w:jc w:val="center"/>
              <w:tblLayout w:type="fixed"/>
              <w:tblCellMar>
                <w:top w:w="0" w:type="dxa"/>
                <w:left w:w="108" w:type="dxa"/>
                <w:bottom w:w="0" w:type="dxa"/>
                <w:right w:w="108" w:type="dxa"/>
              </w:tblCellMar>
            </w:tblPr>
            <w:tblGrid>
              <w:gridCol w:w="1744"/>
              <w:gridCol w:w="889"/>
              <w:gridCol w:w="836"/>
              <w:gridCol w:w="870"/>
              <w:gridCol w:w="854"/>
              <w:gridCol w:w="888"/>
              <w:gridCol w:w="835"/>
              <w:gridCol w:w="959"/>
            </w:tblGrid>
            <w:tr w14:paraId="4BFF4480">
              <w:tblPrEx>
                <w:tblCellMar>
                  <w:top w:w="0" w:type="dxa"/>
                  <w:left w:w="108" w:type="dxa"/>
                  <w:bottom w:w="0" w:type="dxa"/>
                  <w:right w:w="108" w:type="dxa"/>
                </w:tblCellMar>
              </w:tblPrEx>
              <w:trPr>
                <w:trHeight w:val="447"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09D16B1E">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号球</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7D566F67">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4E1BBB25">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5F89D5AE">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2AA7FF55">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6D0A8C41">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0A78A6DC">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E28F5AC">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w:t>
                  </w:r>
                </w:p>
              </w:tc>
            </w:tr>
            <w:tr w14:paraId="305AAC0D">
              <w:tblPrEx>
                <w:tblCellMar>
                  <w:top w:w="0" w:type="dxa"/>
                  <w:left w:w="108" w:type="dxa"/>
                  <w:bottom w:w="0" w:type="dxa"/>
                  <w:right w:w="108" w:type="dxa"/>
                </w:tblCellMar>
              </w:tblPrEx>
              <w:trPr>
                <w:trHeight w:val="529"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24CC931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5A512ABA">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350A15C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A0F514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1FC5EF5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29ACDBC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6817863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3EF62A9B">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r>
            <w:tr w14:paraId="4C97E2E6">
              <w:tblPrEx>
                <w:tblCellMar>
                  <w:top w:w="0" w:type="dxa"/>
                  <w:left w:w="108" w:type="dxa"/>
                  <w:bottom w:w="0" w:type="dxa"/>
                  <w:right w:w="108" w:type="dxa"/>
                </w:tblCellMar>
              </w:tblPrEx>
              <w:trPr>
                <w:trHeight w:val="572"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4F8CA7AF">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号球</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18636AF9">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70914681">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4923A9D">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57911D2B">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6AF21244">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12</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1CAD09C7">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C3DD023">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w:t>
                  </w:r>
                </w:p>
              </w:tc>
            </w:tr>
            <w:tr w14:paraId="33CDB21A">
              <w:tblPrEx>
                <w:tblCellMar>
                  <w:top w:w="0" w:type="dxa"/>
                  <w:left w:w="108" w:type="dxa"/>
                  <w:bottom w:w="0" w:type="dxa"/>
                  <w:right w:w="108" w:type="dxa"/>
                </w:tblCellMar>
              </w:tblPrEx>
              <w:trPr>
                <w:trHeight w:val="480"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48D405D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223940D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425B0BDE">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2C3545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2D9C0F3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F7E600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6084DD7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05EDAA6">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r>
            <w:tr w14:paraId="08886A4B">
              <w:tblPrEx>
                <w:tblCellMar>
                  <w:top w:w="0" w:type="dxa"/>
                  <w:left w:w="108" w:type="dxa"/>
                  <w:bottom w:w="0" w:type="dxa"/>
                  <w:right w:w="108" w:type="dxa"/>
                </w:tblCellMar>
              </w:tblPrEx>
              <w:trPr>
                <w:trHeight w:val="523"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6C938F2B">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号球</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5C7DA5D5">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1AADC8E7">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C46356E">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2FE6FD27">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18</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76A584E">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19</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2CB98248">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20</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62A60AE7">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21</w:t>
                  </w:r>
                </w:p>
              </w:tc>
            </w:tr>
            <w:tr w14:paraId="1D1D8002">
              <w:tblPrEx>
                <w:tblCellMar>
                  <w:top w:w="0" w:type="dxa"/>
                  <w:left w:w="108" w:type="dxa"/>
                  <w:bottom w:w="0" w:type="dxa"/>
                  <w:right w:w="108" w:type="dxa"/>
                </w:tblCellMar>
              </w:tblPrEx>
              <w:trPr>
                <w:trHeight w:val="578"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1876523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05995ADB">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1D436B7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B83B29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7413FF5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33DA7520">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2.8</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19EE272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2.9</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64D9440">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3.0</w:t>
                  </w:r>
                </w:p>
              </w:tc>
            </w:tr>
          </w:tbl>
          <w:p w14:paraId="715DE444">
            <w:pPr>
              <w:rPr>
                <w:rFonts w:hint="eastAsia" w:ascii="宋体" w:hAnsi="宋体" w:eastAsia="宋体" w:cs="宋体"/>
                <w:sz w:val="24"/>
                <w:szCs w:val="24"/>
              </w:rPr>
            </w:pPr>
          </w:p>
          <w:p w14:paraId="382953F3">
            <w:pPr>
              <w:wordWrap w:val="0"/>
              <w:adjustRightInd w:val="0"/>
              <w:snapToGrid w:val="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（2）评标基准价D＝最高投标限价×（1－n）</w:t>
            </w:r>
          </w:p>
        </w:tc>
      </w:tr>
      <w:tr w14:paraId="5BAB61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0"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4D26BCA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p w14:paraId="194373B5">
            <w:pPr>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得分N</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0B5C54CE">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采用内插法计算某投标人的投标报价得分N，即当投标人的投标总价等于评标基准价时得100分，每高于评标基准价一个百分点扣1 分，每低于评标基准价一个百分点扣0.5分，扣完为止。公式如下：</w:t>
            </w:r>
          </w:p>
          <w:p w14:paraId="40D8946D">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N＝100－（| Di－D | ÷D）×100×E</w:t>
            </w:r>
          </w:p>
          <w:p w14:paraId="2F9ECC02">
            <w:pPr>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式中：D为评标基准价；Di为某投标人的投标总价；E为扣分因子，当Di＞D时，E＝1 ；当Di＜D时，E＝0.5。</w:t>
            </w:r>
          </w:p>
        </w:tc>
      </w:tr>
    </w:tbl>
    <w:p w14:paraId="2DB14189">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37B21C64">
      <w:pPr>
        <w:keepNext w:val="0"/>
        <w:keepLines w:val="0"/>
        <w:pageBreakBefore w:val="0"/>
        <w:overflowPunct/>
        <w:topLinePunct w:val="0"/>
        <w:bidi w:val="0"/>
        <w:spacing w:afterAutospacing="0" w:line="360" w:lineRule="auto"/>
        <w:ind w:left="0" w:right="0" w:firstLine="470" w:firstLineChars="200"/>
        <w:outlineLvl w:val="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.2  </w:t>
      </w:r>
      <w:r>
        <w:rPr>
          <w:rFonts w:hint="eastAsia" w:ascii="宋体" w:hAnsi="宋体" w:eastAsia="宋体" w:cs="宋体"/>
          <w:color w:val="auto"/>
          <w:spacing w:val="-3"/>
          <w:sz w:val="24"/>
          <w:szCs w:val="24"/>
          <w:highlight w:val="none"/>
        </w:rPr>
        <w:t>否决投标说明</w:t>
      </w:r>
      <w:bookmarkEnd w:id="133"/>
      <w:bookmarkEnd w:id="134"/>
      <w:bookmarkEnd w:id="135"/>
      <w:bookmarkEnd w:id="136"/>
    </w:p>
    <w:p w14:paraId="3A277E6B">
      <w:pPr>
        <w:keepNext w:val="0"/>
        <w:keepLines w:val="0"/>
        <w:pageBreakBefore w:val="0"/>
        <w:overflowPunct/>
        <w:topLinePunct w:val="0"/>
        <w:bidi w:val="0"/>
        <w:spacing w:afterAutospacing="0" w:line="360" w:lineRule="auto"/>
        <w:ind w:left="0" w:right="0" w:firstLine="460" w:firstLineChars="200"/>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keepNext w:val="0"/>
        <w:keepLines w:val="0"/>
        <w:pageBreakBefore w:val="0"/>
        <w:overflowPunct/>
        <w:topLinePunct w:val="0"/>
        <w:bidi w:val="0"/>
        <w:spacing w:afterAutospacing="0" w:line="360" w:lineRule="auto"/>
        <w:ind w:left="0" w:right="0" w:firstLine="466"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634CACC5">
      <w:pPr>
        <w:pStyle w:val="3"/>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snapToGrid w:val="0"/>
          <w:color w:val="auto"/>
          <w:sz w:val="24"/>
          <w:szCs w:val="24"/>
          <w:highlight w:val="none"/>
        </w:rPr>
      </w:pPr>
      <w:bookmarkStart w:id="137" w:name="bookmark137"/>
      <w:bookmarkEnd w:id="137"/>
      <w:bookmarkStart w:id="138" w:name="bookmark138"/>
      <w:bookmarkEnd w:id="138"/>
      <w:bookmarkStart w:id="139" w:name="_Toc13897"/>
      <w:bookmarkStart w:id="140" w:name="_Toc2769"/>
      <w:bookmarkStart w:id="141" w:name="_Toc18711"/>
      <w:bookmarkStart w:id="142" w:name="_Toc19232"/>
      <w:bookmarkStart w:id="143" w:name="_Toc7762"/>
      <w:bookmarkStart w:id="144" w:name="_Toc10900"/>
      <w:bookmarkStart w:id="145" w:name="_Toc32569"/>
      <w:r>
        <w:rPr>
          <w:rFonts w:hint="eastAsia" w:ascii="宋体" w:hAnsi="宋体" w:eastAsia="宋体" w:cs="宋体"/>
          <w:b/>
          <w:snapToGrid w:val="0"/>
          <w:color w:val="auto"/>
          <w:sz w:val="24"/>
          <w:szCs w:val="24"/>
          <w:highlight w:val="none"/>
        </w:rPr>
        <w:t>16．</w:t>
      </w:r>
      <w:bookmarkEnd w:id="139"/>
      <w:bookmarkEnd w:id="140"/>
      <w:bookmarkEnd w:id="141"/>
      <w:bookmarkEnd w:id="142"/>
      <w:bookmarkEnd w:id="143"/>
      <w:r>
        <w:rPr>
          <w:rFonts w:hint="eastAsia" w:ascii="宋体" w:hAnsi="宋体" w:eastAsia="宋体" w:cs="宋体"/>
          <w:b/>
          <w:snapToGrid w:val="0"/>
          <w:color w:val="auto"/>
          <w:sz w:val="24"/>
          <w:szCs w:val="24"/>
          <w:highlight w:val="none"/>
          <w:lang w:eastAsia="zh-CN"/>
        </w:rPr>
        <w:t>评标结果公示</w:t>
      </w:r>
      <w:bookmarkEnd w:id="144"/>
      <w:bookmarkEnd w:id="145"/>
    </w:p>
    <w:p w14:paraId="006A16BE">
      <w:pPr>
        <w:keepNext w:val="0"/>
        <w:keepLines w:val="0"/>
        <w:pageBreakBefore w:val="0"/>
        <w:widowControl w:val="0"/>
        <w:kinsoku/>
        <w:wordWrap w:val="0"/>
        <w:overflowPunct/>
        <w:topLinePunct w:val="0"/>
        <w:autoSpaceDE/>
        <w:autoSpaceDN/>
        <w:bidi w:val="0"/>
        <w:adjustRightInd/>
        <w:snapToGrid/>
        <w:spacing w:afterAutospacing="0" w:line="360" w:lineRule="auto"/>
        <w:ind w:left="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eastAsia="zh-CN"/>
        </w:rPr>
        <w:t>建设工程交易系统</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732B4744">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80F709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9AD75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34EE0DB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871E1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A66E3B3">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058147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0D679E1">
      <w:pPr>
        <w:rPr>
          <w:rFonts w:hint="eastAsia" w:ascii="宋体" w:hAnsi="宋体" w:eastAsia="宋体" w:cs="宋体"/>
          <w:b/>
          <w:bCs/>
          <w:color w:val="auto"/>
          <w:spacing w:val="-3"/>
          <w:sz w:val="24"/>
          <w:szCs w:val="24"/>
          <w:highlight w:val="none"/>
        </w:rPr>
      </w:pPr>
      <w:bookmarkStart w:id="146" w:name="_Toc16554"/>
      <w:r>
        <w:rPr>
          <w:rFonts w:hint="eastAsia" w:ascii="宋体" w:hAnsi="宋体" w:eastAsia="宋体" w:cs="宋体"/>
          <w:b/>
          <w:bCs/>
          <w:color w:val="auto"/>
          <w:spacing w:val="-3"/>
          <w:sz w:val="24"/>
          <w:szCs w:val="24"/>
          <w:highlight w:val="none"/>
        </w:rPr>
        <w:br w:type="page"/>
      </w:r>
    </w:p>
    <w:p w14:paraId="5C1476C7">
      <w:pPr>
        <w:spacing w:before="78" w:line="220" w:lineRule="auto"/>
        <w:ind w:left="9"/>
        <w:jc w:val="center"/>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6"/>
    </w:p>
    <w:p w14:paraId="2637533F">
      <w:pPr>
        <w:pStyle w:val="5"/>
        <w:spacing w:line="256" w:lineRule="auto"/>
        <w:rPr>
          <w:rFonts w:hint="eastAsia" w:ascii="宋体" w:hAnsi="宋体" w:eastAsia="宋体" w:cs="宋体"/>
          <w:color w:val="auto"/>
          <w:highlight w:val="none"/>
        </w:rPr>
      </w:pPr>
    </w:p>
    <w:p w14:paraId="16FA277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3B6FE9A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firstLineChars="200"/>
        <w:textAlignment w:val="baseline"/>
        <w:outlineLvl w:val="2"/>
        <w:rPr>
          <w:rFonts w:hint="eastAsia" w:ascii="宋体" w:hAnsi="宋体" w:eastAsia="宋体" w:cs="宋体"/>
          <w:color w:val="auto"/>
          <w:sz w:val="24"/>
          <w:szCs w:val="24"/>
          <w:highlight w:val="none"/>
        </w:rPr>
      </w:pPr>
      <w:bookmarkStart w:id="147" w:name="_Toc1508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lang w:val="en-US" w:eastAsia="zh-CN"/>
        </w:rPr>
        <w:t>.</w:t>
      </w:r>
      <w:r>
        <w:rPr>
          <w:rFonts w:hint="eastAsia" w:ascii="宋体" w:hAnsi="宋体" w:eastAsia="宋体" w:cs="宋体"/>
          <w:b/>
          <w:bCs/>
          <w:color w:val="auto"/>
          <w:spacing w:val="-8"/>
          <w:sz w:val="24"/>
          <w:szCs w:val="24"/>
          <w:highlight w:val="none"/>
        </w:rPr>
        <w:t>资格评审环节</w:t>
      </w:r>
      <w:bookmarkEnd w:id="147"/>
    </w:p>
    <w:p w14:paraId="51ABE52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9664B7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2C2FA14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）联合体投标，未提交《联合体协议书》的；擅自修改、遗漏《联合体协议书》实质性内容的；联合体成员的数量、资质不符合规定的；联合体成员同时以自己名义单独投标或者参加其他联合体投标的；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2EEE4F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4" w:firstLineChars="200"/>
        <w:textAlignment w:val="baseline"/>
        <w:outlineLvl w:val="2"/>
        <w:rPr>
          <w:rFonts w:hint="eastAsia" w:ascii="宋体" w:hAnsi="宋体" w:eastAsia="宋体" w:cs="宋体"/>
          <w:color w:val="auto"/>
          <w:sz w:val="24"/>
          <w:szCs w:val="24"/>
          <w:highlight w:val="none"/>
        </w:rPr>
      </w:pPr>
      <w:bookmarkStart w:id="148" w:name="_Toc592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lang w:val="en-US" w:eastAsia="zh-CN"/>
        </w:rPr>
        <w:t>.</w:t>
      </w:r>
      <w:r>
        <w:rPr>
          <w:rFonts w:hint="eastAsia" w:ascii="宋体" w:hAnsi="宋体" w:eastAsia="宋体" w:cs="宋体"/>
          <w:b/>
          <w:bCs/>
          <w:color w:val="auto"/>
          <w:spacing w:val="-7"/>
          <w:sz w:val="24"/>
          <w:szCs w:val="24"/>
          <w:highlight w:val="none"/>
        </w:rPr>
        <w:t>形式评审环节</w:t>
      </w:r>
      <w:bookmarkEnd w:id="148"/>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9AD0DA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8" w:firstLineChars="200"/>
        <w:textAlignment w:val="baseline"/>
        <w:outlineLvl w:val="2"/>
        <w:rPr>
          <w:rFonts w:hint="eastAsia" w:ascii="宋体" w:hAnsi="宋体" w:eastAsia="宋体" w:cs="宋体"/>
          <w:color w:val="auto"/>
          <w:sz w:val="24"/>
          <w:szCs w:val="24"/>
          <w:highlight w:val="none"/>
        </w:rPr>
      </w:pPr>
      <w:bookmarkStart w:id="149" w:name="_Toc19828"/>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lang w:val="en-US" w:eastAsia="zh-CN"/>
        </w:rPr>
        <w:t>.</w:t>
      </w:r>
      <w:r>
        <w:rPr>
          <w:rFonts w:hint="eastAsia" w:ascii="宋体" w:hAnsi="宋体" w:eastAsia="宋体" w:cs="宋体"/>
          <w:b/>
          <w:bCs/>
          <w:color w:val="auto"/>
          <w:spacing w:val="-6"/>
          <w:sz w:val="24"/>
          <w:szCs w:val="24"/>
          <w:highlight w:val="none"/>
        </w:rPr>
        <w:t>响应性评审环节</w:t>
      </w:r>
      <w:bookmarkEnd w:id="149"/>
    </w:p>
    <w:p w14:paraId="4686AB0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A36758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7740EF6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077F36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6" w:firstLineChars="200"/>
        <w:jc w:val="both"/>
        <w:textAlignment w:val="baseline"/>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2A683A4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3D7914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BE05ED8">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F2CAF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8" w:firstLineChars="200"/>
        <w:textAlignment w:val="baseline"/>
        <w:outlineLvl w:val="2"/>
        <w:rPr>
          <w:rFonts w:hint="eastAsia" w:ascii="宋体" w:hAnsi="宋体" w:eastAsia="宋体" w:cs="宋体"/>
          <w:color w:val="auto"/>
          <w:sz w:val="24"/>
          <w:szCs w:val="24"/>
          <w:highlight w:val="none"/>
        </w:rPr>
      </w:pPr>
      <w:bookmarkStart w:id="150" w:name="_Toc145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lang w:val="en-US" w:eastAsia="zh-CN"/>
        </w:rPr>
        <w:t>.</w:t>
      </w:r>
      <w:r>
        <w:rPr>
          <w:rFonts w:hint="eastAsia" w:ascii="宋体" w:hAnsi="宋体" w:eastAsia="宋体" w:cs="宋体"/>
          <w:b/>
          <w:bCs/>
          <w:color w:val="auto"/>
          <w:spacing w:val="-11"/>
          <w:sz w:val="24"/>
          <w:szCs w:val="24"/>
          <w:highlight w:val="none"/>
        </w:rPr>
        <w:t>其他</w:t>
      </w:r>
      <w:bookmarkEnd w:id="150"/>
    </w:p>
    <w:p w14:paraId="4300F4C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0DC4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BD88C6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r>
        <w:rPr>
          <w:rFonts w:hint="eastAsia" w:ascii="宋体" w:hAnsi="宋体" w:eastAsia="宋体" w:cs="宋体"/>
          <w:color w:val="auto"/>
          <w:spacing w:val="-6"/>
          <w:sz w:val="24"/>
          <w:szCs w:val="24"/>
          <w:highlight w:val="none"/>
          <w:lang w:eastAsia="zh-CN"/>
        </w:rPr>
        <w:t>；</w:t>
      </w:r>
    </w:p>
    <w:p w14:paraId="2AE1062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pacing w:val="-2"/>
          <w:sz w:val="24"/>
          <w:szCs w:val="24"/>
          <w:highlight w:val="none"/>
          <w:lang w:eastAsia="zh-CN"/>
        </w:rPr>
        <w:sectPr>
          <w:headerReference r:id="rId8" w:type="default"/>
          <w:footerReference r:id="rId9" w:type="default"/>
          <w:pgSz w:w="11906" w:h="16839"/>
          <w:pgMar w:top="1134" w:right="1134" w:bottom="1134" w:left="1134" w:header="567" w:footer="567"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2"/>
          <w:sz w:val="24"/>
          <w:szCs w:val="24"/>
          <w:highlight w:val="none"/>
        </w:rPr>
        <w:t>⑨监督部门于韶关市公共交易一体化平台发现系统提示风险预警，如提示投标单位上传投标文件使用的电脑IP地址一致等</w:t>
      </w:r>
      <w:r>
        <w:rPr>
          <w:rFonts w:hint="eastAsia" w:ascii="宋体" w:hAnsi="宋体" w:eastAsia="宋体" w:cs="宋体"/>
          <w:color w:val="auto"/>
          <w:spacing w:val="-2"/>
          <w:sz w:val="24"/>
          <w:szCs w:val="24"/>
          <w:highlight w:val="none"/>
          <w:lang w:eastAsia="zh-CN"/>
        </w:rPr>
        <w:t>。</w:t>
      </w:r>
    </w:p>
    <w:p w14:paraId="592EEFA9">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1"/>
        <w:rPr>
          <w:rFonts w:hint="eastAsia" w:ascii="宋体" w:hAnsi="宋体" w:eastAsia="宋体" w:cs="宋体"/>
          <w:color w:val="auto"/>
          <w:sz w:val="24"/>
          <w:szCs w:val="24"/>
          <w:highlight w:val="none"/>
        </w:rPr>
      </w:pPr>
      <w:bookmarkStart w:id="151" w:name="bookmark57"/>
      <w:bookmarkEnd w:id="151"/>
      <w:bookmarkStart w:id="152" w:name="_Toc2224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2"/>
    </w:p>
    <w:p w14:paraId="68BF1814">
      <w:pPr>
        <w:pStyle w:val="5"/>
        <w:spacing w:line="256" w:lineRule="auto"/>
        <w:rPr>
          <w:rFonts w:hint="eastAsia" w:ascii="宋体" w:hAnsi="宋体" w:eastAsia="宋体" w:cs="宋体"/>
          <w:color w:val="auto"/>
          <w:highlight w:val="none"/>
        </w:rPr>
      </w:pPr>
    </w:p>
    <w:p w14:paraId="10B417A3">
      <w:pPr>
        <w:keepNext w:val="0"/>
        <w:keepLines w:val="0"/>
        <w:pageBreakBefore w:val="0"/>
        <w:wordWrap/>
        <w:overflowPunct/>
        <w:topLinePunct w:val="0"/>
        <w:bidi w:val="0"/>
        <w:spacing w:line="360" w:lineRule="auto"/>
        <w:ind w:leftChars="0" w:firstLine="482" w:firstLineChars="200"/>
        <w:rPr>
          <w:rStyle w:val="20"/>
          <w:rFonts w:hint="eastAsia" w:ascii="宋体" w:hAnsi="宋体" w:eastAsia="宋体" w:cs="宋体"/>
          <w:b/>
          <w:bCs/>
          <w:color w:val="auto"/>
          <w:kern w:val="0"/>
          <w:sz w:val="24"/>
          <w:szCs w:val="24"/>
          <w:highlight w:val="none"/>
        </w:rPr>
      </w:pPr>
      <w:r>
        <w:rPr>
          <w:rStyle w:val="20"/>
          <w:rFonts w:hint="eastAsia" w:ascii="宋体" w:hAnsi="宋体" w:eastAsia="宋体" w:cs="宋体"/>
          <w:b/>
          <w:bCs/>
          <w:color w:val="auto"/>
          <w:kern w:val="0"/>
          <w:sz w:val="24"/>
          <w:szCs w:val="24"/>
          <w:highlight w:val="none"/>
          <w:lang w:val="en-US" w:eastAsia="zh-CN"/>
        </w:rPr>
        <w:t>1.</w:t>
      </w:r>
      <w:r>
        <w:rPr>
          <w:rStyle w:val="20"/>
          <w:rFonts w:hint="eastAsia" w:ascii="宋体" w:hAnsi="宋体" w:eastAsia="宋体" w:cs="宋体"/>
          <w:b/>
          <w:bCs/>
          <w:color w:val="auto"/>
          <w:kern w:val="0"/>
          <w:sz w:val="24"/>
          <w:szCs w:val="24"/>
          <w:highlight w:val="none"/>
          <w:lang w:eastAsia="zh-CN"/>
        </w:rPr>
        <w:t>确定</w:t>
      </w:r>
      <w:r>
        <w:rPr>
          <w:rStyle w:val="20"/>
          <w:rFonts w:hint="eastAsia" w:ascii="宋体" w:hAnsi="宋体" w:eastAsia="宋体" w:cs="宋体"/>
          <w:b/>
          <w:bCs/>
          <w:color w:val="auto"/>
          <w:kern w:val="0"/>
          <w:sz w:val="24"/>
          <w:szCs w:val="24"/>
          <w:highlight w:val="none"/>
        </w:rPr>
        <w:t>定标时间</w:t>
      </w:r>
    </w:p>
    <w:p w14:paraId="766A39D9">
      <w:pPr>
        <w:keepNext w:val="0"/>
        <w:keepLines w:val="0"/>
        <w:pageBreakBefore w:val="0"/>
        <w:wordWrap/>
        <w:overflowPunct/>
        <w:topLinePunct w:val="0"/>
        <w:bidi w:val="0"/>
        <w:spacing w:line="360" w:lineRule="auto"/>
        <w:ind w:leftChars="0" w:firstLine="480" w:firstLineChars="200"/>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招标人</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自</w:t>
      </w:r>
      <w:r>
        <w:rPr>
          <w:rStyle w:val="20"/>
          <w:rFonts w:hint="eastAsia" w:ascii="宋体" w:hAnsi="宋体" w:eastAsia="宋体" w:cs="宋体"/>
          <w:color w:val="auto"/>
          <w:kern w:val="0"/>
          <w:sz w:val="24"/>
          <w:szCs w:val="24"/>
          <w:highlight w:val="none"/>
          <w:lang w:val="en-US" w:eastAsia="zh-CN"/>
        </w:rPr>
        <w:t>定标候选人</w:t>
      </w:r>
      <w:r>
        <w:rPr>
          <w:rStyle w:val="20"/>
          <w:rFonts w:hint="eastAsia" w:ascii="宋体" w:hAnsi="宋体" w:eastAsia="宋体" w:cs="宋体"/>
          <w:color w:val="auto"/>
          <w:kern w:val="0"/>
          <w:sz w:val="24"/>
          <w:szCs w:val="24"/>
          <w:highlight w:val="none"/>
        </w:rPr>
        <w:t>公示期满后</w:t>
      </w:r>
      <w:r>
        <w:rPr>
          <w:rStyle w:val="20"/>
          <w:rFonts w:hint="eastAsia" w:ascii="宋体" w:hAnsi="宋体" w:eastAsia="宋体" w:cs="宋体"/>
          <w:color w:val="auto"/>
          <w:kern w:val="0"/>
          <w:sz w:val="24"/>
          <w:szCs w:val="24"/>
          <w:highlight w:val="none"/>
          <w:lang w:val="en-US" w:eastAsia="zh-CN"/>
        </w:rPr>
        <w:t>5</w:t>
      </w:r>
      <w:r>
        <w:rPr>
          <w:rStyle w:val="20"/>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通过公共资源交易平台公布延期原因和定标时间。</w:t>
      </w:r>
    </w:p>
    <w:p w14:paraId="5FB42728">
      <w:pPr>
        <w:keepNext w:val="0"/>
        <w:keepLines w:val="0"/>
        <w:pageBreakBefore w:val="0"/>
        <w:wordWrap/>
        <w:overflowPunct/>
        <w:topLinePunct w:val="0"/>
        <w:bidi w:val="0"/>
        <w:spacing w:line="360" w:lineRule="auto"/>
        <w:ind w:leftChars="0" w:firstLine="482" w:firstLineChars="200"/>
        <w:rPr>
          <w:rStyle w:val="20"/>
          <w:rFonts w:hint="eastAsia" w:ascii="宋体" w:hAnsi="宋体" w:eastAsia="宋体" w:cs="宋体"/>
          <w:b/>
          <w:bCs/>
          <w:color w:val="auto"/>
          <w:kern w:val="0"/>
          <w:sz w:val="24"/>
          <w:szCs w:val="24"/>
          <w:highlight w:val="none"/>
          <w:lang w:eastAsia="zh-CN"/>
        </w:rPr>
      </w:pPr>
      <w:r>
        <w:rPr>
          <w:rStyle w:val="20"/>
          <w:rFonts w:hint="eastAsia" w:ascii="宋体" w:hAnsi="宋体" w:eastAsia="宋体" w:cs="宋体"/>
          <w:b/>
          <w:bCs/>
          <w:color w:val="auto"/>
          <w:kern w:val="0"/>
          <w:sz w:val="24"/>
          <w:szCs w:val="24"/>
          <w:highlight w:val="none"/>
          <w:lang w:val="en-US" w:eastAsia="zh-CN"/>
        </w:rPr>
        <w:t>2</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定标委员会</w:t>
      </w:r>
    </w:p>
    <w:p w14:paraId="239D68EE">
      <w:pPr>
        <w:keepNext w:val="0"/>
        <w:keepLines w:val="0"/>
        <w:pageBreakBefore w:val="0"/>
        <w:wordWrap/>
        <w:overflowPunct/>
        <w:topLinePunct w:val="0"/>
        <w:bidi w:val="0"/>
        <w:spacing w:line="360" w:lineRule="auto"/>
        <w:ind w:leftChars="0"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2.1定标委员会由项目业主单位负责组建和管理。定标委员会的组成方式、组长和成员由项目业主单位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wordWrap/>
        <w:overflowPunct/>
        <w:topLinePunct w:val="0"/>
        <w:bidi w:val="0"/>
        <w:spacing w:line="360" w:lineRule="auto"/>
        <w:ind w:leftChars="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wordWrap/>
        <w:overflowPunct/>
        <w:topLinePunct w:val="0"/>
        <w:bidi w:val="0"/>
        <w:spacing w:line="360" w:lineRule="auto"/>
        <w:ind w:leftChars="0" w:firstLine="480" w:firstLineChars="200"/>
        <w:rPr>
          <w:rFonts w:hint="eastAsia" w:ascii="宋体" w:hAnsi="宋体" w:eastAsia="宋体" w:cs="宋体"/>
          <w:color w:val="auto"/>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2</w:t>
      </w:r>
      <w:r>
        <w:rPr>
          <w:rStyle w:val="20"/>
          <w:rFonts w:hint="eastAsia" w:ascii="宋体" w:hAnsi="宋体" w:eastAsia="宋体" w:cs="宋体"/>
          <w:color w:val="auto"/>
          <w:kern w:val="0"/>
          <w:sz w:val="24"/>
          <w:szCs w:val="24"/>
          <w:highlight w:val="none"/>
        </w:rPr>
        <w:t>.</w:t>
      </w:r>
      <w:r>
        <w:rPr>
          <w:rStyle w:val="20"/>
          <w:rFonts w:hint="eastAsia" w:ascii="宋体" w:hAnsi="宋体" w:eastAsia="宋体" w:cs="宋体"/>
          <w:color w:val="auto"/>
          <w:kern w:val="0"/>
          <w:sz w:val="24"/>
          <w:szCs w:val="24"/>
          <w:highlight w:val="none"/>
          <w:lang w:val="en-US" w:eastAsia="zh-CN"/>
        </w:rPr>
        <w:t>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wordWrap/>
        <w:overflowPunct/>
        <w:topLinePunct w:val="0"/>
        <w:bidi w:val="0"/>
        <w:spacing w:line="360" w:lineRule="auto"/>
        <w:ind w:leftChars="0"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3</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val="en-US" w:eastAsia="zh-CN"/>
        </w:rPr>
        <w:t>组建招标监督小组</w:t>
      </w:r>
    </w:p>
    <w:p w14:paraId="451680C4">
      <w:pPr>
        <w:keepNext w:val="0"/>
        <w:keepLines w:val="0"/>
        <w:pageBreakBefore w:val="0"/>
        <w:wordWrap/>
        <w:overflowPunct/>
        <w:topLinePunct w:val="0"/>
        <w:bidi w:val="0"/>
        <w:spacing w:line="360" w:lineRule="auto"/>
        <w:ind w:leftChars="0"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项目业主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wordWrap/>
        <w:overflowPunct/>
        <w:topLinePunct w:val="0"/>
        <w:bidi w:val="0"/>
        <w:spacing w:line="360" w:lineRule="auto"/>
        <w:ind w:leftChars="0" w:firstLine="482" w:firstLineChars="200"/>
        <w:jc w:val="left"/>
        <w:rPr>
          <w:rStyle w:val="20"/>
          <w:rFonts w:hint="eastAsia" w:ascii="宋体" w:hAnsi="宋体" w:eastAsia="宋体" w:cs="宋体"/>
          <w:b/>
          <w:bCs/>
          <w:color w:val="auto"/>
          <w:kern w:val="0"/>
          <w:sz w:val="24"/>
          <w:szCs w:val="24"/>
          <w:highlight w:val="none"/>
          <w:lang w:eastAsia="zh-CN"/>
        </w:rPr>
      </w:pPr>
      <w:r>
        <w:rPr>
          <w:rStyle w:val="20"/>
          <w:rFonts w:hint="eastAsia" w:ascii="宋体" w:hAnsi="宋体" w:eastAsia="宋体" w:cs="宋体"/>
          <w:b/>
          <w:bCs/>
          <w:color w:val="auto"/>
          <w:kern w:val="0"/>
          <w:sz w:val="24"/>
          <w:szCs w:val="24"/>
          <w:highlight w:val="none"/>
          <w:lang w:val="en-US" w:eastAsia="zh-CN"/>
        </w:rPr>
        <w:t>4</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定标办法</w:t>
      </w:r>
    </w:p>
    <w:p w14:paraId="65B6341F">
      <w:pPr>
        <w:keepNext w:val="0"/>
        <w:keepLines w:val="0"/>
        <w:pageBreakBefore w:val="0"/>
        <w:wordWrap/>
        <w:overflowPunct/>
        <w:topLinePunct w:val="0"/>
        <w:bidi w:val="0"/>
        <w:spacing w:line="360" w:lineRule="auto"/>
        <w:ind w:leftChars="0"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2E09F1EC">
      <w:pPr>
        <w:keepNext w:val="0"/>
        <w:keepLines w:val="0"/>
        <w:pageBreakBefore w:val="0"/>
        <w:wordWrap/>
        <w:overflowPunct/>
        <w:topLinePunct w:val="0"/>
        <w:bidi w:val="0"/>
        <w:spacing w:line="360" w:lineRule="auto"/>
        <w:ind w:leftChars="0" w:firstLine="482" w:firstLineChars="200"/>
        <w:rPr>
          <w:rFonts w:hint="eastAsia" w:ascii="宋体" w:hAnsi="宋体" w:eastAsia="宋体" w:cs="宋体"/>
          <w:color w:val="auto"/>
          <w:sz w:val="24"/>
          <w:szCs w:val="24"/>
          <w:highlight w:val="none"/>
        </w:rPr>
      </w:pPr>
      <w:bookmarkStart w:id="153" w:name="OLE_LINK3"/>
      <w:r>
        <w:rPr>
          <w:rFonts w:hint="eastAsia" w:ascii="宋体" w:hAnsi="宋体" w:eastAsia="宋体" w:cs="宋体"/>
          <w:b/>
          <w:bCs/>
          <w:color w:val="auto"/>
          <w:sz w:val="24"/>
          <w:szCs w:val="24"/>
          <w:highlight w:val="none"/>
          <w:lang w:val="en-US" w:eastAsia="zh-CN"/>
        </w:rPr>
        <w:t>本项目</w:t>
      </w:r>
      <w:bookmarkEnd w:id="153"/>
      <w:r>
        <w:rPr>
          <w:rFonts w:hint="eastAsia" w:ascii="宋体" w:hAnsi="宋体" w:eastAsia="宋体" w:cs="宋体"/>
          <w:b/>
          <w:bCs/>
          <w:color w:val="auto"/>
          <w:sz w:val="24"/>
          <w:szCs w:val="24"/>
          <w:highlight w:val="none"/>
          <w:lang w:val="en-US" w:eastAsia="zh-CN"/>
        </w:rPr>
        <w:t>采用票决数量法定标。</w:t>
      </w:r>
    </w:p>
    <w:p w14:paraId="7DC142B9">
      <w:pPr>
        <w:keepNext w:val="0"/>
        <w:keepLines w:val="0"/>
        <w:pageBreakBefore w:val="0"/>
        <w:wordWrap/>
        <w:overflowPunct/>
        <w:topLinePunct w:val="0"/>
        <w:bidi w:val="0"/>
        <w:spacing w:line="360" w:lineRule="auto"/>
        <w:ind w:leftChars="0"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5.定标细则</w:t>
      </w:r>
    </w:p>
    <w:p w14:paraId="21B82F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40D9E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31594E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2B6320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65146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8D62039">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7F60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3D9FAC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6F04EC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73597560">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42C77B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6C6211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546EFB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定标因素和相对标准有以下几个方面：</w:t>
      </w:r>
    </w:p>
    <w:p w14:paraId="49A4D35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71DC838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5EF18E2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60CE3D8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3A0528D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（3）农民工工资保障情况</w:t>
      </w:r>
    </w:p>
    <w:p w14:paraId="30DE0FA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相对标准：农民工工资保障情况好的定标候选人优于农民工工资保障情况差的定标候选人（结合定标候选人提交的证明材料和招标人查询的材料进行评审）。</w:t>
      </w:r>
    </w:p>
    <w:p w14:paraId="28F5FBF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（4）企业实力</w:t>
      </w:r>
    </w:p>
    <w:p w14:paraId="6FC9A7A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实力包括企业规模较大、行业主管部门的行业排名比较靠前（如有）、资质等级较高、专业技术人员规模较大、过往业绩（含业绩影响力、难易程度）等方面较多、按时按质完成项目的能力较强、施工期间现场服务及时性较强的定标候选人优于企业实力包括企业规模较小、行业主管部门的行业排名比较靠后（如有）、资质等级较低、专业技术人员规模较小、过往业绩（含业绩影响力、难易程度）等方面较少、按时按质完成项目的能力较弱、施工期间现场服务及时性较弱的定标候选人。</w:t>
      </w:r>
    </w:p>
    <w:p w14:paraId="3BB35C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（5）技术方案</w:t>
      </w:r>
    </w:p>
    <w:p w14:paraId="4717037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技术方案的定标候选人优于技术方案一般的定标候选人。（技术方案对保证措施、施工计划和技术、工艺及工程项目实施的重点、难点分析和解决方案、安全文明施工措施、新技术应用、质量保证和违约责任承诺等的充分考虑，技术方案合理性、科学性、表述清晰、完整、具体、有效并实施可行。）</w:t>
      </w:r>
    </w:p>
    <w:p w14:paraId="71D5B7EE">
      <w:pPr>
        <w:pStyle w:val="2"/>
        <w:keepNext/>
        <w:keepLines/>
        <w:pageBreakBefore w:val="0"/>
        <w:widowControl/>
        <w:kinsoku w:val="0"/>
        <w:wordWrap/>
        <w:overflowPunct/>
        <w:topLinePunct w:val="0"/>
        <w:autoSpaceDE w:val="0"/>
        <w:autoSpaceDN w:val="0"/>
        <w:bidi w:val="0"/>
        <w:adjustRightInd w:val="0"/>
        <w:snapToGrid w:val="0"/>
        <w:spacing w:line="375" w:lineRule="auto"/>
        <w:ind w:firstLine="480" w:firstLineChars="200"/>
        <w:textAlignment w:val="baseline"/>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（6）评标报告</w:t>
      </w:r>
    </w:p>
    <w:p w14:paraId="33ADCF35">
      <w:pPr>
        <w:pStyle w:val="2"/>
        <w:keepNext/>
        <w:keepLines/>
        <w:pageBreakBefore w:val="0"/>
        <w:widowControl/>
        <w:kinsoku w:val="0"/>
        <w:wordWrap/>
        <w:overflowPunct/>
        <w:topLinePunct w:val="0"/>
        <w:autoSpaceDE w:val="0"/>
        <w:autoSpaceDN w:val="0"/>
        <w:bidi w:val="0"/>
        <w:adjustRightInd w:val="0"/>
        <w:snapToGrid w:val="0"/>
        <w:spacing w:line="375" w:lineRule="auto"/>
        <w:ind w:firstLine="480" w:firstLineChars="200"/>
        <w:textAlignment w:val="baseline"/>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59CB2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3FF6B9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0"/>
          <w:rFonts w:hint="eastAsia" w:ascii="宋体" w:hAnsi="宋体" w:eastAsia="宋体" w:cs="宋体"/>
          <w:b w:val="0"/>
          <w:bCs w:val="0"/>
          <w:color w:val="auto"/>
          <w:kern w:val="0"/>
          <w:sz w:val="24"/>
          <w:szCs w:val="24"/>
          <w:highlight w:val="none"/>
          <w:lang w:val="en-US" w:eastAsia="zh-CN"/>
        </w:rPr>
        <w:t>后</w:t>
      </w:r>
      <w:r>
        <w:rPr>
          <w:rStyle w:val="20"/>
          <w:rFonts w:hint="eastAsia" w:ascii="宋体" w:hAnsi="宋体" w:eastAsia="宋体" w:cs="宋体"/>
          <w:color w:val="auto"/>
          <w:kern w:val="0"/>
          <w:sz w:val="24"/>
          <w:szCs w:val="24"/>
          <w:highlight w:val="none"/>
          <w:lang w:val="en-US" w:eastAsia="zh-CN"/>
        </w:rPr>
        <w:t>，招标人应于定标会结束后3日内将中标候选人和定标情况在广东省招标投标监管网和韶关市公共资源交易中心工程交易系统上公示，公示时间不少于3日。公示主要内容包括：定标报告（定标成员信息除外）、中标人名单、中标价和拟投入本项目的项目负责人、技术负责人及各专业负责人（如有）等内容。</w:t>
      </w:r>
    </w:p>
    <w:p w14:paraId="030EA7EB">
      <w:pPr>
        <w:keepNext w:val="0"/>
        <w:keepLines w:val="0"/>
        <w:pageBreakBefore w:val="0"/>
        <w:wordWrap/>
        <w:overflowPunct/>
        <w:topLinePunct w:val="0"/>
        <w:bidi w:val="0"/>
        <w:spacing w:line="360" w:lineRule="auto"/>
        <w:rPr>
          <w:rFonts w:hint="eastAsia"/>
          <w:color w:val="auto"/>
          <w:sz w:val="24"/>
          <w:szCs w:val="24"/>
          <w:highlight w:val="none"/>
          <w:lang w:val="en-US" w:eastAsia="zh-CN"/>
        </w:rPr>
      </w:pPr>
    </w:p>
    <w:p w14:paraId="4AEC3161">
      <w:pPr>
        <w:rPr>
          <w:rFonts w:hint="eastAsia" w:ascii="宋体" w:hAnsi="宋体" w:eastAsia="宋体" w:cs="宋体"/>
          <w:b/>
          <w:bCs/>
          <w:color w:val="auto"/>
          <w:spacing w:val="-7"/>
          <w:sz w:val="24"/>
          <w:szCs w:val="24"/>
          <w:highlight w:val="none"/>
        </w:rPr>
      </w:pPr>
    </w:p>
    <w:p w14:paraId="125A965B">
      <w:pPr>
        <w:spacing w:before="78" w:line="360" w:lineRule="auto"/>
        <w:ind w:left="9"/>
        <w:jc w:val="center"/>
        <w:outlineLvl w:val="1"/>
        <w:rPr>
          <w:rFonts w:hint="eastAsia" w:ascii="宋体" w:hAnsi="宋体" w:eastAsia="宋体" w:cs="宋体"/>
          <w:b/>
          <w:bCs/>
          <w:color w:val="auto"/>
          <w:spacing w:val="-3"/>
          <w:sz w:val="24"/>
          <w:szCs w:val="24"/>
          <w:highlight w:val="none"/>
          <w:lang w:val="en-US" w:eastAsia="zh-CN"/>
        </w:rPr>
      </w:pPr>
      <w:bookmarkStart w:id="154" w:name="_Toc209"/>
      <w:bookmarkStart w:id="155" w:name="_Toc4926"/>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4"/>
      <w:bookmarkEnd w:id="155"/>
    </w:p>
    <w:p w14:paraId="276CA9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14:paraId="3A29BA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14:paraId="2EA71A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58F427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507522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pStyle w:val="12"/>
        <w:keepNext w:val="0"/>
        <w:keepLines w:val="0"/>
        <w:pageBreakBefore w:val="0"/>
        <w:widowControl w:val="0"/>
        <w:shd w:val="clear" w:color="auto" w:fill="auto"/>
        <w:kinsoku/>
        <w:wordWrap/>
        <w:overflowPunct/>
        <w:topLinePunct w:val="0"/>
        <w:bidi w:val="0"/>
        <w:adjustRightInd/>
        <w:snapToGrid/>
        <w:spacing w:before="0" w:beforeAutospacing="0" w:after="0" w:afterAutospacing="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56" w:name="_Toc236550039"/>
      <w:r>
        <w:rPr>
          <w:rStyle w:val="17"/>
          <w:rFonts w:hint="eastAsia" w:ascii="宋体" w:hAnsi="宋体" w:eastAsia="宋体" w:cs="宋体"/>
          <w:b/>
          <w:bCs/>
          <w:i w:val="0"/>
          <w:color w:val="auto"/>
          <w:sz w:val="24"/>
          <w:szCs w:val="24"/>
          <w:highlight w:val="none"/>
          <w:lang w:val="en-US" w:eastAsia="zh-CN"/>
        </w:rPr>
        <w:t>3</w:t>
      </w:r>
      <w:r>
        <w:rPr>
          <w:rStyle w:val="17"/>
          <w:rFonts w:hint="eastAsia" w:ascii="宋体" w:hAnsi="宋体" w:eastAsia="宋体" w:cs="宋体"/>
          <w:b/>
          <w:bCs/>
          <w:i w:val="0"/>
          <w:color w:val="auto"/>
          <w:sz w:val="24"/>
          <w:szCs w:val="24"/>
          <w:highlight w:val="none"/>
        </w:rPr>
        <w:t>．废除授标</w:t>
      </w:r>
      <w:bookmarkEnd w:id="156"/>
      <w:r>
        <w:rPr>
          <w:rStyle w:val="17"/>
          <w:rFonts w:hint="eastAsia" w:ascii="宋体" w:hAnsi="宋体" w:eastAsia="宋体" w:cs="宋体"/>
          <w:b/>
          <w:bCs/>
          <w:i w:val="0"/>
          <w:color w:val="auto"/>
          <w:sz w:val="24"/>
          <w:szCs w:val="24"/>
          <w:highlight w:val="none"/>
        </w:rPr>
        <w:t>及授标</w:t>
      </w:r>
    </w:p>
    <w:p w14:paraId="0362AA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2CBAA0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4BDE8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6C85C9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7C70DC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7AB9C1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6044F1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0B03F6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55A8F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BE77A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4E951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6FB071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2A329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E11F3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196BBA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5913D6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541DA4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06AE4C69">
      <w:pPr>
        <w:keepNext w:val="0"/>
        <w:keepLines w:val="0"/>
        <w:pageBreakBefore w:val="0"/>
        <w:wordWrap/>
        <w:overflowPunct/>
        <w:topLinePunct w:val="0"/>
        <w:bidi w:val="0"/>
        <w:spacing w:line="360" w:lineRule="auto"/>
        <w:rPr>
          <w:rFonts w:hint="eastAsia"/>
          <w:color w:val="auto"/>
          <w:sz w:val="24"/>
          <w:szCs w:val="24"/>
          <w:highlight w:val="none"/>
        </w:rPr>
        <w:sectPr>
          <w:endnotePr>
            <w:numFmt w:val="decimal"/>
          </w:endnotePr>
          <w:pgSz w:w="11906" w:h="16838"/>
          <w:pgMar w:top="1247" w:right="1304" w:bottom="1247" w:left="1304" w:header="850" w:footer="544" w:gutter="0"/>
          <w:cols w:space="720" w:num="1"/>
          <w:rtlGutter w:val="0"/>
          <w:docGrid w:linePitch="327" w:charSpace="0"/>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57" w:name="_Toc136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7"/>
    </w:p>
    <w:p w14:paraId="0D76B119">
      <w:pPr>
        <w:keepNext w:val="0"/>
        <w:keepLines w:val="0"/>
        <w:pageBreakBefore w:val="0"/>
        <w:widowControl/>
        <w:kinsoku w:val="0"/>
        <w:overflowPunct/>
        <w:topLinePunct w:val="0"/>
        <w:autoSpaceDE w:val="0"/>
        <w:autoSpaceDN w:val="0"/>
        <w:bidi w:val="0"/>
        <w:adjustRightInd w:val="0"/>
        <w:snapToGrid w:val="0"/>
        <w:spacing w:line="360" w:lineRule="auto"/>
        <w:ind w:left="0" w:right="0" w:firstLine="446" w:firstLineChars="200"/>
        <w:textAlignment w:val="baseline"/>
        <w:outlineLvl w:val="2"/>
        <w:rPr>
          <w:rFonts w:hint="eastAsia" w:ascii="宋体" w:hAnsi="宋体" w:eastAsia="宋体" w:cs="宋体"/>
          <w:color w:val="auto"/>
          <w:sz w:val="24"/>
          <w:szCs w:val="24"/>
          <w:highlight w:val="none"/>
        </w:rPr>
      </w:pPr>
      <w:bookmarkStart w:id="158" w:name="_Toc21697"/>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lang w:val="en-US" w:eastAsia="zh-CN"/>
        </w:rPr>
        <w:t>.</w:t>
      </w:r>
      <w:r>
        <w:rPr>
          <w:rFonts w:hint="eastAsia" w:ascii="宋体" w:hAnsi="宋体" w:eastAsia="宋体" w:cs="宋体"/>
          <w:b/>
          <w:bCs/>
          <w:color w:val="auto"/>
          <w:spacing w:val="-9"/>
          <w:sz w:val="24"/>
          <w:szCs w:val="24"/>
          <w:highlight w:val="none"/>
        </w:rPr>
        <w:t>中标通知书</w:t>
      </w:r>
      <w:bookmarkEnd w:id="158"/>
    </w:p>
    <w:p w14:paraId="32F31BA3">
      <w:pPr>
        <w:keepNext w:val="0"/>
        <w:keepLines w:val="0"/>
        <w:pageBreakBefore w:val="0"/>
        <w:widowControl/>
        <w:kinsoku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13B0F34">
      <w:pPr>
        <w:pStyle w:val="5"/>
        <w:keepNext w:val="0"/>
        <w:keepLines w:val="0"/>
        <w:pageBreakBefore w:val="0"/>
        <w:widowControl/>
        <w:kinsoku w:val="0"/>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highlight w:val="none"/>
        </w:rPr>
      </w:pPr>
    </w:p>
    <w:p w14:paraId="05CE895D">
      <w:pPr>
        <w:keepNext w:val="0"/>
        <w:keepLines w:val="0"/>
        <w:pageBreakBefore w:val="0"/>
        <w:widowControl/>
        <w:kinsoku w:val="0"/>
        <w:overflowPunct/>
        <w:topLinePunct w:val="0"/>
        <w:autoSpaceDE w:val="0"/>
        <w:autoSpaceDN w:val="0"/>
        <w:bidi w:val="0"/>
        <w:adjustRightInd w:val="0"/>
        <w:snapToGrid w:val="0"/>
        <w:spacing w:line="360" w:lineRule="auto"/>
        <w:ind w:left="0" w:right="0" w:firstLine="454" w:firstLineChars="200"/>
        <w:textAlignment w:val="baseline"/>
        <w:outlineLvl w:val="2"/>
        <w:rPr>
          <w:rFonts w:hint="eastAsia" w:ascii="宋体" w:hAnsi="宋体" w:eastAsia="宋体" w:cs="宋体"/>
          <w:color w:val="auto"/>
          <w:sz w:val="24"/>
          <w:szCs w:val="24"/>
          <w:highlight w:val="none"/>
        </w:rPr>
      </w:pPr>
      <w:bookmarkStart w:id="159" w:name="_Toc97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lang w:val="en-US" w:eastAsia="zh-CN"/>
        </w:rPr>
        <w:t>.</w:t>
      </w:r>
      <w:r>
        <w:rPr>
          <w:rFonts w:hint="eastAsia" w:ascii="宋体" w:hAnsi="宋体" w:eastAsia="宋体" w:cs="宋体"/>
          <w:b/>
          <w:bCs/>
          <w:color w:val="auto"/>
          <w:spacing w:val="-7"/>
          <w:sz w:val="24"/>
          <w:szCs w:val="24"/>
          <w:highlight w:val="none"/>
        </w:rPr>
        <w:t>中标结果公示</w:t>
      </w:r>
      <w:bookmarkEnd w:id="159"/>
    </w:p>
    <w:p w14:paraId="3A691EA9">
      <w:pPr>
        <w:keepNext w:val="0"/>
        <w:keepLines w:val="0"/>
        <w:pageBreakBefore w:val="0"/>
        <w:widowControl/>
        <w:kinsoku w:val="0"/>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48284D2A">
      <w:pPr>
        <w:pStyle w:val="5"/>
        <w:keepNext w:val="0"/>
        <w:keepLines w:val="0"/>
        <w:pageBreakBefore w:val="0"/>
        <w:widowControl/>
        <w:kinsoku w:val="0"/>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highlight w:val="none"/>
        </w:rPr>
      </w:pPr>
    </w:p>
    <w:p w14:paraId="7F9996BC">
      <w:pPr>
        <w:keepNext w:val="0"/>
        <w:keepLines w:val="0"/>
        <w:pageBreakBefore w:val="0"/>
        <w:widowControl/>
        <w:kinsoku w:val="0"/>
        <w:overflowPunct/>
        <w:topLinePunct w:val="0"/>
        <w:autoSpaceDE w:val="0"/>
        <w:autoSpaceDN w:val="0"/>
        <w:bidi w:val="0"/>
        <w:adjustRightInd w:val="0"/>
        <w:snapToGrid w:val="0"/>
        <w:spacing w:line="360" w:lineRule="auto"/>
        <w:ind w:left="0" w:right="0" w:firstLine="450" w:firstLineChars="200"/>
        <w:textAlignment w:val="baseline"/>
        <w:outlineLvl w:val="2"/>
        <w:rPr>
          <w:rFonts w:hint="eastAsia" w:ascii="宋体" w:hAnsi="宋体" w:eastAsia="宋体" w:cs="宋体"/>
          <w:color w:val="auto"/>
          <w:sz w:val="24"/>
          <w:szCs w:val="24"/>
          <w:highlight w:val="none"/>
        </w:rPr>
      </w:pPr>
      <w:bookmarkStart w:id="160" w:name="_Toc1314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lang w:val="en-US" w:eastAsia="zh-CN"/>
        </w:rPr>
        <w:t>.</w:t>
      </w:r>
      <w:r>
        <w:rPr>
          <w:rFonts w:hint="eastAsia" w:ascii="宋体" w:hAnsi="宋体" w:eastAsia="宋体" w:cs="宋体"/>
          <w:b/>
          <w:bCs/>
          <w:color w:val="auto"/>
          <w:spacing w:val="-8"/>
          <w:sz w:val="24"/>
          <w:szCs w:val="24"/>
          <w:highlight w:val="none"/>
        </w:rPr>
        <w:t>履约保证</w:t>
      </w:r>
      <w:bookmarkEnd w:id="160"/>
    </w:p>
    <w:p w14:paraId="2A654F7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0000FF"/>
          <w:spacing w:val="-3"/>
          <w:sz w:val="24"/>
          <w:szCs w:val="24"/>
          <w:highlight w:val="none"/>
        </w:rPr>
        <w:t>中标人须在领取中标通知书之日起</w:t>
      </w:r>
      <w:r>
        <w:rPr>
          <w:rFonts w:hint="eastAsia" w:ascii="宋体" w:hAnsi="宋体" w:eastAsia="宋体" w:cs="宋体"/>
          <w:color w:val="0000FF"/>
          <w:spacing w:val="-3"/>
          <w:sz w:val="24"/>
          <w:szCs w:val="24"/>
          <w:highlight w:val="none"/>
          <w:u w:val="single"/>
          <w:lang w:val="en-US" w:eastAsia="zh-CN"/>
        </w:rPr>
        <w:t xml:space="preserve"> 10 </w:t>
      </w:r>
      <w:r>
        <w:rPr>
          <w:rFonts w:hint="eastAsia" w:ascii="宋体" w:hAnsi="宋体" w:eastAsia="宋体" w:cs="宋体"/>
          <w:color w:val="0000FF"/>
          <w:spacing w:val="-3"/>
          <w:sz w:val="24"/>
          <w:szCs w:val="24"/>
          <w:highlight w:val="none"/>
        </w:rPr>
        <w:t>个工作日内、签订合同前向招标人提交金额</w:t>
      </w:r>
      <w:r>
        <w:rPr>
          <w:rFonts w:hint="eastAsia" w:ascii="宋体" w:hAnsi="宋体" w:eastAsia="宋体" w:cs="宋体"/>
          <w:color w:val="0000FF"/>
          <w:spacing w:val="-1"/>
          <w:position w:val="2"/>
          <w:sz w:val="24"/>
          <w:szCs w:val="24"/>
          <w:highlight w:val="none"/>
        </w:rPr>
        <w:t>为中标价</w:t>
      </w:r>
      <w:r>
        <w:rPr>
          <w:rFonts w:hint="eastAsia" w:ascii="宋体" w:hAnsi="宋体" w:eastAsia="宋体" w:cs="宋体"/>
          <w:color w:val="0000FF"/>
          <w:spacing w:val="-1"/>
          <w:position w:val="2"/>
          <w:sz w:val="24"/>
          <w:szCs w:val="24"/>
          <w:highlight w:val="none"/>
          <w:u w:val="single"/>
          <w:lang w:val="en-US" w:eastAsia="zh-CN"/>
        </w:rPr>
        <w:t xml:space="preserve"> 5</w:t>
      </w:r>
      <w:r>
        <w:rPr>
          <w:rFonts w:hint="eastAsia" w:ascii="宋体" w:hAnsi="宋体" w:eastAsia="宋体" w:cs="宋体"/>
          <w:color w:val="0000FF"/>
          <w:spacing w:val="-1"/>
          <w:position w:val="2"/>
          <w:sz w:val="24"/>
          <w:szCs w:val="24"/>
          <w:highlight w:val="none"/>
          <w:u w:val="single"/>
        </w:rPr>
        <w:t xml:space="preserve">%  </w:t>
      </w:r>
      <w:r>
        <w:rPr>
          <w:rFonts w:hint="eastAsia" w:ascii="宋体" w:hAnsi="宋体" w:eastAsia="宋体" w:cs="宋体"/>
          <w:color w:val="0000FF"/>
          <w:spacing w:val="-1"/>
          <w:position w:val="2"/>
          <w:sz w:val="24"/>
          <w:szCs w:val="24"/>
          <w:highlight w:val="none"/>
        </w:rPr>
        <w:t>的履约保证。</w:t>
      </w:r>
      <w:r>
        <w:rPr>
          <w:rFonts w:hint="eastAsia" w:ascii="宋体" w:hAnsi="宋体" w:eastAsia="宋体" w:cs="宋体"/>
          <w:color w:val="auto"/>
          <w:spacing w:val="-1"/>
          <w:position w:val="2"/>
          <w:sz w:val="24"/>
          <w:szCs w:val="24"/>
          <w:highlight w:val="none"/>
        </w:rPr>
        <w:t>联合体中标的，由联合体牵头人提交。</w:t>
      </w:r>
    </w:p>
    <w:p w14:paraId="63F343AD">
      <w:pPr>
        <w:keepNext w:val="0"/>
        <w:keepLines w:val="0"/>
        <w:pageBreakBefore w:val="0"/>
        <w:widowControl/>
        <w:kinsoku w:val="0"/>
        <w:overflowPunct/>
        <w:topLinePunct w:val="0"/>
        <w:autoSpaceDE w:val="0"/>
        <w:autoSpaceDN w:val="0"/>
        <w:bidi w:val="0"/>
        <w:adjustRightInd w:val="0"/>
        <w:snapToGrid w:val="0"/>
        <w:spacing w:line="360" w:lineRule="auto"/>
        <w:ind w:left="0" w:right="0" w:firstLine="486" w:firstLineChars="200"/>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78DED6D5">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keepNext w:val="0"/>
        <w:keepLines w:val="0"/>
        <w:pageBreakBefore w:val="0"/>
        <w:widowControl/>
        <w:kinsoku w:val="0"/>
        <w:overflowPunct/>
        <w:topLinePunct w:val="0"/>
        <w:autoSpaceDE w:val="0"/>
        <w:autoSpaceDN w:val="0"/>
        <w:bidi w:val="0"/>
        <w:adjustRightInd w:val="0"/>
        <w:snapToGrid w:val="0"/>
        <w:spacing w:line="360" w:lineRule="auto"/>
        <w:ind w:left="0" w:right="0" w:firstLine="46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keepNext w:val="0"/>
        <w:keepLines w:val="0"/>
        <w:pageBreakBefore w:val="0"/>
        <w:widowControl/>
        <w:kinsoku w:val="0"/>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keepNext w:val="0"/>
        <w:keepLines w:val="0"/>
        <w:pageBreakBefore w:val="0"/>
        <w:widowControl/>
        <w:kinsoku w:val="0"/>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76295654">
      <w:pPr>
        <w:keepNext w:val="0"/>
        <w:keepLines w:val="0"/>
        <w:pageBreakBefore w:val="0"/>
        <w:widowControl/>
        <w:kinsoku w:val="0"/>
        <w:overflowPunct/>
        <w:topLinePunct w:val="0"/>
        <w:autoSpaceDE w:val="0"/>
        <w:autoSpaceDN w:val="0"/>
        <w:bidi w:val="0"/>
        <w:adjustRightInd w:val="0"/>
        <w:snapToGrid w:val="0"/>
        <w:spacing w:line="360" w:lineRule="auto"/>
        <w:ind w:left="0" w:right="0" w:firstLine="450" w:firstLineChars="200"/>
        <w:textAlignment w:val="baseline"/>
        <w:outlineLvl w:val="2"/>
        <w:rPr>
          <w:rFonts w:hint="eastAsia" w:ascii="宋体" w:hAnsi="宋体" w:eastAsia="宋体" w:cs="宋体"/>
          <w:b/>
          <w:bCs/>
          <w:color w:val="auto"/>
          <w:spacing w:val="-8"/>
          <w:sz w:val="24"/>
          <w:szCs w:val="24"/>
          <w:highlight w:val="none"/>
        </w:rPr>
      </w:pPr>
      <w:bookmarkStart w:id="161" w:name="_Toc133"/>
    </w:p>
    <w:p w14:paraId="1374047A">
      <w:pPr>
        <w:keepNext w:val="0"/>
        <w:keepLines w:val="0"/>
        <w:pageBreakBefore w:val="0"/>
        <w:widowControl/>
        <w:kinsoku w:val="0"/>
        <w:overflowPunct/>
        <w:topLinePunct w:val="0"/>
        <w:autoSpaceDE w:val="0"/>
        <w:autoSpaceDN w:val="0"/>
        <w:bidi w:val="0"/>
        <w:adjustRightInd w:val="0"/>
        <w:snapToGrid w:val="0"/>
        <w:spacing w:line="360" w:lineRule="auto"/>
        <w:ind w:left="0" w:right="0" w:firstLine="450" w:firstLineChars="200"/>
        <w:textAlignment w:val="baseline"/>
        <w:outlineLvl w:val="2"/>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lang w:val="en-US" w:eastAsia="zh-CN"/>
        </w:rPr>
        <w:t>.</w:t>
      </w:r>
      <w:r>
        <w:rPr>
          <w:rFonts w:hint="eastAsia" w:ascii="宋体" w:hAnsi="宋体" w:eastAsia="宋体" w:cs="宋体"/>
          <w:b/>
          <w:bCs/>
          <w:color w:val="auto"/>
          <w:spacing w:val="-8"/>
          <w:sz w:val="24"/>
          <w:szCs w:val="24"/>
          <w:highlight w:val="none"/>
        </w:rPr>
        <w:t>合同订立</w:t>
      </w:r>
      <w:bookmarkEnd w:id="161"/>
    </w:p>
    <w:p w14:paraId="1A200521">
      <w:pPr>
        <w:keepNext w:val="0"/>
        <w:keepLines w:val="0"/>
        <w:pageBreakBefore w:val="0"/>
        <w:widowControl/>
        <w:kinsoku w:val="0"/>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keepNext w:val="0"/>
        <w:keepLines w:val="0"/>
        <w:pageBreakBefore w:val="0"/>
        <w:widowControl/>
        <w:kinsoku w:val="0"/>
        <w:overflowPunct/>
        <w:topLinePunct w:val="0"/>
        <w:autoSpaceDE w:val="0"/>
        <w:autoSpaceDN w:val="0"/>
        <w:bidi w:val="0"/>
        <w:adjustRightInd w:val="0"/>
        <w:snapToGrid w:val="0"/>
        <w:spacing w:line="360" w:lineRule="auto"/>
        <w:ind w:left="0" w:right="0"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keepNext w:val="0"/>
        <w:keepLines w:val="0"/>
        <w:pageBreakBefore w:val="0"/>
        <w:widowControl/>
        <w:kinsoku w:val="0"/>
        <w:overflowPunct/>
        <w:topLinePunct w:val="0"/>
        <w:autoSpaceDE w:val="0"/>
        <w:autoSpaceDN w:val="0"/>
        <w:bidi w:val="0"/>
        <w:adjustRightInd w:val="0"/>
        <w:snapToGrid w:val="0"/>
        <w:spacing w:line="360" w:lineRule="auto"/>
        <w:ind w:left="0" w:right="0" w:firstLine="48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4.2.1 </w:t>
      </w:r>
      <w:r>
        <w:rPr>
          <w:rFonts w:hint="eastAsia" w:ascii="宋体" w:hAnsi="宋体" w:eastAsia="宋体" w:cs="宋体"/>
          <w:b w:val="0"/>
          <w:bCs w:val="0"/>
          <w:color w:val="auto"/>
          <w:spacing w:val="1"/>
          <w:sz w:val="24"/>
          <w:szCs w:val="24"/>
          <w:highlight w:val="none"/>
        </w:rPr>
        <w:t>合同订立期间，在不改变中标人的投标总价的前提下，招标人应对中标人的</w:t>
      </w:r>
      <w:r>
        <w:rPr>
          <w:rFonts w:hint="eastAsia" w:ascii="宋体" w:hAnsi="宋体" w:eastAsia="宋体" w:cs="宋体"/>
          <w:b w:val="0"/>
          <w:bCs w:val="0"/>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4CE5699A">
      <w:pPr>
        <w:keepNext w:val="0"/>
        <w:keepLines w:val="0"/>
        <w:pageBreakBefore w:val="0"/>
        <w:widowControl/>
        <w:kinsoku w:val="0"/>
        <w:overflowPunct/>
        <w:topLinePunct w:val="0"/>
        <w:autoSpaceDE w:val="0"/>
        <w:autoSpaceDN w:val="0"/>
        <w:bidi w:val="0"/>
        <w:adjustRightInd w:val="0"/>
        <w:snapToGrid w:val="0"/>
        <w:spacing w:line="360" w:lineRule="auto"/>
        <w:ind w:left="0" w:right="0" w:firstLine="49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keepNext w:val="0"/>
        <w:keepLines w:val="0"/>
        <w:pageBreakBefore w:val="0"/>
        <w:widowControl/>
        <w:kinsoku w:val="0"/>
        <w:overflowPunct/>
        <w:topLinePunct w:val="0"/>
        <w:autoSpaceDE w:val="0"/>
        <w:autoSpaceDN w:val="0"/>
        <w:bidi w:val="0"/>
        <w:adjustRightInd w:val="0"/>
        <w:snapToGrid w:val="0"/>
        <w:spacing w:line="360" w:lineRule="auto"/>
        <w:ind w:left="0" w:right="0" w:firstLine="49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keepNext w:val="0"/>
        <w:keepLines w:val="0"/>
        <w:pageBreakBefore w:val="0"/>
        <w:widowControl/>
        <w:kinsoku w:val="0"/>
        <w:overflowPunct/>
        <w:topLinePunct w:val="0"/>
        <w:autoSpaceDE w:val="0"/>
        <w:autoSpaceDN w:val="0"/>
        <w:bidi w:val="0"/>
        <w:adjustRightInd w:val="0"/>
        <w:snapToGrid w:val="0"/>
        <w:spacing w:line="360" w:lineRule="auto"/>
        <w:ind w:left="0" w:right="0" w:firstLine="49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4DB1B0CA">
      <w:pPr>
        <w:keepNext w:val="0"/>
        <w:keepLines w:val="0"/>
        <w:pageBreakBefore w:val="0"/>
        <w:widowControl/>
        <w:kinsoku w:val="0"/>
        <w:overflowPunct/>
        <w:topLinePunct w:val="0"/>
        <w:autoSpaceDE w:val="0"/>
        <w:autoSpaceDN w:val="0"/>
        <w:bidi w:val="0"/>
        <w:adjustRightInd w:val="0"/>
        <w:snapToGrid w:val="0"/>
        <w:spacing w:line="360" w:lineRule="auto"/>
        <w:ind w:left="0" w:right="0" w:firstLine="47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keepNext w:val="0"/>
        <w:keepLines w:val="0"/>
        <w:pageBreakBefore w:val="0"/>
        <w:widowControl/>
        <w:kinsoku w:val="0"/>
        <w:overflowPunct/>
        <w:topLinePunct w:val="0"/>
        <w:autoSpaceDE w:val="0"/>
        <w:autoSpaceDN w:val="0"/>
        <w:bidi w:val="0"/>
        <w:adjustRightInd w:val="0"/>
        <w:snapToGrid w:val="0"/>
        <w:spacing w:line="360" w:lineRule="auto"/>
        <w:ind w:left="0" w:right="0" w:firstLine="48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4.2.6 </w:t>
      </w:r>
      <w:r>
        <w:rPr>
          <w:rFonts w:hint="eastAsia" w:ascii="宋体" w:hAnsi="宋体" w:eastAsia="宋体" w:cs="宋体"/>
          <w:b w:val="0"/>
          <w:bCs w:val="0"/>
          <w:color w:val="auto"/>
          <w:spacing w:val="1"/>
          <w:sz w:val="24"/>
          <w:szCs w:val="24"/>
          <w:highlight w:val="none"/>
        </w:rPr>
        <w:t>合同履行过程中，被认定为错漏项的清单项目，结算时按照第三章“拟签订</w:t>
      </w:r>
      <w:r>
        <w:rPr>
          <w:rFonts w:hint="eastAsia" w:ascii="宋体" w:hAnsi="宋体" w:eastAsia="宋体" w:cs="宋体"/>
          <w:b w:val="0"/>
          <w:bCs w:val="0"/>
          <w:color w:val="auto"/>
          <w:spacing w:val="-6"/>
          <w:sz w:val="24"/>
          <w:szCs w:val="24"/>
          <w:highlight w:val="none"/>
        </w:rPr>
        <w:t>合同的主要条款</w:t>
      </w:r>
      <w:r>
        <w:rPr>
          <w:rFonts w:hint="eastAsia" w:ascii="宋体" w:hAnsi="宋体" w:eastAsia="宋体" w:cs="宋体"/>
          <w:b w:val="0"/>
          <w:bCs w:val="0"/>
          <w:color w:val="auto"/>
          <w:spacing w:val="-77"/>
          <w:sz w:val="24"/>
          <w:szCs w:val="24"/>
          <w:highlight w:val="none"/>
        </w:rPr>
        <w:t xml:space="preserve"> </w:t>
      </w:r>
      <w:r>
        <w:rPr>
          <w:rFonts w:hint="eastAsia" w:ascii="宋体" w:hAnsi="宋体" w:eastAsia="宋体" w:cs="宋体"/>
          <w:b w:val="0"/>
          <w:bCs w:val="0"/>
          <w:color w:val="auto"/>
          <w:spacing w:val="-6"/>
          <w:sz w:val="24"/>
          <w:szCs w:val="24"/>
          <w:highlight w:val="none"/>
        </w:rPr>
        <w:t>”规定处理。</w:t>
      </w:r>
    </w:p>
    <w:p w14:paraId="6AFE27E5">
      <w:pPr>
        <w:keepNext w:val="0"/>
        <w:keepLines w:val="0"/>
        <w:pageBreakBefore w:val="0"/>
        <w:widowControl/>
        <w:kinsoku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4.2.7 </w:t>
      </w:r>
      <w:r>
        <w:rPr>
          <w:rFonts w:hint="eastAsia" w:ascii="宋体" w:hAnsi="宋体" w:eastAsia="宋体" w:cs="宋体"/>
          <w:b w:val="0"/>
          <w:bCs w:val="0"/>
          <w:color w:val="auto"/>
          <w:sz w:val="24"/>
          <w:szCs w:val="24"/>
          <w:highlight w:val="none"/>
        </w:rPr>
        <w:t>合同履行过程中，合同约定的调</w:t>
      </w:r>
      <w:r>
        <w:rPr>
          <w:rFonts w:hint="eastAsia" w:ascii="宋体" w:hAnsi="宋体" w:eastAsia="宋体" w:cs="宋体"/>
          <w:b w:val="0"/>
          <w:bCs w:val="0"/>
          <w:color w:val="auto"/>
          <w:spacing w:val="-1"/>
          <w:sz w:val="24"/>
          <w:szCs w:val="24"/>
          <w:highlight w:val="none"/>
        </w:rPr>
        <w:t>整因素（如工程量偏差、工程变更、项目特</w:t>
      </w:r>
      <w:r>
        <w:rPr>
          <w:rFonts w:hint="eastAsia" w:ascii="宋体" w:hAnsi="宋体" w:eastAsia="宋体" w:cs="宋体"/>
          <w:b w:val="0"/>
          <w:bCs w:val="0"/>
          <w:color w:val="auto"/>
          <w:spacing w:val="-4"/>
          <w:sz w:val="24"/>
          <w:szCs w:val="24"/>
          <w:highlight w:val="none"/>
        </w:rPr>
        <w:t>征不符、招标工程量清单缺项等）出现时，被认定为不平衡报价的清单项目以及</w:t>
      </w:r>
      <w:r>
        <w:rPr>
          <w:rFonts w:hint="eastAsia" w:ascii="宋体" w:hAnsi="宋体" w:eastAsia="宋体" w:cs="宋体"/>
          <w:b w:val="0"/>
          <w:bCs w:val="0"/>
          <w:color w:val="auto"/>
          <w:spacing w:val="-5"/>
          <w:sz w:val="24"/>
          <w:szCs w:val="24"/>
          <w:highlight w:val="none"/>
        </w:rPr>
        <w:t>采用被</w:t>
      </w:r>
      <w:r>
        <w:rPr>
          <w:rFonts w:hint="eastAsia" w:ascii="宋体" w:hAnsi="宋体" w:eastAsia="宋体" w:cs="宋体"/>
          <w:b w:val="0"/>
          <w:bCs w:val="0"/>
          <w:color w:val="auto"/>
          <w:spacing w:val="-3"/>
          <w:sz w:val="24"/>
          <w:szCs w:val="24"/>
          <w:highlight w:val="none"/>
        </w:rPr>
        <w:t>认定为不平衡报价的清单项目的价格作为取价（或参照取</w:t>
      </w:r>
      <w:r>
        <w:rPr>
          <w:rFonts w:hint="eastAsia" w:ascii="宋体" w:hAnsi="宋体" w:eastAsia="宋体" w:cs="宋体"/>
          <w:b w:val="0"/>
          <w:bCs w:val="0"/>
          <w:color w:val="auto"/>
          <w:spacing w:val="-4"/>
          <w:sz w:val="24"/>
          <w:szCs w:val="24"/>
          <w:highlight w:val="none"/>
        </w:rPr>
        <w:t>价）依据的变更、新增项目，</w:t>
      </w:r>
      <w:r>
        <w:rPr>
          <w:rFonts w:hint="eastAsia" w:ascii="宋体" w:hAnsi="宋体" w:eastAsia="宋体" w:cs="宋体"/>
          <w:b w:val="0"/>
          <w:bCs w:val="0"/>
          <w:color w:val="auto"/>
          <w:sz w:val="24"/>
          <w:szCs w:val="24"/>
          <w:highlight w:val="none"/>
        </w:rPr>
        <w:t xml:space="preserve"> </w:t>
      </w:r>
      <w:r>
        <w:rPr>
          <w:rFonts w:hint="eastAsia" w:ascii="宋体" w:hAnsi="宋体" w:eastAsia="宋体" w:cs="宋体"/>
          <w:b w:val="0"/>
          <w:bCs w:val="0"/>
          <w:color w:val="auto"/>
          <w:spacing w:val="-3"/>
          <w:sz w:val="24"/>
          <w:szCs w:val="24"/>
          <w:highlight w:val="none"/>
        </w:rPr>
        <w:t>按照第三章“拟签订合同的主要条款</w:t>
      </w:r>
      <w:r>
        <w:rPr>
          <w:rFonts w:hint="eastAsia" w:ascii="宋体" w:hAnsi="宋体" w:eastAsia="宋体" w:cs="宋体"/>
          <w:b w:val="0"/>
          <w:bCs w:val="0"/>
          <w:color w:val="auto"/>
          <w:spacing w:val="-86"/>
          <w:sz w:val="24"/>
          <w:szCs w:val="24"/>
          <w:highlight w:val="none"/>
        </w:rPr>
        <w:t xml:space="preserve"> </w:t>
      </w:r>
      <w:r>
        <w:rPr>
          <w:rFonts w:hint="eastAsia" w:ascii="宋体" w:hAnsi="宋体" w:eastAsia="宋体" w:cs="宋体"/>
          <w:b w:val="0"/>
          <w:bCs w:val="0"/>
          <w:color w:val="auto"/>
          <w:spacing w:val="-3"/>
          <w:sz w:val="24"/>
          <w:szCs w:val="24"/>
          <w:highlight w:val="none"/>
        </w:rPr>
        <w:t>”有关规定调整</w:t>
      </w:r>
      <w:r>
        <w:rPr>
          <w:rFonts w:hint="eastAsia" w:ascii="宋体" w:hAnsi="宋体" w:eastAsia="宋体" w:cs="宋体"/>
          <w:b w:val="0"/>
          <w:bCs w:val="0"/>
          <w:color w:val="auto"/>
          <w:spacing w:val="-4"/>
          <w:sz w:val="24"/>
          <w:szCs w:val="24"/>
          <w:highlight w:val="none"/>
        </w:rPr>
        <w:t>合同价款。</w:t>
      </w:r>
    </w:p>
    <w:p w14:paraId="505FDF3C">
      <w:pPr>
        <w:keepNext w:val="0"/>
        <w:keepLines w:val="0"/>
        <w:pageBreakBefore w:val="0"/>
        <w:widowControl/>
        <w:kinsoku w:val="0"/>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5126E8F2">
      <w:pPr>
        <w:keepNext w:val="0"/>
        <w:keepLines w:val="0"/>
        <w:pageBreakBefore w:val="0"/>
        <w:widowControl/>
        <w:kinsoku w:val="0"/>
        <w:overflowPunct/>
        <w:topLinePunct w:val="0"/>
        <w:autoSpaceDE w:val="0"/>
        <w:autoSpaceDN w:val="0"/>
        <w:bidi w:val="0"/>
        <w:adjustRightInd w:val="0"/>
        <w:snapToGrid w:val="0"/>
        <w:spacing w:line="360" w:lineRule="auto"/>
        <w:ind w:left="0" w:right="0" w:firstLine="46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keepNext w:val="0"/>
        <w:keepLines w:val="0"/>
        <w:pageBreakBefore w:val="0"/>
        <w:widowControl/>
        <w:kinsoku w:val="0"/>
        <w:overflowPunct/>
        <w:topLinePunct w:val="0"/>
        <w:autoSpaceDE w:val="0"/>
        <w:autoSpaceDN w:val="0"/>
        <w:bidi w:val="0"/>
        <w:adjustRightInd w:val="0"/>
        <w:snapToGrid w:val="0"/>
        <w:spacing w:line="360" w:lineRule="auto"/>
        <w:ind w:left="0" w:right="0"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2096A616">
      <w:pPr>
        <w:keepNext w:val="0"/>
        <w:keepLines w:val="0"/>
        <w:pageBreakBefore w:val="0"/>
        <w:widowControl/>
        <w:kinsoku w:val="0"/>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736E5DE8">
      <w:pPr>
        <w:keepNext w:val="0"/>
        <w:keepLines w:val="0"/>
        <w:pageBreakBefore w:val="0"/>
        <w:widowControl/>
        <w:kinsoku w:val="0"/>
        <w:overflowPunct/>
        <w:topLinePunct w:val="0"/>
        <w:autoSpaceDE w:val="0"/>
        <w:autoSpaceDN w:val="0"/>
        <w:bidi w:val="0"/>
        <w:adjustRightInd w:val="0"/>
        <w:snapToGrid w:val="0"/>
        <w:spacing w:line="360" w:lineRule="auto"/>
        <w:ind w:left="0" w:right="0" w:firstLine="458" w:firstLineChars="200"/>
        <w:textAlignment w:val="baseline"/>
        <w:outlineLvl w:val="2"/>
        <w:rPr>
          <w:rFonts w:hint="eastAsia" w:ascii="宋体" w:hAnsi="宋体" w:eastAsia="宋体" w:cs="宋体"/>
          <w:color w:val="auto"/>
          <w:sz w:val="24"/>
          <w:szCs w:val="24"/>
          <w:highlight w:val="none"/>
        </w:rPr>
      </w:pPr>
      <w:bookmarkStart w:id="162" w:name="_Toc4089"/>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2"/>
    </w:p>
    <w:p w14:paraId="148812D5">
      <w:pPr>
        <w:keepNext w:val="0"/>
        <w:keepLines w:val="0"/>
        <w:pageBreakBefore w:val="0"/>
        <w:widowControl/>
        <w:kinsoku w:val="0"/>
        <w:overflowPunct/>
        <w:topLinePunct w:val="0"/>
        <w:autoSpaceDE w:val="0"/>
        <w:autoSpaceDN w:val="0"/>
        <w:bidi w:val="0"/>
        <w:adjustRightInd w:val="0"/>
        <w:snapToGrid w:val="0"/>
        <w:spacing w:line="360" w:lineRule="auto"/>
        <w:ind w:left="0" w:right="0" w:firstLine="478" w:firstLineChars="200"/>
        <w:textAlignment w:val="baseline"/>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val="0"/>
          <w:bCs w:val="0"/>
          <w:color w:val="auto"/>
          <w:spacing w:val="-2"/>
          <w:sz w:val="24"/>
          <w:szCs w:val="24"/>
          <w:highlight w:val="none"/>
        </w:rPr>
        <w:t>招</w:t>
      </w:r>
      <w:r>
        <w:rPr>
          <w:rFonts w:hint="eastAsia" w:ascii="宋体" w:hAnsi="宋体" w:eastAsia="宋体" w:cs="宋体"/>
          <w:b w:val="0"/>
          <w:bCs w:val="0"/>
          <w:color w:val="auto"/>
          <w:spacing w:val="-3"/>
          <w:sz w:val="24"/>
          <w:szCs w:val="24"/>
          <w:highlight w:val="none"/>
        </w:rPr>
        <w:t>标人应将该弃标人的失信行为向行政监督部门报告。</w:t>
      </w:r>
    </w:p>
    <w:p w14:paraId="7BD56114">
      <w:pPr>
        <w:keepNext w:val="0"/>
        <w:keepLines w:val="0"/>
        <w:pageBreakBefore w:val="0"/>
        <w:widowControl/>
        <w:kinsoku w:val="0"/>
        <w:overflowPunct/>
        <w:topLinePunct w:val="0"/>
        <w:autoSpaceDE w:val="0"/>
        <w:autoSpaceDN w:val="0"/>
        <w:bidi w:val="0"/>
        <w:adjustRightInd w:val="0"/>
        <w:snapToGrid w:val="0"/>
        <w:spacing w:line="360" w:lineRule="auto"/>
        <w:ind w:left="0" w:right="0" w:firstLine="46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63" w:name="bookmark84"/>
      <w:bookmarkEnd w:id="163"/>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3"/>
        <w:rPr>
          <w:rFonts w:hint="eastAsia" w:ascii="宋体" w:hAnsi="宋体" w:eastAsia="宋体" w:cs="宋体"/>
          <w:color w:val="auto"/>
          <w:highlight w:val="none"/>
        </w:rPr>
        <w:sectPr>
          <w:footerReference r:id="rId10" w:type="default"/>
          <w:pgSz w:w="11906" w:h="16839"/>
          <w:pgMar w:top="1440" w:right="1080" w:bottom="1440" w:left="1080" w:header="567" w:footer="567" w:gutter="0"/>
          <w:pgBorders>
            <w:top w:val="none" w:sz="0" w:space="0"/>
            <w:left w:val="none" w:sz="0" w:space="0"/>
            <w:bottom w:val="none" w:sz="0" w:space="0"/>
            <w:right w:val="none" w:sz="0" w:space="0"/>
          </w:pgBorders>
          <w:cols w:space="720" w:num="1"/>
        </w:sectPr>
      </w:pPr>
    </w:p>
    <w:p w14:paraId="10B3EAE0">
      <w:pPr>
        <w:spacing w:before="78" w:line="219" w:lineRule="auto"/>
        <w:ind w:left="2923"/>
        <w:outlineLvl w:val="0"/>
        <w:rPr>
          <w:rFonts w:hint="eastAsia" w:ascii="宋体" w:hAnsi="宋体" w:eastAsia="宋体" w:cs="宋体"/>
          <w:color w:val="auto"/>
          <w:sz w:val="24"/>
          <w:szCs w:val="24"/>
          <w:highlight w:val="none"/>
        </w:rPr>
      </w:pPr>
      <w:bookmarkStart w:id="164" w:name="bookmark86"/>
      <w:bookmarkEnd w:id="164"/>
      <w:bookmarkStart w:id="165" w:name="_Toc7715"/>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5"/>
    </w:p>
    <w:p w14:paraId="50F7B5F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0" w:firstLineChars="200"/>
        <w:textAlignment w:val="baseline"/>
        <w:outlineLvl w:val="2"/>
        <w:rPr>
          <w:rFonts w:hint="eastAsia" w:ascii="宋体" w:hAnsi="宋体" w:eastAsia="宋体" w:cs="宋体"/>
          <w:color w:val="auto"/>
          <w:sz w:val="24"/>
          <w:szCs w:val="24"/>
          <w:highlight w:val="none"/>
        </w:rPr>
      </w:pPr>
      <w:bookmarkStart w:id="166" w:name="_Toc660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6"/>
    </w:p>
    <w:p w14:paraId="7E5DF9A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1.1</w:t>
      </w:r>
      <w:r>
        <w:rPr>
          <w:rFonts w:hint="eastAsia" w:ascii="宋体" w:hAnsi="宋体" w:eastAsia="宋体" w:cs="宋体"/>
          <w:snapToGrid w:val="0"/>
          <w:color w:val="000000"/>
          <w:kern w:val="0"/>
          <w:sz w:val="24"/>
          <w:szCs w:val="24"/>
          <w:highlight w:val="none"/>
        </w:rPr>
        <w:t xml:space="preserve"> 承包人以中标价按包工包料、包质量、包安全包文明施工、包工期方式总承包施工，不允许转包和违法分包，如果确需分包须与发包人协商，在得到发包人和监理单位同意后报建设行政主管部门备案。</w:t>
      </w:r>
    </w:p>
    <w:p w14:paraId="7F87170C">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1.1.1</w:t>
      </w:r>
      <w:r>
        <w:rPr>
          <w:rFonts w:hint="eastAsia" w:ascii="宋体" w:hAnsi="宋体" w:eastAsia="宋体" w:cs="宋体"/>
          <w:snapToGrid w:val="0"/>
          <w:color w:val="000000"/>
          <w:kern w:val="0"/>
          <w:sz w:val="24"/>
          <w:szCs w:val="24"/>
          <w:highlight w:val="none"/>
        </w:rPr>
        <w:t xml:space="preserve"> 包工包料：材料符合招标文件要求并报验使用；办理用工保险。</w:t>
      </w:r>
    </w:p>
    <w:p w14:paraId="68073FA0">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1.1.2</w:t>
      </w:r>
      <w:r>
        <w:rPr>
          <w:rFonts w:hint="eastAsia" w:ascii="宋体" w:hAnsi="宋体" w:eastAsia="宋体" w:cs="宋体"/>
          <w:snapToGrid w:val="0"/>
          <w:color w:val="000000"/>
          <w:kern w:val="0"/>
          <w:sz w:val="24"/>
          <w:szCs w:val="24"/>
          <w:highlight w:val="none"/>
        </w:rPr>
        <w:t xml:space="preserve"> 包质量：符合招标文件要求。</w:t>
      </w:r>
    </w:p>
    <w:p w14:paraId="7C3BEF98">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1.1.3</w:t>
      </w:r>
      <w:r>
        <w:rPr>
          <w:rFonts w:hint="eastAsia" w:ascii="宋体" w:hAnsi="宋体" w:eastAsia="宋体" w:cs="宋体"/>
          <w:snapToGrid w:val="0"/>
          <w:color w:val="000000"/>
          <w:kern w:val="0"/>
          <w:sz w:val="24"/>
          <w:szCs w:val="24"/>
          <w:highlight w:val="none"/>
        </w:rPr>
        <w:t xml:space="preserve"> 包安全包文明施工：符合招标文件要求。</w:t>
      </w:r>
    </w:p>
    <w:p w14:paraId="78C7ABF0">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 xml:space="preserve">1.1.4 </w:t>
      </w:r>
      <w:r>
        <w:rPr>
          <w:rFonts w:hint="eastAsia" w:ascii="宋体" w:hAnsi="宋体" w:eastAsia="宋体" w:cs="宋体"/>
          <w:snapToGrid w:val="0"/>
          <w:color w:val="000000"/>
          <w:kern w:val="0"/>
          <w:sz w:val="24"/>
          <w:szCs w:val="24"/>
          <w:highlight w:val="none"/>
        </w:rPr>
        <w:t>包工期：本招标项目施工必须在招标工期内完成。</w:t>
      </w:r>
    </w:p>
    <w:p w14:paraId="273A173A">
      <w:pPr>
        <w:pStyle w:val="5"/>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highlight w:val="none"/>
        </w:rPr>
      </w:pPr>
    </w:p>
    <w:p w14:paraId="53182D6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4" w:firstLineChars="200"/>
        <w:textAlignment w:val="baseline"/>
        <w:outlineLvl w:val="2"/>
        <w:rPr>
          <w:rFonts w:hint="eastAsia" w:ascii="宋体" w:hAnsi="宋体" w:eastAsia="宋体" w:cs="宋体"/>
          <w:color w:val="auto"/>
          <w:sz w:val="24"/>
          <w:szCs w:val="24"/>
          <w:highlight w:val="none"/>
        </w:rPr>
      </w:pPr>
      <w:bookmarkStart w:id="167" w:name="bookmark88"/>
      <w:bookmarkEnd w:id="167"/>
      <w:bookmarkStart w:id="168" w:name="_Toc2491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8"/>
    </w:p>
    <w:p w14:paraId="684618C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承包人的投标总价为中标价，即为签约合同价。合同计价方式为</w:t>
      </w:r>
      <w:r>
        <w:rPr>
          <w:rFonts w:hint="eastAsia" w:ascii="宋体" w:hAnsi="宋体" w:eastAsia="宋体" w:cs="宋体"/>
          <w:color w:val="auto"/>
          <w:spacing w:val="-1"/>
          <w:sz w:val="24"/>
          <w:szCs w:val="24"/>
          <w:highlight w:val="none"/>
          <w:lang w:val="en-US" w:eastAsia="zh-CN"/>
        </w:rPr>
        <w:t>：</w:t>
      </w:r>
      <w:r>
        <w:rPr>
          <w:rFonts w:hint="eastAsia" w:ascii="宋体" w:hAnsi="宋体" w:eastAsia="宋体" w:cs="宋体"/>
          <w:color w:val="auto"/>
          <w:spacing w:val="-1"/>
          <w:sz w:val="24"/>
          <w:szCs w:val="24"/>
          <w:highlight w:val="none"/>
          <w:u w:val="single"/>
          <w:lang w:val="en-US" w:eastAsia="zh-CN"/>
        </w:rPr>
        <w:t>单价合同</w:t>
      </w:r>
      <w:r>
        <w:rPr>
          <w:rFonts w:hint="eastAsia" w:ascii="宋体" w:hAnsi="宋体" w:eastAsia="宋体" w:cs="宋体"/>
          <w:color w:val="auto"/>
          <w:spacing w:val="-1"/>
          <w:sz w:val="24"/>
          <w:szCs w:val="24"/>
          <w:highlight w:val="none"/>
          <w:lang w:val="en-US" w:eastAsia="zh-CN"/>
        </w:rPr>
        <w:t>。</w:t>
      </w:r>
    </w:p>
    <w:p w14:paraId="59CC65F0">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2.2</w:t>
      </w:r>
      <w:r>
        <w:rPr>
          <w:rFonts w:hint="eastAsia" w:ascii="宋体" w:hAnsi="宋体" w:eastAsia="宋体" w:cs="宋体"/>
          <w:snapToGrid w:val="0"/>
          <w:color w:val="000000"/>
          <w:kern w:val="0"/>
          <w:sz w:val="24"/>
          <w:szCs w:val="24"/>
          <w:highlight w:val="none"/>
        </w:rPr>
        <w:t xml:space="preserve"> 招标工程量清单标明的工程量是投标人投标报价的共同基础，竣工结算的工程量按</w:t>
      </w:r>
      <w:r>
        <w:rPr>
          <w:rFonts w:hint="eastAsia" w:ascii="宋体" w:hAnsi="宋体" w:eastAsia="宋体" w:cs="宋体"/>
          <w:snapToGrid w:val="0"/>
          <w:color w:val="000000"/>
          <w:kern w:val="0"/>
          <w:sz w:val="24"/>
          <w:szCs w:val="24"/>
          <w:highlight w:val="none"/>
          <w:lang w:eastAsia="zh-CN"/>
        </w:rPr>
        <w:t>《建设工程工程量清单计价标准》（GB/T50500—2024）</w:t>
      </w:r>
      <w:r>
        <w:rPr>
          <w:rFonts w:hint="eastAsia" w:ascii="宋体" w:hAnsi="宋体" w:eastAsia="宋体" w:cs="宋体"/>
          <w:snapToGrid w:val="0"/>
          <w:color w:val="000000"/>
          <w:kern w:val="0"/>
          <w:sz w:val="24"/>
          <w:szCs w:val="24"/>
          <w:highlight w:val="none"/>
        </w:rPr>
        <w:t>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547B019A">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w:t>
      </w:r>
      <w:r>
        <w:rPr>
          <w:rFonts w:hint="eastAsia" w:ascii="宋体" w:hAnsi="宋体" w:eastAsia="宋体" w:cs="宋体"/>
          <w:snapToGrid w:val="0"/>
          <w:color w:val="000000"/>
          <w:kern w:val="0"/>
          <w:sz w:val="24"/>
          <w:szCs w:val="24"/>
          <w:highlight w:val="none"/>
        </w:rPr>
        <w:t xml:space="preserve"> 施工合同履行期间，若出现下列情形的，发、承包双方应当按照以下规定调整合同价款：</w:t>
      </w:r>
    </w:p>
    <w:p w14:paraId="47129084">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2.3.1</w:t>
      </w:r>
      <w:r>
        <w:rPr>
          <w:rFonts w:hint="eastAsia" w:ascii="宋体" w:hAnsi="宋体" w:eastAsia="宋体" w:cs="宋体"/>
          <w:snapToGrid w:val="0"/>
          <w:color w:val="000000"/>
          <w:kern w:val="0"/>
          <w:sz w:val="24"/>
          <w:szCs w:val="24"/>
          <w:highlight w:val="none"/>
        </w:rPr>
        <w:t xml:space="preserve"> 法律法规变化</w:t>
      </w:r>
    </w:p>
    <w:p w14:paraId="128C3480">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2.3.1.1</w:t>
      </w:r>
      <w:r>
        <w:rPr>
          <w:rFonts w:hint="eastAsia" w:ascii="宋体" w:hAnsi="宋体" w:eastAsia="宋体" w:cs="宋体"/>
          <w:snapToGrid w:val="0"/>
          <w:color w:val="000000"/>
          <w:kern w:val="0"/>
          <w:sz w:val="24"/>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24E62378">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注：本招标文件所称“基准日”，均指投标文件递交截止时间（见第一章第二节“重要事项时间地点一览表”）前28天。</w:t>
      </w:r>
      <w:r>
        <w:rPr>
          <w:rFonts w:hint="eastAsia" w:ascii="宋体" w:hAnsi="宋体" w:eastAsia="宋体" w:cs="宋体"/>
          <w:b/>
          <w:bCs/>
          <w:snapToGrid w:val="0"/>
          <w:color w:val="000000"/>
          <w:kern w:val="0"/>
          <w:sz w:val="24"/>
          <w:szCs w:val="24"/>
          <w:highlight w:val="none"/>
          <w:lang w:val="en-US" w:eastAsia="zh-CN"/>
        </w:rPr>
        <w:t>本项目最高投标限价材料价格计取基期按照2026年2月执行。</w:t>
      </w:r>
    </w:p>
    <w:p w14:paraId="575C3719">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2.3.1.2</w:t>
      </w:r>
      <w:r>
        <w:rPr>
          <w:rFonts w:hint="eastAsia" w:ascii="宋体" w:hAnsi="宋体" w:eastAsia="宋体" w:cs="宋体"/>
          <w:snapToGrid w:val="0"/>
          <w:color w:val="000000"/>
          <w:kern w:val="0"/>
          <w:sz w:val="24"/>
          <w:szCs w:val="24"/>
          <w:highlight w:val="none"/>
        </w:rPr>
        <w:t xml:space="preserve"> 因承包人原因导致工程延误，本章第</w:t>
      </w:r>
      <w:r>
        <w:rPr>
          <w:rFonts w:hint="eastAsia" w:ascii="宋体" w:hAnsi="宋体" w:eastAsia="宋体" w:cs="宋体"/>
          <w:b/>
          <w:bCs/>
          <w:snapToGrid w:val="0"/>
          <w:color w:val="000000"/>
          <w:kern w:val="0"/>
          <w:sz w:val="24"/>
          <w:szCs w:val="24"/>
          <w:highlight w:val="none"/>
        </w:rPr>
        <w:t>2.3.1.1</w:t>
      </w:r>
      <w:r>
        <w:rPr>
          <w:rFonts w:hint="eastAsia" w:ascii="宋体" w:hAnsi="宋体" w:eastAsia="宋体" w:cs="宋体"/>
          <w:snapToGrid w:val="0"/>
          <w:color w:val="000000"/>
          <w:kern w:val="0"/>
          <w:sz w:val="24"/>
          <w:szCs w:val="24"/>
          <w:highlight w:val="none"/>
        </w:rPr>
        <w:t>子目中的法定机构根据国家法律法规变化发布新规的时间在合同工程原定竣工时间之后的，合同价款调增的不予调整，合同价款调减的予以调整。</w:t>
      </w:r>
    </w:p>
    <w:p w14:paraId="6999D45A">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2.3.2</w:t>
      </w:r>
      <w:r>
        <w:rPr>
          <w:rFonts w:hint="eastAsia" w:ascii="宋体" w:hAnsi="宋体" w:eastAsia="宋体" w:cs="宋体"/>
          <w:snapToGrid w:val="0"/>
          <w:color w:val="000000"/>
          <w:kern w:val="0"/>
          <w:sz w:val="24"/>
          <w:szCs w:val="24"/>
          <w:highlight w:val="none"/>
        </w:rPr>
        <w:t xml:space="preserve"> 工程量偏差或变化</w:t>
      </w:r>
    </w:p>
    <w:p w14:paraId="60A63F6F">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82" w:firstLineChars="200"/>
        <w:jc w:val="left"/>
        <w:textAlignment w:val="baseline"/>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snapToGrid w:val="0"/>
          <w:color w:val="000000"/>
          <w:kern w:val="0"/>
          <w:sz w:val="24"/>
          <w:szCs w:val="24"/>
          <w:highlight w:val="none"/>
        </w:rPr>
        <w:t>2.3.2.1</w:t>
      </w:r>
      <w:r>
        <w:rPr>
          <w:rFonts w:hint="eastAsia" w:ascii="宋体" w:hAnsi="宋体" w:eastAsia="宋体" w:cs="宋体"/>
          <w:snapToGrid w:val="0"/>
          <w:color w:val="000000"/>
          <w:kern w:val="0"/>
          <w:sz w:val="24"/>
          <w:szCs w:val="24"/>
          <w:highlight w:val="none"/>
        </w:rPr>
        <w:t xml:space="preserve"> </w:t>
      </w:r>
      <w:r>
        <w:rPr>
          <w:rFonts w:hint="eastAsia" w:ascii="宋体" w:hAnsi="宋体" w:eastAsia="宋体" w:cs="宋体"/>
          <w:snapToGrid w:val="0"/>
          <w:color w:val="000000"/>
          <w:kern w:val="0"/>
          <w:sz w:val="24"/>
          <w:szCs w:val="24"/>
          <w:highlight w:val="none"/>
          <w:lang w:val="en-US" w:eastAsia="zh-CN"/>
        </w:rPr>
        <w:t>合同履行期间，当应予计算的实际工程量与招标工程量清单出现偏差或因其他工程变更引起已标价工程量清单项目的工程数量发生变化时，综合单价不予调整。</w:t>
      </w:r>
    </w:p>
    <w:p w14:paraId="3A40136A">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2.3.2.2</w:t>
      </w:r>
      <w:r>
        <w:rPr>
          <w:rFonts w:hint="eastAsia" w:ascii="宋体" w:hAnsi="宋体" w:eastAsia="宋体" w:cs="宋体"/>
          <w:snapToGrid w:val="0"/>
          <w:color w:val="000000"/>
          <w:kern w:val="0"/>
          <w:sz w:val="24"/>
          <w:szCs w:val="24"/>
          <w:highlight w:val="none"/>
        </w:rPr>
        <w:t xml:space="preserve"> 如果工程量出现本章第</w:t>
      </w:r>
      <w:r>
        <w:rPr>
          <w:rFonts w:hint="eastAsia" w:ascii="宋体" w:hAnsi="宋体" w:eastAsia="宋体" w:cs="宋体"/>
          <w:b/>
          <w:bCs/>
          <w:snapToGrid w:val="0"/>
          <w:color w:val="000000"/>
          <w:kern w:val="0"/>
          <w:sz w:val="24"/>
          <w:szCs w:val="24"/>
          <w:highlight w:val="none"/>
        </w:rPr>
        <w:t>2.3.2.1</w:t>
      </w:r>
      <w:r>
        <w:rPr>
          <w:rFonts w:hint="eastAsia" w:ascii="宋体" w:hAnsi="宋体" w:eastAsia="宋体" w:cs="宋体"/>
          <w:snapToGrid w:val="0"/>
          <w:color w:val="000000"/>
          <w:kern w:val="0"/>
          <w:sz w:val="24"/>
          <w:szCs w:val="24"/>
          <w:highlight w:val="none"/>
        </w:rPr>
        <w:t>子目的变化，且该变化引起相关措施项目相应发生变化时，按系数或单一总价方式计价的，工程量增加的措施项目费调增，工程量减少的措施项目费调减。</w:t>
      </w:r>
    </w:p>
    <w:p w14:paraId="4159CA02">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2.3.3</w:t>
      </w:r>
      <w:r>
        <w:rPr>
          <w:rFonts w:hint="eastAsia" w:ascii="宋体" w:hAnsi="宋体" w:eastAsia="宋体" w:cs="宋体"/>
          <w:snapToGrid w:val="0"/>
          <w:color w:val="000000"/>
          <w:kern w:val="0"/>
          <w:sz w:val="24"/>
          <w:szCs w:val="24"/>
          <w:highlight w:val="none"/>
        </w:rPr>
        <w:t xml:space="preserve"> 工程变更</w:t>
      </w:r>
    </w:p>
    <w:p w14:paraId="5761B7FE">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82" w:firstLineChars="200"/>
        <w:jc w:val="left"/>
        <w:textAlignment w:val="baseline"/>
        <w:rPr>
          <w:rFonts w:hint="eastAsia" w:ascii="宋体" w:hAnsi="宋体" w:eastAsia="宋体" w:cs="宋体"/>
          <w:color w:val="000000"/>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2.3.3.1 </w:t>
      </w:r>
      <w:r>
        <w:rPr>
          <w:rFonts w:hint="eastAsia" w:ascii="宋体" w:hAnsi="宋体" w:eastAsia="宋体" w:cs="宋体"/>
          <w:color w:val="000000"/>
          <w:kern w:val="0"/>
          <w:sz w:val="24"/>
          <w:szCs w:val="24"/>
          <w:highlight w:val="none"/>
          <w:lang w:val="en-US" w:eastAsia="zh-CN" w:bidi="ar"/>
        </w:rPr>
        <w:t xml:space="preserve">合同履行期间，因工程变更引起已标价工程量清单项目发生变化时，按照以下规定调整： </w:t>
      </w:r>
    </w:p>
    <w:p w14:paraId="39F413B5">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（1）已标价工程量清单中有适用于变更工程项目的：属于合理报价的清单项目，采用承包人的综合单价。</w:t>
      </w:r>
    </w:p>
    <w:p w14:paraId="64DC18B2">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（2）已标价工程量清单中没有适用但有类似于变更工程项目的，可在合理范围内参照类似项目的单价。</w:t>
      </w:r>
    </w:p>
    <w:p w14:paraId="19DB592D">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 </w:t>
      </w:r>
    </w:p>
    <w:p w14:paraId="485B0636">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82" w:firstLineChars="200"/>
        <w:jc w:val="left"/>
        <w:textAlignment w:val="baseline"/>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中标下浮率=【1-(中标价-报价含税安全生产措施费-固定报价)÷(最高投标限价-最高投标限价含税安全生产措施费-固定报价)】×100% </w:t>
      </w:r>
    </w:p>
    <w:p w14:paraId="5AF8AAFC">
      <w:pPr>
        <w:keepNext w:val="0"/>
        <w:keepLines w:val="0"/>
        <w:pageBreakBefore w:val="0"/>
        <w:widowControl/>
        <w:numPr>
          <w:ilvl w:val="0"/>
          <w:numId w:val="2"/>
        </w:numPr>
        <w:suppressLineNumbers w:val="0"/>
        <w:kinsoku w:val="0"/>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已标价工程量清单中没有适用也没有类似于变更工程项目，且施工当月项目所在地工程造价管理机构发布的价格信息缺项的，由承包人根据变更工程资料、计量规则、计价办法和通过依次参考清远、肇庆、佛山、广州、东莞等广东省内地区信息价、厂商询价、市场调查等取得有合法依据的市场价格提出变更工程项目的单价，报发包人确认后调整。</w:t>
      </w:r>
    </w:p>
    <w:p w14:paraId="20240304">
      <w:pPr>
        <w:keepNext w:val="0"/>
        <w:keepLines w:val="0"/>
        <w:pageBreakBefore w:val="0"/>
        <w:widowControl/>
        <w:numPr>
          <w:ilvl w:val="0"/>
          <w:numId w:val="2"/>
        </w:numPr>
        <w:suppressLineNumbers w:val="0"/>
        <w:kinsoku w:val="0"/>
        <w:overflowPunct/>
        <w:topLinePunct w:val="0"/>
        <w:autoSpaceDE w:val="0"/>
        <w:autoSpaceDN w:val="0"/>
        <w:bidi w:val="0"/>
        <w:adjustRightInd w:val="0"/>
        <w:snapToGrid w:val="0"/>
        <w:spacing w:line="360" w:lineRule="auto"/>
        <w:ind w:firstLine="482" w:firstLineChars="200"/>
        <w:jc w:val="left"/>
        <w:textAlignment w:val="baseline"/>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2.3.3.2</w:t>
      </w:r>
      <w:r>
        <w:rPr>
          <w:rFonts w:hint="eastAsia" w:ascii="宋体" w:hAnsi="宋体" w:eastAsia="宋体" w:cs="宋体"/>
          <w:color w:val="000000"/>
          <w:kern w:val="0"/>
          <w:sz w:val="24"/>
          <w:szCs w:val="24"/>
          <w:highlight w:val="none"/>
          <w:lang w:val="en-US" w:eastAsia="zh-CN" w:bidi="ar"/>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 </w:t>
      </w:r>
    </w:p>
    <w:p w14:paraId="1D1C9FD6">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1）由于工程变更引起的措施项目变化，应按发包人批准的承包人专为工程变更拟定的实施方案或实际发生内容，计算其因工程变更而需要增加投入的施工管理人员、增加搭设的临时设施及其他增加的施工措施工程（工作)量。 </w:t>
      </w:r>
    </w:p>
    <w:p w14:paraId="23F905A1">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2）措施项目费用采用总价包干方式，投标人投标的措施方案被视为是合理可行的，其报价被视为已包含履行合同责任和义务、全面完成招标工程所需发生的全部措施项目费用。中标后措施项目费不因总价合同的暂定数量清单项目价款调整、单价合同的工程量清单缺陷修正而调整，实施过程中不因投标人原因导致的措施方案不合理不可行、措施项目错漏与偏差、工作内容增减、物价波动而调整，结算时仅在非承包人原因导致措施项目实质性变化引起费用增减而相应调整，调整方式按《建设工程工程量清单计价标准》（GB/T50500-2024）执行。 </w:t>
      </w:r>
    </w:p>
    <w:p w14:paraId="5B5F06A8">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（3）采用单价计算的措施项目费，应按照实际发生变化的措施项目，按本章第2.3.3.1 </w:t>
      </w:r>
    </w:p>
    <w:p w14:paraId="5DC888D9">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子目的规定确定单价。 </w:t>
      </w:r>
    </w:p>
    <w:p w14:paraId="136B9A81">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（4）按总价或系数计算的措施项目费，应按照实际发生变化的措施项目费调整。 </w:t>
      </w:r>
    </w:p>
    <w:p w14:paraId="164D23F0">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如果承包人未事先将拟实施的方案提交发包人确认，视为工程变更不引起措施项目费的调整或承包人放弃调整措施项目费的权利。 </w:t>
      </w:r>
    </w:p>
    <w:p w14:paraId="3DEBD1AD">
      <w:pPr>
        <w:keepNext w:val="0"/>
        <w:keepLines w:val="0"/>
        <w:pageBreakBefore w:val="0"/>
        <w:widowControl/>
        <w:suppressLineNumbers w:val="0"/>
        <w:kinsoku w:val="0"/>
        <w:overflowPunct/>
        <w:topLinePunct w:val="0"/>
        <w:autoSpaceDE w:val="0"/>
        <w:autoSpaceDN w:val="0"/>
        <w:bidi w:val="0"/>
        <w:adjustRightInd w:val="0"/>
        <w:snapToGrid w:val="0"/>
        <w:spacing w:line="360" w:lineRule="auto"/>
        <w:ind w:firstLine="482" w:firstLineChars="200"/>
        <w:jc w:val="left"/>
        <w:textAlignment w:val="baseline"/>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 xml:space="preserve">2.3.3.3 </w:t>
      </w:r>
      <w:r>
        <w:rPr>
          <w:rFonts w:hint="eastAsia" w:ascii="宋体" w:hAnsi="宋体" w:eastAsia="宋体" w:cs="宋体"/>
          <w:color w:val="000000"/>
          <w:kern w:val="0"/>
          <w:sz w:val="24"/>
          <w:szCs w:val="24"/>
          <w:highlight w:val="none"/>
          <w:lang w:val="en-US" w:eastAsia="zh-CN" w:bidi="ar"/>
        </w:rPr>
        <w:t>招标人有权根据本项目建设的实际情况调整建设规模或变更、减少建设内容，如出现因特殊原因取消某子项目的建设，则该子项目未完成的工作内容及费用相应扣减，中标人应在投标报价中综合考虑该因素，中标后不得因此向招标人提出额外的费用补偿或索赔。</w:t>
      </w:r>
    </w:p>
    <w:p w14:paraId="62FA5775">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2.3.4</w:t>
      </w:r>
      <w:r>
        <w:rPr>
          <w:rFonts w:hint="eastAsia" w:ascii="宋体" w:hAnsi="宋体" w:eastAsia="宋体" w:cs="宋体"/>
          <w:snapToGrid w:val="0"/>
          <w:color w:val="000000"/>
          <w:kern w:val="0"/>
          <w:sz w:val="24"/>
          <w:szCs w:val="24"/>
          <w:highlight w:val="none"/>
        </w:rPr>
        <w:t xml:space="preserve"> 项目特征不符</w:t>
      </w:r>
    </w:p>
    <w:p w14:paraId="365BE42C">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宋体" w:hAnsi="宋体" w:eastAsia="宋体" w:cs="宋体"/>
          <w:b/>
          <w:bCs/>
          <w:snapToGrid w:val="0"/>
          <w:color w:val="000000"/>
          <w:kern w:val="0"/>
          <w:sz w:val="24"/>
          <w:szCs w:val="24"/>
          <w:highlight w:val="none"/>
        </w:rPr>
        <w:t>2.3.3</w:t>
      </w:r>
      <w:r>
        <w:rPr>
          <w:rFonts w:hint="eastAsia" w:ascii="宋体" w:hAnsi="宋体" w:eastAsia="宋体" w:cs="宋体"/>
          <w:snapToGrid w:val="0"/>
          <w:color w:val="000000"/>
          <w:kern w:val="0"/>
          <w:sz w:val="24"/>
          <w:szCs w:val="24"/>
          <w:highlight w:val="none"/>
        </w:rPr>
        <w:t>目相关条款的规定重新确定相应工程量清单项目的综合单价，并调整合同价款。</w:t>
      </w:r>
    </w:p>
    <w:p w14:paraId="46EA3783">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2.3.5 招标工程量清单缺项</w:t>
      </w:r>
    </w:p>
    <w:p w14:paraId="1CB882C5">
      <w:pPr>
        <w:keepNext w:val="0"/>
        <w:keepLines w:val="0"/>
        <w:pageBreakBefore w:val="0"/>
        <w:widowControl/>
        <w:suppressLineNumbers w:val="0"/>
        <w:kinsoku w:val="0"/>
        <w:wordWrap w:val="0"/>
        <w:overflowPunct/>
        <w:topLinePunct w:val="0"/>
        <w:autoSpaceDE w:val="0"/>
        <w:autoSpaceDN w:val="0"/>
        <w:bidi w:val="0"/>
        <w:adjustRightInd w:val="0"/>
        <w:snapToGrid w:val="0"/>
        <w:spacing w:line="360" w:lineRule="auto"/>
        <w:ind w:firstLine="482" w:firstLineChars="200"/>
        <w:jc w:val="left"/>
        <w:textAlignment w:val="baseline"/>
        <w:rPr>
          <w:rFonts w:hint="eastAsia" w:ascii="宋体" w:hAnsi="宋体" w:eastAsia="宋体" w:cs="宋体"/>
          <w:b w:val="0"/>
          <w:bCs w:val="0"/>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2.3.5.1 </w:t>
      </w:r>
      <w:r>
        <w:rPr>
          <w:rFonts w:hint="eastAsia" w:ascii="宋体" w:hAnsi="宋体" w:eastAsia="宋体" w:cs="宋体"/>
          <w:b w:val="0"/>
          <w:bCs w:val="0"/>
          <w:snapToGrid w:val="0"/>
          <w:color w:val="000000"/>
          <w:kern w:val="0"/>
          <w:sz w:val="24"/>
          <w:szCs w:val="24"/>
          <w:highlight w:val="none"/>
          <w:lang w:val="en-US" w:eastAsia="zh-CN" w:bidi="ar"/>
        </w:rPr>
        <w:t xml:space="preserve">合同履行期间，由于招标工程量清单中缺项，新增分部分项工程清单项目，应按照本章第 </w:t>
      </w:r>
      <w:r>
        <w:rPr>
          <w:rFonts w:hint="eastAsia" w:ascii="宋体" w:hAnsi="宋体" w:eastAsia="宋体" w:cs="宋体"/>
          <w:b/>
          <w:bCs/>
          <w:snapToGrid w:val="0"/>
          <w:color w:val="000000"/>
          <w:kern w:val="0"/>
          <w:sz w:val="24"/>
          <w:szCs w:val="24"/>
          <w:highlight w:val="none"/>
          <w:lang w:val="en-US" w:eastAsia="zh-CN" w:bidi="ar"/>
        </w:rPr>
        <w:t>2.3.3.1</w:t>
      </w:r>
      <w:r>
        <w:rPr>
          <w:rFonts w:hint="eastAsia" w:ascii="宋体" w:hAnsi="宋体" w:eastAsia="宋体" w:cs="宋体"/>
          <w:b w:val="0"/>
          <w:bCs w:val="0"/>
          <w:snapToGrid w:val="0"/>
          <w:color w:val="000000"/>
          <w:kern w:val="0"/>
          <w:sz w:val="24"/>
          <w:szCs w:val="24"/>
          <w:highlight w:val="none"/>
          <w:lang w:val="en-US" w:eastAsia="zh-CN" w:bidi="ar"/>
        </w:rPr>
        <w:t xml:space="preserve"> 子目的规定确定单价，并调整合同价款。 </w:t>
      </w:r>
    </w:p>
    <w:p w14:paraId="21937295">
      <w:pPr>
        <w:keepNext w:val="0"/>
        <w:keepLines w:val="0"/>
        <w:pageBreakBefore w:val="0"/>
        <w:widowControl/>
        <w:suppressLineNumbers w:val="0"/>
        <w:kinsoku w:val="0"/>
        <w:wordWrap w:val="0"/>
        <w:overflowPunct/>
        <w:topLinePunct w:val="0"/>
        <w:autoSpaceDE w:val="0"/>
        <w:autoSpaceDN w:val="0"/>
        <w:bidi w:val="0"/>
        <w:adjustRightInd w:val="0"/>
        <w:snapToGrid w:val="0"/>
        <w:spacing w:line="360" w:lineRule="auto"/>
        <w:ind w:firstLine="482" w:firstLineChars="200"/>
        <w:jc w:val="left"/>
        <w:textAlignment w:val="baseline"/>
        <w:rPr>
          <w:rFonts w:hint="eastAsia" w:ascii="宋体" w:hAnsi="宋体" w:eastAsia="宋体" w:cs="宋体"/>
          <w:b w:val="0"/>
          <w:bCs w:val="0"/>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2.3.5.2 </w:t>
      </w:r>
      <w:r>
        <w:rPr>
          <w:rFonts w:hint="eastAsia" w:ascii="宋体" w:hAnsi="宋体" w:eastAsia="宋体" w:cs="宋体"/>
          <w:b w:val="0"/>
          <w:bCs w:val="0"/>
          <w:snapToGrid w:val="0"/>
          <w:color w:val="000000"/>
          <w:kern w:val="0"/>
          <w:sz w:val="24"/>
          <w:szCs w:val="24"/>
          <w:highlight w:val="none"/>
          <w:lang w:val="en-US" w:eastAsia="zh-CN" w:bidi="ar"/>
        </w:rPr>
        <w:t xml:space="preserve">新增分部分项工程清单项目后，引起措施项目发生变化的，应按照本章第 </w:t>
      </w:r>
      <w:r>
        <w:rPr>
          <w:rFonts w:hint="eastAsia" w:ascii="宋体" w:hAnsi="宋体" w:eastAsia="宋体" w:cs="宋体"/>
          <w:b/>
          <w:bCs/>
          <w:snapToGrid w:val="0"/>
          <w:color w:val="000000"/>
          <w:kern w:val="0"/>
          <w:sz w:val="24"/>
          <w:szCs w:val="24"/>
          <w:highlight w:val="none"/>
          <w:lang w:val="en-US" w:eastAsia="zh-CN" w:bidi="ar"/>
        </w:rPr>
        <w:t>2.3.3.2</w:t>
      </w:r>
      <w:r>
        <w:rPr>
          <w:rFonts w:hint="eastAsia" w:ascii="宋体" w:hAnsi="宋体" w:eastAsia="宋体" w:cs="宋体"/>
          <w:b w:val="0"/>
          <w:bCs w:val="0"/>
          <w:snapToGrid w:val="0"/>
          <w:color w:val="000000"/>
          <w:kern w:val="0"/>
          <w:sz w:val="24"/>
          <w:szCs w:val="24"/>
          <w:highlight w:val="none"/>
          <w:lang w:val="en-US" w:eastAsia="zh-CN" w:bidi="ar"/>
        </w:rPr>
        <w:t xml:space="preserve"> 子目的规定，在承包人提交的实施方案被发包人批准后调整合同价款。 </w:t>
      </w:r>
    </w:p>
    <w:p w14:paraId="61793B70">
      <w:pPr>
        <w:keepNext w:val="0"/>
        <w:keepLines w:val="0"/>
        <w:pageBreakBefore w:val="0"/>
        <w:widowControl/>
        <w:suppressLineNumbers w:val="0"/>
        <w:kinsoku w:val="0"/>
        <w:wordWrap w:val="0"/>
        <w:overflowPunct/>
        <w:topLinePunct w:val="0"/>
        <w:autoSpaceDE w:val="0"/>
        <w:autoSpaceDN w:val="0"/>
        <w:bidi w:val="0"/>
        <w:adjustRightInd w:val="0"/>
        <w:snapToGrid w:val="0"/>
        <w:spacing w:line="360" w:lineRule="auto"/>
        <w:ind w:firstLine="482" w:firstLineChars="200"/>
        <w:jc w:val="left"/>
        <w:textAlignment w:val="baseline"/>
        <w:rPr>
          <w:rFonts w:hint="eastAsia" w:ascii="宋体" w:hAnsi="宋体" w:eastAsia="宋体" w:cs="宋体"/>
          <w:b w:val="0"/>
          <w:bCs w:val="0"/>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lang w:val="en-US" w:eastAsia="zh-CN" w:bidi="ar"/>
        </w:rPr>
        <w:t xml:space="preserve">2.3.5.3 </w:t>
      </w:r>
      <w:r>
        <w:rPr>
          <w:rFonts w:hint="eastAsia" w:ascii="宋体" w:hAnsi="宋体" w:eastAsia="宋体" w:cs="宋体"/>
          <w:b w:val="0"/>
          <w:bCs w:val="0"/>
          <w:snapToGrid w:val="0"/>
          <w:color w:val="000000"/>
          <w:kern w:val="0"/>
          <w:sz w:val="24"/>
          <w:szCs w:val="24"/>
          <w:highlight w:val="none"/>
          <w:lang w:val="en-US" w:eastAsia="zh-CN" w:bidi="ar"/>
        </w:rPr>
        <w:t>由于清单缺项引起措施项目变化或措施项目缺项的措施项目调整：除安全生产措施项目及以综合单价形式计价、在分部分项工程项目清单中所列属于措施项目的模板等工程及合同约定应予计量的其他措施项目,合同清单的措施项目清单及合同工期均不应予调整。</w:t>
      </w:r>
    </w:p>
    <w:p w14:paraId="504C178C">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2.3.6</w:t>
      </w:r>
      <w:r>
        <w:rPr>
          <w:rFonts w:hint="eastAsia" w:ascii="宋体" w:hAnsi="宋体" w:eastAsia="宋体" w:cs="宋体"/>
          <w:bCs/>
          <w:snapToGrid w:val="0"/>
          <w:color w:val="000000"/>
          <w:kern w:val="0"/>
          <w:sz w:val="24"/>
          <w:szCs w:val="24"/>
          <w:highlight w:val="none"/>
        </w:rPr>
        <w:t xml:space="preserve"> 物价变化</w:t>
      </w:r>
    </w:p>
    <w:p w14:paraId="09CFF6BD">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2.3.6.1</w:t>
      </w:r>
      <w:r>
        <w:rPr>
          <w:rFonts w:hint="eastAsia" w:ascii="宋体" w:hAnsi="宋体" w:eastAsia="宋体" w:cs="宋体"/>
          <w:bCs/>
          <w:snapToGrid w:val="0"/>
          <w:color w:val="000000"/>
          <w:kern w:val="0"/>
          <w:sz w:val="24"/>
          <w:szCs w:val="24"/>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000000"/>
          <w:kern w:val="0"/>
          <w:sz w:val="24"/>
          <w:szCs w:val="24"/>
          <w:highlight w:val="none"/>
        </w:rPr>
        <w:t>以下简称“中标人工费”</w:t>
      </w:r>
      <w:r>
        <w:rPr>
          <w:rFonts w:hint="eastAsia" w:ascii="宋体" w:hAnsi="宋体" w:eastAsia="宋体" w:cs="宋体"/>
          <w:bCs/>
          <w:snapToGrid w:val="0"/>
          <w:color w:val="000000"/>
          <w:kern w:val="0"/>
          <w:sz w:val="24"/>
          <w:szCs w:val="24"/>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7EE1FD90">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结算人工费＝中标人工费×F</w:t>
      </w:r>
      <w:r>
        <w:rPr>
          <w:rFonts w:hint="eastAsia" w:ascii="宋体" w:hAnsi="宋体" w:eastAsia="宋体" w:cs="宋体"/>
          <w:bCs/>
          <w:snapToGrid w:val="0"/>
          <w:color w:val="000000"/>
          <w:kern w:val="0"/>
          <w:sz w:val="24"/>
          <w:szCs w:val="24"/>
          <w:highlight w:val="none"/>
          <w:vertAlign w:val="subscript"/>
        </w:rPr>
        <w:t>1</w:t>
      </w:r>
    </w:p>
    <w:p w14:paraId="4DBDEE00">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Cs/>
          <w:snapToGrid w:val="0"/>
          <w:color w:val="000000"/>
          <w:kern w:val="0"/>
          <w:sz w:val="24"/>
          <w:szCs w:val="24"/>
          <w:highlight w:val="none"/>
        </w:rPr>
        <w:t>式中，F</w:t>
      </w:r>
      <w:r>
        <w:rPr>
          <w:rFonts w:hint="eastAsia" w:ascii="宋体" w:hAnsi="宋体" w:eastAsia="宋体" w:cs="宋体"/>
          <w:bCs/>
          <w:snapToGrid w:val="0"/>
          <w:color w:val="000000"/>
          <w:kern w:val="0"/>
          <w:sz w:val="24"/>
          <w:szCs w:val="24"/>
          <w:highlight w:val="none"/>
          <w:vertAlign w:val="subscript"/>
        </w:rPr>
        <w:t>1</w:t>
      </w:r>
      <w:r>
        <w:rPr>
          <w:rFonts w:hint="eastAsia" w:ascii="宋体" w:hAnsi="宋体" w:eastAsia="宋体" w:cs="宋体"/>
          <w:bCs/>
          <w:snapToGrid w:val="0"/>
          <w:color w:val="000000"/>
          <w:kern w:val="0"/>
          <w:sz w:val="24"/>
          <w:szCs w:val="24"/>
          <w:highlight w:val="none"/>
        </w:rPr>
        <w:t>为施工当月项目所在地工程造价管理机构发布的动态人工调整系数。</w:t>
      </w:r>
    </w:p>
    <w:p w14:paraId="292D39C2">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2.3.6.2</w:t>
      </w:r>
      <w:r>
        <w:rPr>
          <w:rFonts w:hint="eastAsia" w:ascii="宋体" w:hAnsi="宋体" w:eastAsia="宋体" w:cs="宋体"/>
          <w:snapToGrid w:val="0"/>
          <w:color w:val="000000"/>
          <w:kern w:val="0"/>
          <w:sz w:val="24"/>
          <w:szCs w:val="24"/>
          <w:highlight w:val="none"/>
        </w:rPr>
        <w:t xml:space="preserve"> 本招标项目约定，材料、工程设备单价涨跌风险幅度值A为</w:t>
      </w:r>
      <w:r>
        <w:rPr>
          <w:rFonts w:hint="eastAsia" w:ascii="宋体" w:hAnsi="宋体" w:eastAsia="宋体" w:cs="宋体"/>
          <w:snapToGrid w:val="0"/>
          <w:color w:val="000000"/>
          <w:kern w:val="0"/>
          <w:sz w:val="24"/>
          <w:szCs w:val="24"/>
          <w:highlight w:val="none"/>
          <w:u w:val="single"/>
        </w:rPr>
        <w:t xml:space="preserve"> 5% </w:t>
      </w:r>
      <w:r>
        <w:rPr>
          <w:rFonts w:hint="eastAsia" w:ascii="宋体" w:hAnsi="宋体" w:eastAsia="宋体" w:cs="宋体"/>
          <w:snapToGrid w:val="0"/>
          <w:color w:val="000000"/>
          <w:kern w:val="0"/>
          <w:sz w:val="24"/>
          <w:szCs w:val="24"/>
          <w:highlight w:val="none"/>
        </w:rPr>
        <w:t>。合同履行期间，当《</w:t>
      </w:r>
      <w:r>
        <w:rPr>
          <w:rFonts w:hint="eastAsia" w:ascii="宋体" w:hAnsi="宋体" w:eastAsia="宋体" w:cs="宋体"/>
          <w:snapToGrid w:val="0"/>
          <w:color w:val="000000"/>
          <w:kern w:val="0"/>
          <w:sz w:val="24"/>
          <w:szCs w:val="24"/>
          <w:highlight w:val="none"/>
          <w:lang w:val="en-US" w:eastAsia="zh-CN"/>
        </w:rPr>
        <w:t>承包人提供可调价主要材料表一</w:t>
      </w:r>
      <w:r>
        <w:rPr>
          <w:rFonts w:hint="eastAsia" w:ascii="宋体" w:hAnsi="宋体" w:eastAsia="宋体" w:cs="宋体"/>
          <w:snapToGrid w:val="0"/>
          <w:color w:val="000000"/>
          <w:kern w:val="0"/>
          <w:sz w:val="24"/>
          <w:szCs w:val="24"/>
          <w:highlight w:val="none"/>
        </w:rPr>
        <w:t>》（详见招标工程量清单）中的材料、工程设备单价涨跌幅度等于或低于A值时，该材料、工程设备单价不予调整；超过A值时，其超过部分可以调整。相关费用按有关规定进行相应调整。</w:t>
      </w:r>
    </w:p>
    <w:p w14:paraId="266AED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snapToGrid w:val="0"/>
          <w:color w:val="000000"/>
          <w:kern w:val="0"/>
          <w:sz w:val="24"/>
          <w:szCs w:val="24"/>
          <w:highlight w:val="none"/>
        </w:rPr>
        <w:t>a</w:t>
      </w:r>
      <w:r>
        <w:rPr>
          <w:rFonts w:hint="eastAsia" w:ascii="宋体" w:hAnsi="宋体" w:eastAsia="宋体" w:cs="宋体"/>
          <w:snapToGrid w:val="0"/>
          <w:color w:val="000000"/>
          <w:kern w:val="0"/>
          <w:sz w:val="24"/>
          <w:szCs w:val="24"/>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r>
        <w:rPr>
          <w:rFonts w:hint="eastAsia" w:ascii="宋体" w:hAnsi="宋体" w:eastAsia="宋体" w:cs="宋体"/>
          <w:snapToGrid w:val="0"/>
          <w:color w:val="auto"/>
          <w:kern w:val="0"/>
          <w:sz w:val="24"/>
          <w:szCs w:val="24"/>
          <w:highlight w:val="none"/>
          <w:lang w:eastAsia="zh-CN"/>
        </w:rPr>
        <w:t>：</w:t>
      </w:r>
    </w:p>
    <w:p w14:paraId="459BFEB7">
      <w:pPr>
        <w:keepNext w:val="0"/>
        <w:keepLines w:val="0"/>
        <w:pageBreakBefore w:val="0"/>
        <w:widowControl/>
        <w:kinsoku w:val="0"/>
        <w:wordWrap w:val="0"/>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25" o:spt="75" type="#_x0000_t75" style="height:33.95pt;width:200.95pt;" o:ole="t" filled="f" stroked="f" coordsize="21600,21600">
            <v:path/>
            <v:fill on="f" focussize="0,0"/>
            <v:stroke on="f"/>
            <v:imagedata r:id="rId27" o:title=""/>
            <o:lock v:ext="edit" grouping="f" rotation="f" text="f" aspectratio="t"/>
            <w10:wrap type="none"/>
            <w10:anchorlock/>
          </v:shape>
          <o:OLEObject Type="Embed" ProgID="Equation.KSEE3" ShapeID="_x0000_i1025" DrawAspect="Content" ObjectID="_1468075725" r:id="rId26">
            <o:LockedField>false</o:LockedField>
          </o:OLEObject>
        </w:object>
      </w:r>
    </w:p>
    <w:p w14:paraId="2D2D2EC5">
      <w:pPr>
        <w:keepNext w:val="0"/>
        <w:keepLines w:val="0"/>
        <w:pageBreakBefore w:val="0"/>
        <w:widowControl/>
        <w:kinsoku w:val="0"/>
        <w:wordWrap w:val="0"/>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26" o:spt="75" type="#_x0000_t75" style="height:33.95pt;width:198.95pt;" o:ole="t" filled="f" stroked="f" coordsize="21600,21600">
            <v:path/>
            <v:fill on="f" focussize="0,0"/>
            <v:stroke on="f"/>
            <v:imagedata r:id="rId29" o:title=""/>
            <o:lock v:ext="edit" grouping="f" rotation="f" text="f" aspectratio="t"/>
            <w10:wrap type="none"/>
            <w10:anchorlock/>
          </v:shape>
          <o:OLEObject Type="Embed" ProgID="Equation.KSEE3" ShapeID="_x0000_i1026" DrawAspect="Content" ObjectID="_1468075726" r:id="rId28">
            <o:LockedField>false</o:LockedField>
          </o:OLEObject>
        </w:object>
      </w:r>
    </w:p>
    <w:p w14:paraId="63FDFCA8">
      <w:pPr>
        <w:keepNext w:val="0"/>
        <w:keepLines w:val="0"/>
        <w:pageBreakBefore w:val="0"/>
        <w:widowControl/>
        <w:kinsoku w:val="0"/>
        <w:wordWrap w:val="0"/>
        <w:overflowPunct/>
        <w:topLinePunct w:val="0"/>
        <w:autoSpaceDE w:val="0"/>
        <w:autoSpaceDN w:val="0"/>
        <w:bidi w:val="0"/>
        <w:adjustRightInd w:val="0"/>
        <w:snapToGrid w:val="0"/>
        <w:spacing w:line="24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b</w:t>
      </w:r>
      <w:r>
        <w:rPr>
          <w:rFonts w:hint="eastAsia" w:ascii="宋体" w:hAnsi="宋体" w:eastAsia="宋体" w:cs="宋体"/>
          <w:snapToGrid w:val="0"/>
          <w:color w:val="000000"/>
          <w:kern w:val="0"/>
          <w:sz w:val="24"/>
          <w:szCs w:val="24"/>
          <w:highlight w:val="none"/>
        </w:rPr>
        <w:t>．如果中标单价高于基准单价，该材料、工程设备的结算单价调整公式为：</w:t>
      </w:r>
    </w:p>
    <w:p w14:paraId="1DD61DF3">
      <w:pPr>
        <w:keepNext w:val="0"/>
        <w:keepLines w:val="0"/>
        <w:pageBreakBefore w:val="0"/>
        <w:widowControl/>
        <w:kinsoku w:val="0"/>
        <w:wordWrap w:val="0"/>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27" o:spt="75" type="#_x0000_t75" style="height:33.95pt;width:198.95pt;" o:ole="t" filled="f" stroked="f" coordsize="21600,21600">
            <v:path/>
            <v:fill on="f" focussize="0,0"/>
            <v:stroke on="f"/>
            <v:imagedata r:id="rId31" o:title=""/>
            <o:lock v:ext="edit" grouping="f" rotation="f" text="f" aspectratio="t"/>
            <w10:wrap type="none"/>
            <w10:anchorlock/>
          </v:shape>
          <o:OLEObject Type="Embed" ProgID="Equation.KSEE3" ShapeID="_x0000_i1027" DrawAspect="Content" ObjectID="_1468075727" r:id="rId30">
            <o:LockedField>false</o:LockedField>
          </o:OLEObject>
        </w:object>
      </w:r>
    </w:p>
    <w:p w14:paraId="04A0697D">
      <w:pPr>
        <w:keepNext w:val="0"/>
        <w:keepLines w:val="0"/>
        <w:pageBreakBefore w:val="0"/>
        <w:widowControl/>
        <w:kinsoku w:val="0"/>
        <w:wordWrap w:val="0"/>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28" o:spt="75" type="#_x0000_t75" style="height:33.95pt;width:200.95pt;" o:ole="t" filled="f" stroked="f" coordsize="21600,21600">
            <v:path/>
            <v:fill on="f" focussize="0,0"/>
            <v:stroke on="f"/>
            <v:imagedata r:id="rId33" o:title=""/>
            <o:lock v:ext="edit" grouping="f" rotation="f" text="f" aspectratio="t"/>
            <w10:wrap type="none"/>
            <w10:anchorlock/>
          </v:shape>
          <o:OLEObject Type="Embed" ProgID="Equation.KSEE3" ShapeID="_x0000_i1028" DrawAspect="Content" ObjectID="_1468075728" r:id="rId32">
            <o:LockedField>false</o:LockedField>
          </o:OLEObject>
        </w:object>
      </w:r>
    </w:p>
    <w:p w14:paraId="6F0A241C">
      <w:pPr>
        <w:keepNext w:val="0"/>
        <w:keepLines w:val="0"/>
        <w:pageBreakBefore w:val="0"/>
        <w:widowControl/>
        <w:kinsoku w:val="0"/>
        <w:wordWrap w:val="0"/>
        <w:overflowPunct/>
        <w:topLinePunct w:val="0"/>
        <w:autoSpaceDE w:val="0"/>
        <w:autoSpaceDN w:val="0"/>
        <w:bidi w:val="0"/>
        <w:adjustRightInd w:val="0"/>
        <w:snapToGrid w:val="0"/>
        <w:spacing w:line="240" w:lineRule="auto"/>
        <w:ind w:firstLine="482"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c</w:t>
      </w:r>
      <w:r>
        <w:rPr>
          <w:rFonts w:hint="eastAsia" w:ascii="宋体" w:hAnsi="宋体" w:eastAsia="宋体" w:cs="宋体"/>
          <w:snapToGrid w:val="0"/>
          <w:color w:val="000000"/>
          <w:kern w:val="0"/>
          <w:sz w:val="24"/>
          <w:szCs w:val="24"/>
          <w:highlight w:val="none"/>
        </w:rPr>
        <w:t>．如果中标单价等于基准单价，该材料、工程设备的结算单价调整公式为：</w:t>
      </w:r>
    </w:p>
    <w:p w14:paraId="745873E4">
      <w:pPr>
        <w:keepNext w:val="0"/>
        <w:keepLines w:val="0"/>
        <w:pageBreakBefore w:val="0"/>
        <w:widowControl/>
        <w:kinsoku w:val="0"/>
        <w:wordWrap w:val="0"/>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29" o:spt="75" type="#_x0000_t75" style="height:33.95pt;width:200.95pt;" o:ole="t" filled="f" stroked="f" coordsize="21600,21600">
            <v:path/>
            <v:fill on="f" focussize="0,0"/>
            <v:stroke on="f"/>
            <v:imagedata r:id="rId35" o:title=""/>
            <o:lock v:ext="edit" grouping="f" rotation="f" text="f" aspectratio="t"/>
            <w10:wrap type="none"/>
            <w10:anchorlock/>
          </v:shape>
          <o:OLEObject Type="Embed" ProgID="Equation.KSEE3" ShapeID="_x0000_i1029" DrawAspect="Content" ObjectID="_1468075729" r:id="rId34">
            <o:LockedField>false</o:LockedField>
          </o:OLEObject>
        </w:object>
      </w:r>
    </w:p>
    <w:p w14:paraId="56530CD8">
      <w:pPr>
        <w:keepNext w:val="0"/>
        <w:keepLines w:val="0"/>
        <w:pageBreakBefore w:val="0"/>
        <w:widowControl/>
        <w:kinsoku w:val="0"/>
        <w:wordWrap w:val="0"/>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0" o:spt="75" type="#_x0000_t75" style="height:33.95pt;width:200.95pt;" o:ole="t" filled="f" o:preferrelative="t" stroked="f" coordsize="21600,21600">
            <v:path/>
            <v:fill on="f" focussize="0,0"/>
            <v:stroke on="f"/>
            <v:imagedata r:id="rId37" o:title=""/>
            <o:lock v:ext="edit" grouping="f" rotation="f" text="f" aspectratio="t"/>
            <w10:wrap type="none"/>
            <w10:anchorlock/>
          </v:shape>
          <o:OLEObject Type="Embed" ProgID="Equation.KSEE3" ShapeID="_x0000_i1030" DrawAspect="Content" ObjectID="_1468075730" r:id="rId36">
            <o:LockedField>false</o:LockedField>
          </o:OLEObject>
        </w:object>
      </w:r>
    </w:p>
    <w:p w14:paraId="7DC77EA7">
      <w:pPr>
        <w:keepNext w:val="0"/>
        <w:keepLines w:val="0"/>
        <w:pageBreakBefore w:val="0"/>
        <w:wordWrap w:val="0"/>
        <w:overflowPunct/>
        <w:topLinePunct w:val="0"/>
        <w:bidi w:val="0"/>
        <w:adjustRightInd w:val="0"/>
        <w:snapToGrid w:val="0"/>
        <w:spacing w:beforeAutospacing="0" w:afterAutospacing="0" w:line="360" w:lineRule="auto"/>
        <w:ind w:left="0" w:right="0"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以上公式中，F1为中标单价；F0为基准单价、指项目所在地工程造价管理机构</w:t>
      </w:r>
      <w:r>
        <w:rPr>
          <w:rFonts w:hint="eastAsia" w:ascii="宋体" w:hAnsi="宋体" w:eastAsia="宋体" w:cs="宋体"/>
          <w:snapToGrid w:val="0"/>
          <w:color w:val="000000"/>
          <w:kern w:val="0"/>
          <w:sz w:val="24"/>
          <w:szCs w:val="24"/>
          <w:highlight w:val="none"/>
          <w:lang w:eastAsia="zh-CN"/>
        </w:rPr>
        <w:t>最高投标限价</w:t>
      </w:r>
      <w:r>
        <w:rPr>
          <w:rFonts w:hint="eastAsia" w:ascii="宋体" w:hAnsi="宋体" w:eastAsia="宋体" w:cs="宋体"/>
          <w:snapToGrid w:val="0"/>
          <w:color w:val="000000"/>
          <w:kern w:val="0"/>
          <w:sz w:val="24"/>
          <w:szCs w:val="24"/>
          <w:highlight w:val="none"/>
        </w:rPr>
        <w:t>审定当月发布的材料、工程设备单价； F2为施工当月项目所在地工程造价管理机构发布的材料、工程设备单价；A为合同约定的材料、工程设备单价涨跌风险幅度值。</w:t>
      </w:r>
    </w:p>
    <w:p w14:paraId="33C9BD0A">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2.3.6.3</w:t>
      </w:r>
      <w:r>
        <w:rPr>
          <w:rFonts w:hint="eastAsia" w:ascii="宋体" w:hAnsi="宋体" w:eastAsia="宋体" w:cs="宋体"/>
          <w:snapToGrid w:val="0"/>
          <w:color w:val="000000"/>
          <w:kern w:val="0"/>
          <w:sz w:val="24"/>
          <w:szCs w:val="24"/>
          <w:highlight w:val="none"/>
        </w:rPr>
        <w:t xml:space="preserve"> 合同履行期间，当《承包人提供可调价主要材料表一》中的材料、工程设备单价发生变化时，由发包人按照实际变化调整，并列入合同价款。（</w:t>
      </w:r>
      <w:r>
        <w:rPr>
          <w:rFonts w:hint="eastAsia" w:ascii="宋体" w:hAnsi="宋体" w:eastAsia="宋体" w:cs="宋体"/>
          <w:snapToGrid w:val="0"/>
          <w:color w:val="000000"/>
          <w:kern w:val="0"/>
          <w:sz w:val="24"/>
          <w:szCs w:val="24"/>
          <w:highlight w:val="none"/>
          <w:lang w:eastAsia="zh-CN"/>
        </w:rPr>
        <w:t>本项目招标人不提供发包材料</w:t>
      </w:r>
      <w:r>
        <w:rPr>
          <w:rFonts w:hint="eastAsia" w:ascii="宋体" w:hAnsi="宋体" w:eastAsia="宋体" w:cs="宋体"/>
          <w:snapToGrid w:val="0"/>
          <w:color w:val="000000"/>
          <w:kern w:val="0"/>
          <w:sz w:val="24"/>
          <w:szCs w:val="24"/>
          <w:highlight w:val="none"/>
        </w:rPr>
        <w:t>）</w:t>
      </w:r>
    </w:p>
    <w:p w14:paraId="6412C408">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2.3.6.4</w:t>
      </w:r>
      <w:r>
        <w:rPr>
          <w:rFonts w:hint="eastAsia" w:ascii="宋体" w:hAnsi="宋体" w:eastAsia="宋体" w:cs="宋体"/>
          <w:snapToGrid w:val="0"/>
          <w:color w:val="000000"/>
          <w:kern w:val="0"/>
          <w:sz w:val="24"/>
          <w:szCs w:val="24"/>
          <w:highlight w:val="none"/>
        </w:rPr>
        <w:t xml:space="preserve"> 本招标项目约定，施工机具台班单价涨跌风险幅度值B为</w:t>
      </w:r>
      <w:r>
        <w:rPr>
          <w:rFonts w:hint="eastAsia" w:ascii="宋体" w:hAnsi="宋体" w:eastAsia="宋体" w:cs="宋体"/>
          <w:snapToGrid w:val="0"/>
          <w:color w:val="000000"/>
          <w:kern w:val="0"/>
          <w:sz w:val="24"/>
          <w:szCs w:val="24"/>
          <w:highlight w:val="none"/>
          <w:u w:val="single"/>
        </w:rPr>
        <w:t xml:space="preserve"> 10% </w:t>
      </w:r>
      <w:r>
        <w:rPr>
          <w:rFonts w:hint="eastAsia" w:ascii="宋体" w:hAnsi="宋体" w:eastAsia="宋体" w:cs="宋体"/>
          <w:snapToGrid w:val="0"/>
          <w:color w:val="000000"/>
          <w:kern w:val="0"/>
          <w:sz w:val="24"/>
          <w:szCs w:val="24"/>
          <w:highlight w:val="none"/>
        </w:rPr>
        <w:t>。合同履行期间，当施工机具台班单价涨跌幅度等于或低于B值时，该施工机具台班单价不予调整；超过B值时，其超过部分可以调整。相关费用按有关规定进行相应调整。</w:t>
      </w:r>
    </w:p>
    <w:p w14:paraId="193F3A14">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a</w:t>
      </w:r>
      <w:r>
        <w:rPr>
          <w:rFonts w:hint="eastAsia" w:ascii="宋体" w:hAnsi="宋体" w:eastAsia="宋体" w:cs="宋体"/>
          <w:snapToGrid w:val="0"/>
          <w:color w:val="000000"/>
          <w:kern w:val="0"/>
          <w:sz w:val="24"/>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313731E9">
      <w:pPr>
        <w:keepNext w:val="0"/>
        <w:keepLines w:val="0"/>
        <w:pageBreakBefore w:val="0"/>
        <w:wordWrap w:val="0"/>
        <w:overflowPunct/>
        <w:topLinePunct w:val="0"/>
        <w:bidi w:val="0"/>
        <w:adjustRightInd w:val="0"/>
        <w:snapToGrid w:val="0"/>
        <w:spacing w:beforeAutospacing="0" w:afterAutospacing="0" w:line="360" w:lineRule="auto"/>
        <w:ind w:left="0" w:right="0"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31" o:spt="75" type="#_x0000_t75" style="height:33.95pt;width:200.95pt;" o:ole="t" filled="f" o:preferrelative="t" stroked="f" coordsize="21600,21600">
            <v:path/>
            <v:fill on="f" focussize="0,0"/>
            <v:stroke on="f"/>
            <v:imagedata r:id="rId39" o:title=""/>
            <o:lock v:ext="edit" grouping="f" rotation="f" text="f" aspectratio="t"/>
            <w10:wrap type="none"/>
            <w10:anchorlock/>
          </v:shape>
          <o:OLEObject Type="Embed" ProgID="Equation.KSEE3" ShapeID="_x0000_i1031" DrawAspect="Content" ObjectID="_1468075731" r:id="rId38">
            <o:LockedField>false</o:LockedField>
          </o:OLEObject>
        </w:object>
      </w:r>
    </w:p>
    <w:p w14:paraId="50216C17">
      <w:pPr>
        <w:keepNext w:val="0"/>
        <w:keepLines w:val="0"/>
        <w:pageBreakBefore w:val="0"/>
        <w:wordWrap w:val="0"/>
        <w:overflowPunct/>
        <w:topLinePunct w:val="0"/>
        <w:bidi w:val="0"/>
        <w:adjustRightInd w:val="0"/>
        <w:spacing w:beforeAutospacing="0" w:afterAutospacing="0" w:line="360" w:lineRule="auto"/>
        <w:ind w:left="0" w:right="0"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2" o:spt="75" type="#_x0000_t75" style="height:33.95pt;width:198pt;" o:ole="t" filled="f" o:preferrelative="t" stroked="f" coordsize="21600,21600">
            <v:path/>
            <v:fill on="f" focussize="0,0"/>
            <v:stroke on="f"/>
            <v:imagedata r:id="rId41" o:title=""/>
            <o:lock v:ext="edit" grouping="f" rotation="f" text="f" aspectratio="t"/>
            <w10:wrap type="none"/>
            <w10:anchorlock/>
          </v:shape>
          <o:OLEObject Type="Embed" ProgID="Equation.KSEE3" ShapeID="_x0000_i1032" DrawAspect="Content" ObjectID="_1468075732" r:id="rId40">
            <o:LockedField>false</o:LockedField>
          </o:OLEObject>
        </w:object>
      </w:r>
    </w:p>
    <w:p w14:paraId="3706AF70">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b</w:t>
      </w:r>
      <w:r>
        <w:rPr>
          <w:rFonts w:hint="eastAsia" w:ascii="宋体" w:hAnsi="宋体" w:eastAsia="宋体" w:cs="宋体"/>
          <w:snapToGrid w:val="0"/>
          <w:color w:val="000000"/>
          <w:kern w:val="0"/>
          <w:sz w:val="24"/>
          <w:szCs w:val="24"/>
          <w:highlight w:val="none"/>
        </w:rPr>
        <w:t>．如果中标单价高于基准单价，该施工机具台班的结算单价调整公式为：</w:t>
      </w:r>
    </w:p>
    <w:p w14:paraId="08B5A127">
      <w:pPr>
        <w:keepNext w:val="0"/>
        <w:keepLines w:val="0"/>
        <w:pageBreakBefore w:val="0"/>
        <w:wordWrap w:val="0"/>
        <w:overflowPunct/>
        <w:topLinePunct w:val="0"/>
        <w:bidi w:val="0"/>
        <w:adjustRightInd w:val="0"/>
        <w:snapToGrid w:val="0"/>
        <w:spacing w:beforeAutospacing="0" w:afterAutospacing="0" w:line="360" w:lineRule="auto"/>
        <w:ind w:left="0" w:right="0"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33" o:spt="75" type="#_x0000_t75" style="height:33.95pt;width:198pt;" o:ole="t" filled="f" o:preferrelative="t" stroked="f" coordsize="21600,21600">
            <v:path/>
            <v:fill on="f" focussize="0,0"/>
            <v:stroke on="f"/>
            <v:imagedata r:id="rId43" o:title=""/>
            <o:lock v:ext="edit" grouping="f" rotation="f" text="f" aspectratio="t"/>
            <w10:wrap type="none"/>
            <w10:anchorlock/>
          </v:shape>
          <o:OLEObject Type="Embed" ProgID="Equation.KSEE3" ShapeID="_x0000_i1033" DrawAspect="Content" ObjectID="_1468075733" r:id="rId42">
            <o:LockedField>false</o:LockedField>
          </o:OLEObject>
        </w:object>
      </w:r>
    </w:p>
    <w:p w14:paraId="2FC5CD94">
      <w:pPr>
        <w:keepNext w:val="0"/>
        <w:keepLines w:val="0"/>
        <w:pageBreakBefore w:val="0"/>
        <w:wordWrap w:val="0"/>
        <w:overflowPunct/>
        <w:topLinePunct w:val="0"/>
        <w:bidi w:val="0"/>
        <w:adjustRightInd w:val="0"/>
        <w:spacing w:beforeAutospacing="0" w:afterAutospacing="0" w:line="360" w:lineRule="auto"/>
        <w:ind w:left="0" w:right="0"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4" o:spt="75" type="#_x0000_t75" style="height:33.95pt;width:200.95pt;" o:ole="t" filled="f" o:preferrelative="t" stroked="f" coordsize="21600,21600">
            <v:path/>
            <v:fill on="f" focussize="0,0"/>
            <v:stroke on="f"/>
            <v:imagedata r:id="rId45" o:title=""/>
            <o:lock v:ext="edit" grouping="f" rotation="f" text="f" aspectratio="t"/>
            <w10:wrap type="none"/>
            <w10:anchorlock/>
          </v:shape>
          <o:OLEObject Type="Embed" ProgID="Equation.KSEE3" ShapeID="_x0000_i1034" DrawAspect="Content" ObjectID="_1468075734" r:id="rId44">
            <o:LockedField>false</o:LockedField>
          </o:OLEObject>
        </w:object>
      </w:r>
    </w:p>
    <w:p w14:paraId="28EAE70E">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c</w:t>
      </w:r>
      <w:r>
        <w:rPr>
          <w:rFonts w:hint="eastAsia" w:ascii="宋体" w:hAnsi="宋体" w:eastAsia="宋体" w:cs="宋体"/>
          <w:snapToGrid w:val="0"/>
          <w:color w:val="000000"/>
          <w:kern w:val="0"/>
          <w:sz w:val="24"/>
          <w:szCs w:val="24"/>
          <w:highlight w:val="none"/>
        </w:rPr>
        <w:t>．如果中标单价等于基准单价，该施工机具台班的结算单价调整公式为：</w:t>
      </w:r>
    </w:p>
    <w:p w14:paraId="3226DF70">
      <w:pPr>
        <w:keepNext w:val="0"/>
        <w:keepLines w:val="0"/>
        <w:pageBreakBefore w:val="0"/>
        <w:wordWrap w:val="0"/>
        <w:overflowPunct/>
        <w:topLinePunct w:val="0"/>
        <w:bidi w:val="0"/>
        <w:adjustRightInd w:val="0"/>
        <w:snapToGrid w:val="0"/>
        <w:spacing w:beforeAutospacing="0" w:afterAutospacing="0" w:line="360" w:lineRule="auto"/>
        <w:ind w:left="0" w:right="0"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涨价时，</w:t>
      </w:r>
      <w:r>
        <w:rPr>
          <w:rFonts w:hint="eastAsia" w:ascii="宋体" w:hAnsi="宋体" w:eastAsia="宋体" w:cs="宋体"/>
          <w:snapToGrid w:val="0"/>
          <w:color w:val="000000"/>
          <w:kern w:val="0"/>
          <w:position w:val="-30"/>
          <w:sz w:val="24"/>
          <w:szCs w:val="24"/>
          <w:highlight w:val="none"/>
        </w:rPr>
        <w:object>
          <v:shape id="_x0000_i1035" o:spt="75" type="#_x0000_t75" style="height:33.95pt;width:200.95pt;" o:ole="t" filled="f" o:preferrelative="t" stroked="f" coordsize="21600,21600">
            <v:path/>
            <v:fill on="f" focussize="0,0"/>
            <v:stroke on="f"/>
            <v:imagedata r:id="rId47" o:title=""/>
            <o:lock v:ext="edit" grouping="f" rotation="f" text="f" aspectratio="t"/>
            <w10:wrap type="none"/>
            <w10:anchorlock/>
          </v:shape>
          <o:OLEObject Type="Embed" ProgID="Equation.KSEE3" ShapeID="_x0000_i1035" DrawAspect="Content" ObjectID="_1468075735" r:id="rId46">
            <o:LockedField>false</o:LockedField>
          </o:OLEObject>
        </w:object>
      </w:r>
    </w:p>
    <w:p w14:paraId="60ED0DA6">
      <w:pPr>
        <w:keepNext w:val="0"/>
        <w:keepLines w:val="0"/>
        <w:pageBreakBefore w:val="0"/>
        <w:wordWrap w:val="0"/>
        <w:overflowPunct/>
        <w:topLinePunct w:val="0"/>
        <w:bidi w:val="0"/>
        <w:adjustRightInd w:val="0"/>
        <w:spacing w:beforeAutospacing="0" w:afterAutospacing="0" w:line="360" w:lineRule="auto"/>
        <w:ind w:left="0" w:right="0" w:firstLine="480"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跌价时，</w:t>
      </w:r>
      <w:r>
        <w:rPr>
          <w:rFonts w:hint="eastAsia" w:ascii="宋体" w:hAnsi="宋体" w:eastAsia="宋体" w:cs="宋体"/>
          <w:snapToGrid w:val="0"/>
          <w:color w:val="000000"/>
          <w:kern w:val="0"/>
          <w:position w:val="-30"/>
          <w:sz w:val="24"/>
          <w:szCs w:val="24"/>
          <w:highlight w:val="none"/>
        </w:rPr>
        <w:object>
          <v:shape id="_x0000_i1036" o:spt="75" type="#_x0000_t75" style="height:33.95pt;width:200.95pt;" o:ole="t" filled="f" o:preferrelative="t" stroked="f" coordsize="21600,21600">
            <v:path/>
            <v:fill on="f" focussize="0,0"/>
            <v:stroke on="f"/>
            <v:imagedata r:id="rId49" o:title=""/>
            <o:lock v:ext="edit" grouping="f" rotation="f" text="f" aspectratio="t"/>
            <w10:wrap type="none"/>
            <w10:anchorlock/>
          </v:shape>
          <o:OLEObject Type="Embed" ProgID="Equation.KSEE3" ShapeID="_x0000_i1036" DrawAspect="Content" ObjectID="_1468075736" r:id="rId48">
            <o:LockedField>false</o:LockedField>
          </o:OLEObject>
        </w:object>
      </w:r>
    </w:p>
    <w:p w14:paraId="01963432">
      <w:pPr>
        <w:keepNext w:val="0"/>
        <w:keepLines w:val="0"/>
        <w:pageBreakBefore w:val="0"/>
        <w:wordWrap w:val="0"/>
        <w:overflowPunct/>
        <w:topLinePunct w:val="0"/>
        <w:bidi w:val="0"/>
        <w:adjustRightInd w:val="0"/>
        <w:snapToGrid w:val="0"/>
        <w:spacing w:beforeAutospacing="0" w:afterAutospacing="0" w:line="360" w:lineRule="auto"/>
        <w:ind w:left="0" w:right="0" w:firstLine="480" w:firstLineChars="200"/>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以上公式中，F1为中标单价；F0为基准单价；F2为施工当月项目所在地工程造价管理机构发布的施工机具台班单价；B为合同约定的施工机具台班单价涨跌风险幅度值。</w:t>
      </w:r>
    </w:p>
    <w:p w14:paraId="793AC309">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2.3.7</w:t>
      </w:r>
      <w:r>
        <w:rPr>
          <w:rFonts w:hint="eastAsia" w:ascii="宋体" w:hAnsi="宋体" w:eastAsia="宋体" w:cs="宋体"/>
          <w:bCs/>
          <w:snapToGrid w:val="0"/>
          <w:color w:val="000000"/>
          <w:kern w:val="0"/>
          <w:sz w:val="24"/>
          <w:szCs w:val="24"/>
          <w:highlight w:val="none"/>
        </w:rPr>
        <w:t xml:space="preserve"> 暂估价和暂列金额</w:t>
      </w:r>
    </w:p>
    <w:p w14:paraId="1A6C8CBF">
      <w:pPr>
        <w:keepNext w:val="0"/>
        <w:keepLines w:val="0"/>
        <w:pageBreakBefore w:val="0"/>
        <w:widowControl/>
        <w:suppressLineNumbers w:val="0"/>
        <w:overflowPunct/>
        <w:topLinePunct w:val="0"/>
        <w:bidi w:val="0"/>
        <w:spacing w:beforeAutospacing="0" w:afterAutospacing="0" w:line="360" w:lineRule="auto"/>
        <w:ind w:left="0" w:right="0" w:firstLine="482" w:firstLineChars="200"/>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2.3.7.1 </w:t>
      </w:r>
      <w:r>
        <w:rPr>
          <w:rFonts w:hint="eastAsia" w:ascii="宋体" w:hAnsi="宋体" w:eastAsia="宋体" w:cs="宋体"/>
          <w:color w:val="000000"/>
          <w:kern w:val="0"/>
          <w:sz w:val="24"/>
          <w:szCs w:val="24"/>
          <w:highlight w:val="none"/>
          <w:lang w:val="en-US" w:eastAsia="zh-CN" w:bidi="ar"/>
        </w:rPr>
        <w:t xml:space="preserve">暂估价项目按第一章第三节“投标人须知正文”第 </w:t>
      </w:r>
      <w:r>
        <w:rPr>
          <w:rFonts w:hint="eastAsia" w:ascii="宋体" w:hAnsi="宋体" w:eastAsia="宋体" w:cs="宋体"/>
          <w:b/>
          <w:bCs/>
          <w:color w:val="000000"/>
          <w:kern w:val="0"/>
          <w:sz w:val="24"/>
          <w:szCs w:val="24"/>
          <w:highlight w:val="none"/>
          <w:lang w:val="en-US" w:eastAsia="zh-CN" w:bidi="ar"/>
        </w:rPr>
        <w:t xml:space="preserve">8.5 </w:t>
      </w:r>
      <w:r>
        <w:rPr>
          <w:rFonts w:hint="eastAsia" w:ascii="宋体" w:hAnsi="宋体" w:eastAsia="宋体" w:cs="宋体"/>
          <w:color w:val="000000"/>
          <w:kern w:val="0"/>
          <w:sz w:val="24"/>
          <w:szCs w:val="24"/>
          <w:highlight w:val="none"/>
          <w:lang w:val="en-US" w:eastAsia="zh-CN" w:bidi="ar"/>
        </w:rPr>
        <w:t xml:space="preserve">条的规定确定专业工程承包人（或材料供应商、工程设备供应商）后，将专业工程合同价款（或材料单价、工程设备单价）取代相应暂估价，并调整合同价款。 </w:t>
      </w:r>
    </w:p>
    <w:p w14:paraId="735F8F0F">
      <w:pPr>
        <w:keepNext w:val="0"/>
        <w:keepLines w:val="0"/>
        <w:pageBreakBefore w:val="0"/>
        <w:widowControl/>
        <w:suppressLineNumbers w:val="0"/>
        <w:overflowPunct/>
        <w:topLinePunct w:val="0"/>
        <w:bidi w:val="0"/>
        <w:spacing w:beforeAutospacing="0" w:afterAutospacing="0" w:line="360" w:lineRule="auto"/>
        <w:ind w:left="0" w:right="0" w:firstLine="480" w:firstLineChars="200"/>
        <w:jc w:val="left"/>
        <w:rPr>
          <w:rFonts w:hint="eastAsia" w:ascii="宋体" w:hAnsi="宋体" w:eastAsia="宋体" w:cs="宋体"/>
          <w:b/>
          <w:bCs/>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结算时暂估价（若有）中所列的材料（设备）数量按实际发生数量计算；承包人须提供材料（设备）的发票及购销合同，并提供详细的图纸、工程量计算式、施工图片、现场记录、转账记录等佐证作为结算依据，以实际采购单价为结算价，但不得高于本次招标工程量清单中的材料（设备）单价。 </w:t>
      </w:r>
    </w:p>
    <w:p w14:paraId="685A8F70">
      <w:pPr>
        <w:keepNext w:val="0"/>
        <w:keepLines w:val="0"/>
        <w:pageBreakBefore w:val="0"/>
        <w:widowControl/>
        <w:suppressLineNumbers w:val="0"/>
        <w:overflowPunct/>
        <w:topLinePunct w:val="0"/>
        <w:bidi w:val="0"/>
        <w:spacing w:beforeAutospacing="0" w:afterAutospacing="0" w:line="360" w:lineRule="auto"/>
        <w:ind w:left="0" w:right="0" w:firstLine="482" w:firstLineChars="200"/>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2.3.7.2 </w:t>
      </w:r>
      <w:r>
        <w:rPr>
          <w:rFonts w:hint="eastAsia" w:ascii="宋体" w:hAnsi="宋体" w:eastAsia="宋体" w:cs="宋体"/>
          <w:color w:val="000000"/>
          <w:kern w:val="0"/>
          <w:sz w:val="24"/>
          <w:szCs w:val="24"/>
          <w:highlight w:val="none"/>
          <w:lang w:val="en-US" w:eastAsia="zh-CN" w:bidi="ar"/>
        </w:rPr>
        <w:t xml:space="preserve">暂列金额由发包人掌握和使用。暂列金额项目若有发生，按第一章第三节“投标人须知正文”第 </w:t>
      </w:r>
      <w:r>
        <w:rPr>
          <w:rFonts w:hint="eastAsia" w:ascii="宋体" w:hAnsi="宋体" w:eastAsia="宋体" w:cs="宋体"/>
          <w:b/>
          <w:bCs/>
          <w:color w:val="000000"/>
          <w:kern w:val="0"/>
          <w:sz w:val="24"/>
          <w:szCs w:val="24"/>
          <w:highlight w:val="none"/>
          <w:lang w:val="en-US" w:eastAsia="zh-CN" w:bidi="ar"/>
        </w:rPr>
        <w:t xml:space="preserve">8.6 </w:t>
      </w:r>
      <w:r>
        <w:rPr>
          <w:rFonts w:hint="eastAsia" w:ascii="宋体" w:hAnsi="宋体" w:eastAsia="宋体" w:cs="宋体"/>
          <w:color w:val="000000"/>
          <w:kern w:val="0"/>
          <w:sz w:val="24"/>
          <w:szCs w:val="24"/>
          <w:highlight w:val="none"/>
          <w:lang w:val="en-US" w:eastAsia="zh-CN" w:bidi="ar"/>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暂列金额用于以下情形：（1）施工合同签订时尚未确定或者不可预见的所需材料、设备、服务的采购，施工中可能发生的工程变更、合同约定调整因素出现时的工程价款调整以及发生的索赔、现场签证确认等的费用。（2）国家政策性人工价差调整。（3）当合同履行期间，因人工、材料、工程设备、机械台班价格波动影响合同价款时，引起工程所在地工程造价管理机构发布的价格信息中材料、工程设备价格（仅限于钢筋、商品砼、水泥、砂、石、商品砂浆、电缆）变化超过5%或施工机械使用费变化超过10%时，发包人或承包人材料价格可调整5%以外的部分、施工机械使用费可调整10%以外的部分。（4）征拆后地表以下构筑物清运费用，预算未包含相关费用，结算时根据实际工程量在暂列金额中计算。（5）前期土方工程中的垃圾消纳处理费（若有）结算时提供签证、发票等作为依据。（6）施工合同签订时尚未确定或者不可预见的所需材料、设备、服务的采购。（7）工程量清单未体现的其他清单项。结算时按实际发生根据本章“3.工程付款办法”有关条款进行结算。</w:t>
      </w:r>
    </w:p>
    <w:p w14:paraId="41F4E532">
      <w:pPr>
        <w:keepNext w:val="0"/>
        <w:keepLines w:val="0"/>
        <w:pageBreakBefore w:val="0"/>
        <w:widowControl/>
        <w:suppressLineNumbers w:val="0"/>
        <w:overflowPunct/>
        <w:topLinePunct w:val="0"/>
        <w:bidi w:val="0"/>
        <w:spacing w:beforeAutospacing="0" w:afterAutospacing="0" w:line="360" w:lineRule="auto"/>
        <w:ind w:left="0" w:right="0" w:firstLine="482" w:firstLineChars="200"/>
        <w:jc w:val="left"/>
        <w:rPr>
          <w:rFonts w:hint="eastAsia" w:ascii="宋体" w:hAnsi="宋体" w:eastAsia="宋体" w:cs="宋体"/>
          <w:color w:val="000000"/>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2.3.8 </w:t>
      </w:r>
      <w:r>
        <w:rPr>
          <w:rFonts w:hint="eastAsia" w:ascii="宋体" w:hAnsi="宋体" w:eastAsia="宋体" w:cs="宋体"/>
          <w:color w:val="000000"/>
          <w:kern w:val="0"/>
          <w:sz w:val="24"/>
          <w:szCs w:val="24"/>
          <w:highlight w:val="none"/>
          <w:lang w:val="en-US" w:eastAsia="zh-CN" w:bidi="ar"/>
        </w:rPr>
        <w:t xml:space="preserve">预算包干费按相关规定计算，本招标项目的预算包干费内容包括： </w:t>
      </w:r>
    </w:p>
    <w:p w14:paraId="4E3B4A77">
      <w:pPr>
        <w:keepNext w:val="0"/>
        <w:keepLines w:val="0"/>
        <w:pageBreakBefore w:val="0"/>
        <w:widowControl/>
        <w:suppressLineNumbers w:val="0"/>
        <w:overflowPunct/>
        <w:topLinePunct w:val="0"/>
        <w:bidi w:val="0"/>
        <w:spacing w:beforeAutospacing="0" w:afterAutospacing="0" w:line="360" w:lineRule="auto"/>
        <w:ind w:left="0" w:right="0"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1）土建与装饰装修工程预算包干费按分部分项的人工费与施工机具费之和的7%计算，施工雨水、污水的排除；因地形影响造成的场内料具二次运输；20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w:t>
      </w:r>
    </w:p>
    <w:p w14:paraId="768D689D">
      <w:pPr>
        <w:keepNext w:val="0"/>
        <w:keepLines w:val="0"/>
        <w:pageBreakBefore w:val="0"/>
        <w:widowControl/>
        <w:suppressLineNumbers w:val="0"/>
        <w:overflowPunct/>
        <w:topLinePunct w:val="0"/>
        <w:bidi w:val="0"/>
        <w:spacing w:beforeAutospacing="0" w:afterAutospacing="0" w:line="360" w:lineRule="auto"/>
        <w:ind w:left="0" w:right="0"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（2）市政工程预算包干费按分部分项的人工费与施工机具费之和的 6%计算，预算包干包括：施工雨(污)水的排除、因地形影响造成的场内料具二次运输、施工材料堆放场地的整理、施工中的临时停水停电、基础埋深 2m 以内挖土方的塌方、日间照明施工增加费(不包括地下室和特殊工程)、完工清场后的垃圾外运、地上(地下)设施，建筑物的临时保护设施费和二次加工基地设施费、雨季施工增加费、已完工程及设备保护等，包干的内容不再依据方案或签证计算费用。 </w:t>
      </w:r>
    </w:p>
    <w:p w14:paraId="50B6796A">
      <w:pPr>
        <w:keepNext w:val="0"/>
        <w:keepLines w:val="0"/>
        <w:pageBreakBefore w:val="0"/>
        <w:widowControl/>
        <w:suppressLineNumbers w:val="0"/>
        <w:overflowPunct/>
        <w:topLinePunct w:val="0"/>
        <w:bidi w:val="0"/>
        <w:spacing w:beforeAutospacing="0" w:afterAutospacing="0" w:line="360" w:lineRule="auto"/>
        <w:ind w:left="0" w:right="0"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 xml:space="preserve">（3）园林绿化工程预算包干费按分部分项的人工费与施工机具费之和的 6%计算，预算包干内容包括：施工雨(污)水的排除；场内料具二次运输；树穴内的泥浆清除；工程用水加压措施；施工材料堆放场地的整理；工程成品的保护；施工中的临时停水停电；日间施工照明增加费；完工后的场地清理。 </w:t>
      </w:r>
    </w:p>
    <w:p w14:paraId="200738E7">
      <w:pPr>
        <w:keepNext w:val="0"/>
        <w:keepLines w:val="0"/>
        <w:pageBreakBefore w:val="0"/>
        <w:widowControl/>
        <w:suppressLineNumbers w:val="0"/>
        <w:overflowPunct/>
        <w:topLinePunct w:val="0"/>
        <w:bidi w:val="0"/>
        <w:spacing w:beforeAutospacing="0" w:afterAutospacing="0" w:line="360" w:lineRule="auto"/>
        <w:ind w:left="0" w:right="0"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（4）安装工程预算包干费按分部分项的人工费与施工机具费之和的10%计算，预算包干内容包括：施工雨(污)水的排除、因地形影响造成的场内料具二次运输、20m 高以下的工程用水加压措施、施工材料堆放场地的整理、机电安装后的补洞(槽)工料费、工程成品保护费、施工中的临时停水停电、基础埋深 2m 以内挖土方的塌方、日间照明施工增加费(不包括地下室和特殊工程)、完工清场后的垃圾外运等。对于以上预算包干内容，承包人不得提出额外付款或延长工期等要求。对此类要求，发包人不作任何考虑及答复。</w:t>
      </w:r>
    </w:p>
    <w:p w14:paraId="288FD55C">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bCs/>
          <w:snapToGrid w:val="0"/>
          <w:color w:val="000000"/>
          <w:kern w:val="0"/>
          <w:sz w:val="24"/>
          <w:szCs w:val="24"/>
          <w:highlight w:val="none"/>
        </w:rPr>
      </w:pPr>
      <w:r>
        <w:rPr>
          <w:rFonts w:hint="eastAsia" w:ascii="宋体" w:hAnsi="宋体" w:eastAsia="宋体" w:cs="宋体"/>
          <w:b/>
          <w:snapToGrid w:val="0"/>
          <w:color w:val="000000"/>
          <w:kern w:val="0"/>
          <w:sz w:val="24"/>
          <w:szCs w:val="24"/>
          <w:highlight w:val="none"/>
        </w:rPr>
        <w:t>2.3.9</w:t>
      </w:r>
      <w:r>
        <w:rPr>
          <w:rFonts w:hint="eastAsia" w:ascii="宋体" w:hAnsi="宋体" w:eastAsia="宋体" w:cs="宋体"/>
          <w:bCs/>
          <w:snapToGrid w:val="0"/>
          <w:color w:val="000000"/>
          <w:kern w:val="0"/>
          <w:sz w:val="24"/>
          <w:szCs w:val="24"/>
          <w:highlight w:val="none"/>
        </w:rPr>
        <w:t xml:space="preserve"> 其余事项（如不可抗力、索赔、现场签证等）的调整原则按照</w:t>
      </w:r>
      <w:r>
        <w:rPr>
          <w:rFonts w:hint="eastAsia" w:ascii="宋体" w:hAnsi="宋体" w:eastAsia="宋体" w:cs="宋体"/>
          <w:bCs/>
          <w:snapToGrid w:val="0"/>
          <w:color w:val="000000"/>
          <w:kern w:val="0"/>
          <w:sz w:val="24"/>
          <w:szCs w:val="24"/>
          <w:highlight w:val="none"/>
          <w:lang w:eastAsia="zh-CN"/>
        </w:rPr>
        <w:t>《建设工程工程量清单计价标准》（GB/T50500—2024）</w:t>
      </w:r>
      <w:r>
        <w:rPr>
          <w:rFonts w:hint="eastAsia" w:ascii="宋体" w:hAnsi="宋体" w:eastAsia="宋体" w:cs="宋体"/>
          <w:bCs/>
          <w:snapToGrid w:val="0"/>
          <w:color w:val="000000"/>
          <w:kern w:val="0"/>
          <w:sz w:val="24"/>
          <w:szCs w:val="24"/>
          <w:highlight w:val="none"/>
        </w:rPr>
        <w:t>有关规定执行。</w:t>
      </w:r>
    </w:p>
    <w:p w14:paraId="77727B6F">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b/>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2.4</w:t>
      </w:r>
      <w:r>
        <w:rPr>
          <w:rFonts w:hint="eastAsia" w:ascii="宋体" w:hAnsi="宋体" w:eastAsia="宋体" w:cs="宋体"/>
          <w:snapToGrid w:val="0"/>
          <w:color w:val="000000"/>
          <w:kern w:val="0"/>
          <w:sz w:val="24"/>
          <w:szCs w:val="24"/>
          <w:highlight w:val="none"/>
        </w:rPr>
        <w:t xml:space="preserve"> 凡将引起合同价款调增的事项，承包人必须于拟实施14天前，将详细的报价书（含拟实施项目名称、变更部位、理由、预计造价等）报监理单位审核和发包人批准后方可实施。</w:t>
      </w:r>
    </w:p>
    <w:p w14:paraId="1600CA7B">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2.5</w:t>
      </w:r>
      <w:r>
        <w:rPr>
          <w:rFonts w:hint="eastAsia" w:ascii="宋体" w:hAnsi="宋体" w:eastAsia="宋体" w:cs="宋体"/>
          <w:snapToGrid w:val="0"/>
          <w:color w:val="000000"/>
          <w:kern w:val="0"/>
          <w:sz w:val="24"/>
          <w:szCs w:val="24"/>
          <w:highlight w:val="none"/>
        </w:rPr>
        <w:t xml:space="preserve"> 承包人不得以不完全了解现场情况为理由，提出额外付款或延长工期等要求。对此类要求，发包人不作任何考虑及答复。</w:t>
      </w:r>
    </w:p>
    <w:p w14:paraId="5CA3C21E">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b/>
          <w:bCs/>
          <w:snapToGrid w:val="0"/>
          <w:color w:val="000000"/>
          <w:kern w:val="0"/>
          <w:sz w:val="24"/>
          <w:szCs w:val="24"/>
          <w:highlight w:val="none"/>
          <w:lang w:val="en-US" w:eastAsia="zh-CN"/>
        </w:rPr>
        <w:t>6</w:t>
      </w:r>
      <w:r>
        <w:rPr>
          <w:rFonts w:hint="eastAsia" w:ascii="宋体" w:hAnsi="宋体" w:eastAsia="宋体" w:cs="宋体"/>
          <w:snapToGrid w:val="0"/>
          <w:color w:val="000000"/>
          <w:kern w:val="0"/>
          <w:sz w:val="24"/>
          <w:szCs w:val="24"/>
          <w:highlight w:val="none"/>
        </w:rPr>
        <w:t xml:space="preserve"> 项目完工后，发、承包双方和受其委托具备相应资质的工程造价咨询单位必须按照</w:t>
      </w:r>
      <w:r>
        <w:rPr>
          <w:rFonts w:hint="eastAsia" w:ascii="宋体" w:hAnsi="宋体" w:eastAsia="宋体" w:cs="宋体"/>
          <w:snapToGrid w:val="0"/>
          <w:color w:val="000000"/>
          <w:kern w:val="0"/>
          <w:sz w:val="24"/>
          <w:szCs w:val="24"/>
          <w:highlight w:val="none"/>
          <w:lang w:eastAsia="zh-CN"/>
        </w:rPr>
        <w:t>《建设工程工程量清单计价标准》（GB/T50500—2024）</w:t>
      </w:r>
      <w:r>
        <w:rPr>
          <w:rFonts w:hint="eastAsia" w:ascii="宋体" w:hAnsi="宋体" w:eastAsia="宋体" w:cs="宋体"/>
          <w:snapToGrid w:val="0"/>
          <w:color w:val="000000"/>
          <w:kern w:val="0"/>
          <w:sz w:val="24"/>
          <w:szCs w:val="24"/>
          <w:highlight w:val="none"/>
        </w:rPr>
        <w:t>和国家、省、市的有关规定办理竣工结算。</w:t>
      </w:r>
    </w:p>
    <w:p w14:paraId="608EB65D">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b/>
          <w:bCs/>
          <w:snapToGrid w:val="0"/>
          <w:color w:val="000000"/>
          <w:kern w:val="0"/>
          <w:sz w:val="24"/>
          <w:szCs w:val="24"/>
          <w:highlight w:val="none"/>
          <w:lang w:val="en-US" w:eastAsia="zh-CN"/>
        </w:rPr>
        <w:t>7</w:t>
      </w:r>
      <w:r>
        <w:rPr>
          <w:rFonts w:hint="eastAsia" w:ascii="宋体" w:hAnsi="宋体" w:eastAsia="宋体" w:cs="宋体"/>
          <w:snapToGrid w:val="0"/>
          <w:color w:val="000000"/>
          <w:kern w:val="0"/>
          <w:sz w:val="24"/>
          <w:szCs w:val="24"/>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5AB336FF">
      <w:pPr>
        <w:pStyle w:val="5"/>
        <w:keepNext w:val="0"/>
        <w:keepLines w:val="0"/>
        <w:pageBreakBefore w:val="0"/>
        <w:overflowPunct/>
        <w:topLinePunct w:val="0"/>
        <w:bidi w:val="0"/>
        <w:spacing w:beforeAutospacing="0" w:afterAutospacing="0" w:line="360" w:lineRule="auto"/>
        <w:ind w:left="0" w:right="0" w:firstLine="482" w:firstLineChars="200"/>
        <w:rPr>
          <w:rFonts w:hint="eastAsia" w:ascii="宋体" w:hAnsi="宋体" w:eastAsia="宋体" w:cs="宋体"/>
          <w:spacing w:val="-1"/>
          <w:sz w:val="24"/>
          <w:szCs w:val="24"/>
          <w:highlight w:val="none"/>
          <w:u w:val="single"/>
        </w:rPr>
      </w:pP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b/>
          <w:bCs/>
          <w:snapToGrid w:val="0"/>
          <w:color w:val="000000"/>
          <w:kern w:val="0"/>
          <w:sz w:val="24"/>
          <w:szCs w:val="24"/>
          <w:highlight w:val="none"/>
          <w:lang w:val="en-US" w:eastAsia="zh-CN"/>
        </w:rPr>
        <w:t>8</w:t>
      </w:r>
      <w:r>
        <w:rPr>
          <w:rFonts w:hint="eastAsia" w:ascii="宋体" w:hAnsi="宋体" w:eastAsia="宋体" w:cs="宋体"/>
          <w:b/>
          <w:bCs/>
          <w:snapToGrid w:val="0"/>
          <w:color w:val="000000"/>
          <w:kern w:val="0"/>
          <w:sz w:val="24"/>
          <w:szCs w:val="24"/>
          <w:highlight w:val="none"/>
        </w:rPr>
        <w:t xml:space="preserve"> </w:t>
      </w:r>
      <w:r>
        <w:rPr>
          <w:rFonts w:hint="eastAsia" w:ascii="宋体" w:hAnsi="宋体" w:eastAsia="宋体" w:cs="宋体"/>
          <w:snapToGrid w:val="0"/>
          <w:color w:val="000000"/>
          <w:kern w:val="0"/>
          <w:sz w:val="24"/>
          <w:szCs w:val="24"/>
          <w:highlight w:val="none"/>
        </w:rPr>
        <w:t>暂估价的结算原则：</w:t>
      </w:r>
      <w:r>
        <w:rPr>
          <w:rFonts w:hint="eastAsia" w:ascii="宋体" w:hAnsi="宋体" w:eastAsia="宋体" w:cs="宋体"/>
          <w:spacing w:val="-1"/>
          <w:sz w:val="24"/>
          <w:szCs w:val="24"/>
          <w:highlight w:val="none"/>
          <w:u w:val="single"/>
        </w:rPr>
        <w:t>暂列金额</w:t>
      </w:r>
      <w:r>
        <w:rPr>
          <w:rFonts w:hint="eastAsia" w:ascii="宋体" w:hAnsi="宋体" w:eastAsia="宋体" w:cs="宋体"/>
          <w:spacing w:val="-1"/>
          <w:sz w:val="24"/>
          <w:szCs w:val="24"/>
          <w:highlight w:val="none"/>
          <w:u w:val="single"/>
          <w:lang w:val="en-US" w:eastAsia="zh-CN"/>
        </w:rPr>
        <w:t>的计算方式</w:t>
      </w:r>
      <w:r>
        <w:rPr>
          <w:rFonts w:hint="eastAsia" w:ascii="宋体" w:hAnsi="宋体" w:eastAsia="宋体" w:cs="宋体"/>
          <w:spacing w:val="-1"/>
          <w:sz w:val="24"/>
          <w:szCs w:val="24"/>
          <w:highlight w:val="none"/>
          <w:u w:val="single"/>
        </w:rPr>
        <w:t>按实际发生在结算审核完成后支付。</w:t>
      </w:r>
    </w:p>
    <w:p w14:paraId="60FD6044">
      <w:pPr>
        <w:keepNext w:val="0"/>
        <w:keepLines w:val="0"/>
        <w:pageBreakBefore w:val="0"/>
        <w:wordWrap w:val="0"/>
        <w:overflowPunct/>
        <w:topLinePunct w:val="0"/>
        <w:bidi w:val="0"/>
        <w:adjustRightInd w:val="0"/>
        <w:snapToGrid w:val="0"/>
        <w:spacing w:beforeAutospacing="0" w:afterAutospacing="0" w:line="360" w:lineRule="auto"/>
        <w:ind w:left="0" w:right="0" w:firstLine="480"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本工程暂估价为招标人在工程量清单中提供的用于支付必然发生但暂时不能确定价格的材料、工程设备的单价以及专业工程的金额。材料暂估价结算时提供购买发票、转账凭证、合同等佐证依据，其结算原则按本章“2.工程结算原则”有关条款进行结算。各部分暂估价的结算价不得超过暂估价。</w:t>
      </w:r>
    </w:p>
    <w:p w14:paraId="21556DAB">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b/>
          <w:bCs/>
          <w:snapToGrid w:val="0"/>
          <w:color w:val="000000"/>
          <w:kern w:val="0"/>
          <w:sz w:val="24"/>
          <w:szCs w:val="24"/>
          <w:highlight w:val="none"/>
        </w:rPr>
      </w:pPr>
      <w:r>
        <w:rPr>
          <w:rFonts w:hint="eastAsia" w:ascii="宋体" w:hAnsi="宋体" w:eastAsia="宋体" w:cs="宋体"/>
          <w:b/>
          <w:bCs/>
          <w:snapToGrid w:val="0"/>
          <w:color w:val="000000"/>
          <w:kern w:val="0"/>
          <w:sz w:val="24"/>
          <w:szCs w:val="24"/>
          <w:highlight w:val="none"/>
        </w:rPr>
        <w:t>2.</w:t>
      </w:r>
      <w:r>
        <w:rPr>
          <w:rFonts w:hint="eastAsia" w:ascii="宋体" w:hAnsi="宋体" w:eastAsia="宋体" w:cs="宋体"/>
          <w:b/>
          <w:bCs/>
          <w:snapToGrid w:val="0"/>
          <w:color w:val="000000"/>
          <w:kern w:val="0"/>
          <w:sz w:val="24"/>
          <w:szCs w:val="24"/>
          <w:highlight w:val="none"/>
          <w:lang w:val="en-US" w:eastAsia="zh-CN"/>
        </w:rPr>
        <w:t>9</w:t>
      </w:r>
      <w:r>
        <w:rPr>
          <w:rFonts w:hint="eastAsia" w:ascii="宋体" w:hAnsi="宋体" w:eastAsia="宋体" w:cs="宋体"/>
          <w:b/>
          <w:bCs/>
          <w:snapToGrid w:val="0"/>
          <w:color w:val="000000"/>
          <w:kern w:val="0"/>
          <w:sz w:val="24"/>
          <w:szCs w:val="24"/>
          <w:highlight w:val="none"/>
        </w:rPr>
        <w:t xml:space="preserve"> </w:t>
      </w:r>
      <w:r>
        <w:rPr>
          <w:rFonts w:hint="eastAsia" w:ascii="宋体" w:hAnsi="宋体" w:eastAsia="宋体" w:cs="宋体"/>
          <w:snapToGrid w:val="0"/>
          <w:color w:val="000000"/>
          <w:kern w:val="0"/>
          <w:sz w:val="24"/>
          <w:szCs w:val="24"/>
          <w:highlight w:val="none"/>
        </w:rPr>
        <w:t>暂列金额的结算原则：暂列金额由发包人掌握使用，工程合同履行期间，由于发包人的要求（注：必须要有发包人的书面通知）导致发生设计变更或合同约定调整因素出现时的工程价款调整以及发生的索赔、现场签证等，其工程量按实调整，其造价调整按本章“2工程结算原则”有关条款进行调整。暂列金额如有余额归发包人。</w:t>
      </w:r>
    </w:p>
    <w:p w14:paraId="7E2C80E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2"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2.10</w:t>
      </w:r>
      <w:r>
        <w:rPr>
          <w:rFonts w:hint="eastAsia" w:ascii="宋体" w:hAnsi="宋体" w:eastAsia="宋体" w:cs="宋体"/>
          <w:b w:val="0"/>
          <w:bCs/>
          <w:snapToGrid w:val="0"/>
          <w:color w:val="auto"/>
          <w:kern w:val="0"/>
          <w:sz w:val="24"/>
          <w:szCs w:val="24"/>
          <w:highlight w:val="none"/>
          <w:lang w:val="en-US" w:eastAsia="zh-CN"/>
        </w:rPr>
        <w:t>计日工结算原则</w:t>
      </w:r>
    </w:p>
    <w:p w14:paraId="2B16413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本项目无计日工。</w:t>
      </w:r>
    </w:p>
    <w:p w14:paraId="7525D78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2.10.1 计日工适用条件</w:t>
      </w:r>
    </w:p>
    <w:p w14:paraId="6BAB0C6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除合同另有约定外，仅在发生合同范围外的零星工作、应急处理、发包人或监理人书面指令的临时用工、用料、用机，且无法按工程量清单子目计价时，方可采用计日工计价。</w:t>
      </w:r>
    </w:p>
    <w:p w14:paraId="778C2E2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未经发包人或监理人书面指令实施的工作，一律不按计日工结算。</w:t>
      </w:r>
    </w:p>
    <w:p w14:paraId="560B9A6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2.10.2.计日工单价确定</w:t>
      </w:r>
    </w:p>
    <w:p w14:paraId="044325F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（1）计日工单价以投标文件已标价工程量清单中的计日工单价为准，单价为综合单价，包含人工费、材料费、施工机具使用费、管理费、利润、风险费用等全部费用，除增值税外不再另行计取其他费用。</w:t>
      </w:r>
    </w:p>
    <w:p w14:paraId="44FEDD2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（2）清单中无对应计日工单价的，由承包人根据市场价格水平提出报价，经发包人审核确认后执行；协商不一致的，按合同变更估价原则处理。</w:t>
      </w:r>
    </w:p>
    <w:p w14:paraId="532EAA8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（3）除合同约定的价格调整情形外，计日工单价不作调整。</w:t>
      </w:r>
    </w:p>
    <w:p w14:paraId="69F0EA8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2.10.3 现场计量与签证</w:t>
      </w:r>
    </w:p>
    <w:p w14:paraId="534A748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（1）承包人应逐日记录计日工的人工工种及工日数、材料名称及消耗量、机械型号及台班数量，同步留存现场影像、领料、派工等资料。</w:t>
      </w:r>
    </w:p>
    <w:p w14:paraId="327521A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（2）承包人应在每项计日工工作完成后24 小时内提交现场签证资料，经监理人核实、发包人确认后作为结算依据。</w:t>
      </w:r>
    </w:p>
    <w:p w14:paraId="7B45C03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（3）发包人、监理人逾期未审核且未提出异议的，视为认可承包人报送的计量数量；资料不全、逾期未报的，发包人有权不予计量。</w:t>
      </w:r>
    </w:p>
    <w:p w14:paraId="26B177E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2.10.4 结算与支付</w:t>
      </w:r>
    </w:p>
    <w:p w14:paraId="031B0CE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（1）计日工结算价款 = ∑（确认人工工日数量 × 人工单价）+ ∑（确认材料数量 × 材料单价）+ ∑（确认机械台班数量 × 机械台班单价）</w:t>
      </w:r>
    </w:p>
    <w:p w14:paraId="73CF8E6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（2）增值税按国家现行税率另行计算，并入相应工程价款支付。</w:t>
      </w:r>
    </w:p>
    <w:p w14:paraId="1B728F2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（3）经确认的当期计日工费用，随工程进度款同期支付；竣工结算时，按全部有效签证文件汇总计入竣工结算总价。</w:t>
      </w:r>
    </w:p>
    <w:p w14:paraId="4074706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2.10.5 其他约定</w:t>
      </w:r>
    </w:p>
    <w:p w14:paraId="6F18E78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（1）超出指令范围、擅自施工、重复计量及无有效签证的计日工工作量，发包人不予计量和支付。</w:t>
      </w:r>
    </w:p>
    <w:p w14:paraId="3508335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left="0" w:right="0" w:firstLine="480"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lang w:val="en-US" w:eastAsia="zh-CN"/>
        </w:rPr>
        <w:t>（2）计日工相关计量、计价争议，按本合同争议解决条款执行。</w:t>
      </w:r>
    </w:p>
    <w:p w14:paraId="266F091A">
      <w:pPr>
        <w:pStyle w:val="3"/>
        <w:keepNext w:val="0"/>
        <w:keepLines w:val="0"/>
        <w:pageBreakBefore w:val="0"/>
        <w:wordWrap w:val="0"/>
        <w:overflowPunct/>
        <w:topLinePunct w:val="0"/>
        <w:autoSpaceDE/>
        <w:autoSpaceDN/>
        <w:bidi w:val="0"/>
        <w:snapToGrid w:val="0"/>
        <w:spacing w:before="0" w:beforeAutospacing="0" w:after="0" w:afterAutospacing="0" w:line="360" w:lineRule="auto"/>
        <w:ind w:left="0" w:right="0" w:firstLine="482" w:firstLineChars="200"/>
        <w:jc w:val="both"/>
        <w:rPr>
          <w:rFonts w:hint="eastAsia" w:ascii="宋体" w:hAnsi="宋体" w:eastAsia="宋体" w:cs="宋体"/>
          <w:b/>
          <w:snapToGrid w:val="0"/>
          <w:color w:val="auto"/>
          <w:sz w:val="24"/>
          <w:szCs w:val="24"/>
          <w:highlight w:val="none"/>
        </w:rPr>
      </w:pPr>
      <w:bookmarkStart w:id="169" w:name="_Toc6483"/>
      <w:bookmarkStart w:id="170" w:name="_Toc231"/>
      <w:bookmarkStart w:id="171" w:name="_Toc10161"/>
      <w:bookmarkStart w:id="172" w:name="_Toc11883"/>
      <w:r>
        <w:rPr>
          <w:rFonts w:hint="eastAsia" w:ascii="宋体" w:hAnsi="宋体" w:eastAsia="宋体" w:cs="宋体"/>
          <w:b/>
          <w:snapToGrid w:val="0"/>
          <w:color w:val="auto"/>
          <w:sz w:val="24"/>
          <w:szCs w:val="24"/>
          <w:highlight w:val="none"/>
        </w:rPr>
        <w:t>3．工程付款办法</w:t>
      </w:r>
      <w:bookmarkEnd w:id="169"/>
      <w:bookmarkEnd w:id="170"/>
      <w:bookmarkEnd w:id="171"/>
      <w:bookmarkEnd w:id="172"/>
    </w:p>
    <w:p w14:paraId="3F9D4408">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bidi="ar"/>
        </w:rPr>
        <w:t>3.1</w:t>
      </w:r>
      <w:r>
        <w:rPr>
          <w:rFonts w:hint="eastAsia" w:ascii="宋体" w:hAnsi="宋体" w:eastAsia="宋体" w:cs="宋体"/>
          <w:color w:val="auto"/>
          <w:kern w:val="0"/>
          <w:sz w:val="24"/>
          <w:szCs w:val="24"/>
          <w:highlight w:val="none"/>
          <w:lang w:bidi="ar"/>
        </w:rPr>
        <w:t xml:space="preserve"> 本招标项目</w:t>
      </w:r>
      <w:r>
        <w:rPr>
          <w:rFonts w:hint="eastAsia" w:ascii="宋体" w:hAnsi="宋体" w:eastAsia="宋体" w:cs="宋体"/>
          <w:color w:val="auto"/>
          <w:kern w:val="0"/>
          <w:sz w:val="24"/>
          <w:szCs w:val="24"/>
          <w:highlight w:val="none"/>
          <w:u w:val="single"/>
          <w:lang w:bidi="ar"/>
        </w:rPr>
        <w:t xml:space="preserve"> </w:t>
      </w:r>
      <w:r>
        <w:rPr>
          <w:rFonts w:hint="eastAsia" w:ascii="宋体" w:hAnsi="宋体" w:eastAsia="宋体" w:cs="宋体"/>
          <w:b/>
          <w:bCs/>
          <w:color w:val="auto"/>
          <w:kern w:val="0"/>
          <w:sz w:val="24"/>
          <w:szCs w:val="24"/>
          <w:highlight w:val="none"/>
          <w:u w:val="single"/>
          <w:lang w:val="en-US" w:eastAsia="zh-CN" w:bidi="ar"/>
        </w:rPr>
        <w:t>不支付</w:t>
      </w:r>
      <w:r>
        <w:rPr>
          <w:rFonts w:hint="eastAsia" w:ascii="宋体" w:hAnsi="宋体" w:eastAsia="宋体" w:cs="宋体"/>
          <w:color w:val="auto"/>
          <w:kern w:val="0"/>
          <w:sz w:val="24"/>
          <w:szCs w:val="24"/>
          <w:highlight w:val="none"/>
          <w:u w:val="single"/>
          <w:lang w:bidi="ar"/>
        </w:rPr>
        <w:t xml:space="preserve"> </w:t>
      </w:r>
      <w:r>
        <w:rPr>
          <w:rFonts w:hint="eastAsia" w:ascii="宋体" w:hAnsi="宋体" w:eastAsia="宋体" w:cs="宋体"/>
          <w:color w:val="auto"/>
          <w:kern w:val="0"/>
          <w:sz w:val="24"/>
          <w:szCs w:val="24"/>
          <w:highlight w:val="none"/>
          <w:lang w:bidi="ar"/>
        </w:rPr>
        <w:t>施工预付款。</w:t>
      </w:r>
    </w:p>
    <w:p w14:paraId="4F5BE28F">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bidi="ar"/>
        </w:rPr>
        <w:t>3.2</w:t>
      </w:r>
      <w:r>
        <w:rPr>
          <w:rFonts w:hint="eastAsia" w:ascii="宋体" w:hAnsi="宋体" w:eastAsia="宋体" w:cs="宋体"/>
          <w:color w:val="auto"/>
          <w:kern w:val="0"/>
          <w:sz w:val="24"/>
          <w:szCs w:val="24"/>
          <w:highlight w:val="none"/>
          <w:lang w:bidi="ar"/>
        </w:rPr>
        <w:t xml:space="preserve"> 施工预付款必须专用于合同工程，并按以下原则支付和抵扣：</w:t>
      </w:r>
    </w:p>
    <w:p w14:paraId="5FF09F2C">
      <w:pPr>
        <w:keepNext w:val="0"/>
        <w:keepLines w:val="0"/>
        <w:pageBreakBefore w:val="0"/>
        <w:widowControl w:val="0"/>
        <w:kinsoku w:val="0"/>
        <w:wordWrap w:val="0"/>
        <w:overflowPunct/>
        <w:topLinePunct w:val="0"/>
        <w:autoSpaceDE w:val="0"/>
        <w:autoSpaceDN w:val="0"/>
        <w:bidi w:val="0"/>
        <w:adjustRightInd w:val="0"/>
        <w:snapToGrid w:val="0"/>
        <w:spacing w:beforeAutospacing="0" w:afterAutospacing="0" w:line="360" w:lineRule="auto"/>
        <w:ind w:left="0" w:right="0" w:firstLine="482" w:firstLineChars="200"/>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bidi="ar"/>
        </w:rPr>
        <w:t>3.2.1</w:t>
      </w:r>
      <w:r>
        <w:rPr>
          <w:rFonts w:hint="eastAsia" w:ascii="宋体" w:hAnsi="宋体" w:eastAsia="宋体" w:cs="宋体"/>
          <w:color w:val="auto"/>
          <w:kern w:val="0"/>
          <w:sz w:val="24"/>
          <w:szCs w:val="24"/>
          <w:highlight w:val="none"/>
          <w:lang w:bidi="ar"/>
        </w:rPr>
        <w:t xml:space="preserve"> 施工预付款支付比例为：按施工合同价</w:t>
      </w:r>
      <w:r>
        <w:rPr>
          <w:rFonts w:hint="eastAsia" w:ascii="宋体" w:hAnsi="宋体" w:eastAsia="宋体" w:cs="宋体"/>
          <w:color w:val="auto"/>
          <w:kern w:val="0"/>
          <w:sz w:val="24"/>
          <w:szCs w:val="24"/>
          <w:highlight w:val="none"/>
          <w:lang w:eastAsia="zh-CN" w:bidi="ar"/>
        </w:rPr>
        <w:t>（暂列金</w:t>
      </w:r>
      <w:r>
        <w:rPr>
          <w:rFonts w:hint="eastAsia" w:ascii="宋体" w:hAnsi="宋体" w:eastAsia="宋体" w:cs="宋体"/>
          <w:color w:val="auto"/>
          <w:kern w:val="0"/>
          <w:sz w:val="24"/>
          <w:szCs w:val="24"/>
          <w:highlight w:val="none"/>
          <w:lang w:val="en-US" w:eastAsia="zh-CN" w:bidi="ar"/>
        </w:rPr>
        <w:t>额、专业工程暂估价、安全生产措施费除外）</w:t>
      </w:r>
      <w:r>
        <w:rPr>
          <w:rFonts w:hint="eastAsia" w:ascii="宋体" w:hAnsi="宋体" w:eastAsia="宋体" w:cs="宋体"/>
          <w:color w:val="auto"/>
          <w:kern w:val="0"/>
          <w:sz w:val="24"/>
          <w:szCs w:val="24"/>
          <w:highlight w:val="none"/>
          <w:lang w:bidi="ar"/>
        </w:rPr>
        <w:t>的</w:t>
      </w:r>
      <w:r>
        <w:rPr>
          <w:rFonts w:hint="eastAsia" w:ascii="宋体" w:hAnsi="宋体" w:eastAsia="宋体" w:cs="宋体"/>
          <w:color w:val="auto"/>
          <w:kern w:val="0"/>
          <w:sz w:val="24"/>
          <w:szCs w:val="24"/>
          <w:highlight w:val="none"/>
          <w:u w:val="single"/>
          <w:lang w:bidi="ar"/>
        </w:rPr>
        <w:t xml:space="preserve"> </w:t>
      </w:r>
      <w:r>
        <w:rPr>
          <w:rFonts w:hint="eastAsia" w:ascii="宋体" w:hAnsi="宋体" w:eastAsia="宋体" w:cs="宋体"/>
          <w:color w:val="auto"/>
          <w:kern w:val="0"/>
          <w:sz w:val="24"/>
          <w:szCs w:val="24"/>
          <w:highlight w:val="none"/>
          <w:u w:val="single"/>
          <w:lang w:val="en-US" w:eastAsia="zh-CN" w:bidi="ar"/>
        </w:rPr>
        <w:t>/</w:t>
      </w:r>
      <w:r>
        <w:rPr>
          <w:rFonts w:hint="eastAsia" w:ascii="宋体" w:hAnsi="宋体" w:eastAsia="宋体" w:cs="宋体"/>
          <w:color w:val="auto"/>
          <w:kern w:val="0"/>
          <w:sz w:val="24"/>
          <w:szCs w:val="24"/>
          <w:highlight w:val="none"/>
          <w:u w:val="single"/>
          <w:lang w:bidi="ar"/>
        </w:rPr>
        <w:t xml:space="preserve"> </w:t>
      </w:r>
      <w:r>
        <w:rPr>
          <w:rFonts w:hint="eastAsia" w:ascii="宋体" w:hAnsi="宋体" w:eastAsia="宋体" w:cs="宋体"/>
          <w:color w:val="auto"/>
          <w:kern w:val="0"/>
          <w:sz w:val="24"/>
          <w:szCs w:val="24"/>
          <w:highlight w:val="none"/>
          <w:lang w:bidi="ar"/>
        </w:rPr>
        <w:t>支付</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val="en-US" w:eastAsia="zh-CN" w:bidi="ar"/>
        </w:rPr>
        <w:t>施工预付款中包含工人工资预付款，其中工人工资预付款比例为施工合同价（</w:t>
      </w:r>
      <w:r>
        <w:rPr>
          <w:rFonts w:hint="eastAsia" w:ascii="宋体" w:hAnsi="宋体" w:eastAsia="宋体" w:cs="宋体"/>
          <w:color w:val="auto"/>
          <w:kern w:val="0"/>
          <w:sz w:val="24"/>
          <w:szCs w:val="24"/>
          <w:highlight w:val="none"/>
          <w:lang w:eastAsia="zh-CN" w:bidi="ar"/>
        </w:rPr>
        <w:t>暂列金</w:t>
      </w:r>
      <w:r>
        <w:rPr>
          <w:rFonts w:hint="eastAsia" w:ascii="宋体" w:hAnsi="宋体" w:eastAsia="宋体" w:cs="宋体"/>
          <w:color w:val="auto"/>
          <w:kern w:val="0"/>
          <w:sz w:val="24"/>
          <w:szCs w:val="24"/>
          <w:highlight w:val="none"/>
          <w:lang w:val="en-US" w:eastAsia="zh-CN" w:bidi="ar"/>
        </w:rPr>
        <w:t>额除外）的</w:t>
      </w:r>
      <w:r>
        <w:rPr>
          <w:rFonts w:hint="eastAsia" w:ascii="宋体" w:hAnsi="宋体" w:eastAsia="宋体" w:cs="宋体"/>
          <w:color w:val="auto"/>
          <w:kern w:val="0"/>
          <w:sz w:val="24"/>
          <w:szCs w:val="24"/>
          <w:highlight w:val="none"/>
          <w:u w:val="single"/>
          <w:lang w:val="en-US" w:eastAsia="zh-CN" w:bidi="ar"/>
        </w:rPr>
        <w:t xml:space="preserve"> / </w:t>
      </w:r>
      <w:r>
        <w:rPr>
          <w:rFonts w:hint="eastAsia" w:ascii="宋体" w:hAnsi="宋体" w:eastAsia="宋体" w:cs="宋体"/>
          <w:color w:val="auto"/>
          <w:kern w:val="0"/>
          <w:sz w:val="24"/>
          <w:szCs w:val="24"/>
          <w:highlight w:val="none"/>
          <w:lang w:val="en-US" w:eastAsia="zh-CN" w:bidi="ar"/>
        </w:rPr>
        <w:t>。</w:t>
      </w:r>
    </w:p>
    <w:p w14:paraId="69731821">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3.2.2</w:t>
      </w:r>
      <w:r>
        <w:rPr>
          <w:rFonts w:hint="eastAsia" w:ascii="宋体" w:hAnsi="宋体" w:eastAsia="宋体" w:cs="宋体"/>
          <w:color w:val="auto"/>
          <w:kern w:val="0"/>
          <w:sz w:val="24"/>
          <w:szCs w:val="24"/>
          <w:highlight w:val="none"/>
          <w:lang w:bidi="ar"/>
        </w:rPr>
        <w:t xml:space="preserve"> 本招标项目</w:t>
      </w:r>
      <w:r>
        <w:rPr>
          <w:rFonts w:hint="eastAsia" w:ascii="宋体" w:hAnsi="宋体" w:eastAsia="宋体" w:cs="宋体"/>
          <w:color w:val="auto"/>
          <w:kern w:val="0"/>
          <w:sz w:val="24"/>
          <w:szCs w:val="24"/>
          <w:highlight w:val="none"/>
          <w:u w:val="single"/>
          <w:lang w:bidi="ar"/>
        </w:rPr>
        <w:t xml:space="preserve"> </w:t>
      </w:r>
      <w:r>
        <w:rPr>
          <w:rFonts w:hint="eastAsia" w:ascii="宋体" w:hAnsi="宋体" w:eastAsia="宋体" w:cs="宋体"/>
          <w:b/>
          <w:bCs/>
          <w:color w:val="auto"/>
          <w:kern w:val="0"/>
          <w:sz w:val="24"/>
          <w:szCs w:val="24"/>
          <w:highlight w:val="none"/>
          <w:u w:val="single"/>
          <w:lang w:val="en-US" w:eastAsia="zh-CN" w:bidi="ar"/>
        </w:rPr>
        <w:t>不</w:t>
      </w:r>
      <w:r>
        <w:rPr>
          <w:rFonts w:hint="eastAsia" w:ascii="宋体" w:hAnsi="宋体" w:eastAsia="宋体" w:cs="宋体"/>
          <w:b/>
          <w:bCs/>
          <w:color w:val="auto"/>
          <w:kern w:val="0"/>
          <w:sz w:val="24"/>
          <w:szCs w:val="24"/>
          <w:highlight w:val="none"/>
          <w:u w:val="single"/>
          <w:lang w:bidi="ar"/>
        </w:rPr>
        <w:t>要求</w:t>
      </w:r>
      <w:r>
        <w:rPr>
          <w:rFonts w:hint="eastAsia" w:ascii="宋体" w:hAnsi="宋体" w:eastAsia="宋体" w:cs="宋体"/>
          <w:color w:val="auto"/>
          <w:kern w:val="0"/>
          <w:sz w:val="24"/>
          <w:szCs w:val="24"/>
          <w:highlight w:val="none"/>
          <w:u w:val="single"/>
          <w:lang w:bidi="ar"/>
        </w:rPr>
        <w:t xml:space="preserve"> </w:t>
      </w:r>
      <w:r>
        <w:rPr>
          <w:rFonts w:hint="eastAsia" w:ascii="宋体" w:hAnsi="宋体" w:eastAsia="宋体" w:cs="宋体"/>
          <w:color w:val="auto"/>
          <w:kern w:val="0"/>
          <w:sz w:val="24"/>
          <w:szCs w:val="24"/>
          <w:highlight w:val="none"/>
          <w:lang w:bidi="ar"/>
        </w:rPr>
        <w:t>承包人提供与预付款等额的预付款保函。</w:t>
      </w:r>
    </w:p>
    <w:p w14:paraId="5D5DC0C8">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kern w:val="0"/>
          <w:sz w:val="24"/>
          <w:szCs w:val="24"/>
          <w:highlight w:val="none"/>
          <w:lang w:bidi="ar"/>
        </w:rPr>
        <w:t>3.2.3</w:t>
      </w:r>
      <w:r>
        <w:rPr>
          <w:rFonts w:hint="eastAsia" w:ascii="宋体" w:hAnsi="宋体" w:eastAsia="宋体" w:cs="宋体"/>
          <w:color w:val="auto"/>
          <w:kern w:val="0"/>
          <w:sz w:val="24"/>
          <w:szCs w:val="24"/>
          <w:highlight w:val="none"/>
          <w:lang w:bidi="ar"/>
        </w:rPr>
        <w:t xml:space="preserve"> </w:t>
      </w:r>
      <w:r>
        <w:rPr>
          <w:rFonts w:hint="eastAsia" w:ascii="宋体" w:hAnsi="宋体" w:eastAsia="宋体" w:cs="宋体"/>
          <w:snapToGrid w:val="0"/>
          <w:color w:val="auto"/>
          <w:kern w:val="0"/>
          <w:sz w:val="24"/>
          <w:szCs w:val="24"/>
          <w:highlight w:val="none"/>
        </w:rPr>
        <w:t>承包人应在签订合同后，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04E0A646">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kern w:val="0"/>
          <w:sz w:val="24"/>
          <w:szCs w:val="24"/>
          <w:highlight w:val="none"/>
          <w:lang w:bidi="ar"/>
        </w:rPr>
        <w:t>3.2.4</w:t>
      </w:r>
      <w:r>
        <w:rPr>
          <w:rFonts w:hint="eastAsia" w:ascii="宋体" w:hAnsi="宋体" w:eastAsia="宋体" w:cs="宋体"/>
          <w:color w:val="auto"/>
          <w:kern w:val="0"/>
          <w:sz w:val="24"/>
          <w:szCs w:val="24"/>
          <w:highlight w:val="none"/>
          <w:lang w:bidi="ar"/>
        </w:rPr>
        <w:t xml:space="preserve"> </w:t>
      </w:r>
      <w:r>
        <w:rPr>
          <w:rFonts w:hint="eastAsia" w:ascii="宋体" w:hAnsi="宋体" w:eastAsia="宋体" w:cs="宋体"/>
          <w:snapToGrid w:val="0"/>
          <w:color w:val="auto"/>
          <w:kern w:val="0"/>
          <w:sz w:val="24"/>
          <w:szCs w:val="24"/>
          <w:highlight w:val="none"/>
        </w:rPr>
        <w:t xml:space="preserve"> 发包人没有按时支付预付款的，承包人可催告发包人支付；发包人</w:t>
      </w:r>
      <w:r>
        <w:rPr>
          <w:rFonts w:hint="eastAsia" w:ascii="宋体" w:hAnsi="宋体" w:eastAsia="宋体" w:cs="宋体"/>
          <w:snapToGrid w:val="0"/>
          <w:color w:val="auto"/>
          <w:kern w:val="0"/>
          <w:sz w:val="24"/>
          <w:szCs w:val="24"/>
          <w:highlight w:val="none"/>
          <w:lang w:eastAsia="zh-CN"/>
        </w:rPr>
        <w:t>应配合做好支付工作，但承包人不得以此为理由暂停施工</w:t>
      </w:r>
      <w:r>
        <w:rPr>
          <w:rFonts w:hint="eastAsia" w:ascii="宋体" w:hAnsi="宋体" w:eastAsia="宋体" w:cs="宋体"/>
          <w:snapToGrid w:val="0"/>
          <w:color w:val="auto"/>
          <w:kern w:val="0"/>
          <w:sz w:val="24"/>
          <w:szCs w:val="24"/>
          <w:highlight w:val="none"/>
        </w:rPr>
        <w:t>。</w:t>
      </w:r>
    </w:p>
    <w:p w14:paraId="1E209B94">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bidi="ar"/>
        </w:rPr>
        <w:t>3.2.5</w:t>
      </w:r>
      <w:r>
        <w:rPr>
          <w:rFonts w:hint="eastAsia" w:ascii="宋体" w:hAnsi="宋体" w:eastAsia="宋体" w:cs="宋体"/>
          <w:color w:val="auto"/>
          <w:kern w:val="0"/>
          <w:sz w:val="24"/>
          <w:szCs w:val="24"/>
          <w:highlight w:val="none"/>
          <w:lang w:bidi="ar"/>
        </w:rPr>
        <w:t xml:space="preserve"> 预付款</w:t>
      </w:r>
      <w:r>
        <w:rPr>
          <w:rFonts w:hint="eastAsia" w:ascii="宋体" w:hAnsi="宋体" w:eastAsia="宋体" w:cs="宋体"/>
          <w:color w:val="auto"/>
          <w:kern w:val="0"/>
          <w:sz w:val="24"/>
          <w:szCs w:val="24"/>
          <w:highlight w:val="none"/>
          <w:u w:val="none"/>
          <w:lang w:eastAsia="zh-CN" w:bidi="ar"/>
        </w:rPr>
        <w:t>应按当期工程进度的</w:t>
      </w:r>
      <w:r>
        <w:rPr>
          <w:rFonts w:hint="eastAsia" w:ascii="宋体" w:hAnsi="宋体" w:eastAsia="宋体" w:cs="宋体"/>
          <w:color w:val="auto"/>
          <w:kern w:val="0"/>
          <w:sz w:val="24"/>
          <w:szCs w:val="24"/>
          <w:highlight w:val="none"/>
          <w:u w:val="single"/>
          <w:lang w:val="en-US" w:eastAsia="zh-CN" w:bidi="ar"/>
        </w:rPr>
        <w:t xml:space="preserve">  /  </w:t>
      </w:r>
      <w:r>
        <w:rPr>
          <w:rFonts w:hint="eastAsia" w:ascii="宋体" w:hAnsi="宋体" w:eastAsia="宋体" w:cs="宋体"/>
          <w:color w:val="auto"/>
          <w:kern w:val="0"/>
          <w:sz w:val="24"/>
          <w:szCs w:val="24"/>
          <w:highlight w:val="none"/>
          <w:u w:val="none"/>
          <w:lang w:val="en-US" w:eastAsia="zh-CN" w:bidi="ar"/>
        </w:rPr>
        <w:t>进行同等比例</w:t>
      </w:r>
      <w:r>
        <w:rPr>
          <w:rFonts w:hint="eastAsia" w:ascii="宋体" w:hAnsi="宋体" w:eastAsia="宋体" w:cs="宋体"/>
          <w:color w:val="auto"/>
          <w:kern w:val="0"/>
          <w:sz w:val="24"/>
          <w:szCs w:val="24"/>
          <w:highlight w:val="none"/>
          <w:u w:val="none"/>
          <w:lang w:eastAsia="zh-CN" w:bidi="ar"/>
        </w:rPr>
        <w:t>扣回</w:t>
      </w:r>
      <w:r>
        <w:rPr>
          <w:rFonts w:hint="eastAsia" w:ascii="宋体" w:hAnsi="宋体" w:eastAsia="宋体" w:cs="宋体"/>
          <w:color w:val="auto"/>
          <w:kern w:val="0"/>
          <w:sz w:val="24"/>
          <w:szCs w:val="24"/>
          <w:highlight w:val="none"/>
          <w:lang w:val="en-US" w:eastAsia="zh-CN" w:bidi="ar"/>
        </w:rPr>
        <w:t>，直到扣回的金额达到合同约定的预付款金额为止</w:t>
      </w:r>
      <w:r>
        <w:rPr>
          <w:rFonts w:hint="eastAsia" w:ascii="宋体" w:hAnsi="宋体" w:eastAsia="宋体" w:cs="宋体"/>
          <w:snapToGrid w:val="0"/>
          <w:color w:val="auto"/>
          <w:kern w:val="0"/>
          <w:sz w:val="24"/>
          <w:szCs w:val="24"/>
          <w:highlight w:val="none"/>
        </w:rPr>
        <w:t>。</w:t>
      </w:r>
    </w:p>
    <w:p w14:paraId="56DAE1EA">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bidi="ar"/>
        </w:rPr>
        <w:t>3.3</w:t>
      </w:r>
      <w:r>
        <w:rPr>
          <w:rFonts w:hint="eastAsia" w:ascii="宋体" w:hAnsi="宋体" w:eastAsia="宋体" w:cs="宋体"/>
          <w:color w:val="auto"/>
          <w:kern w:val="0"/>
          <w:sz w:val="24"/>
          <w:szCs w:val="24"/>
          <w:highlight w:val="none"/>
          <w:lang w:bidi="ar"/>
        </w:rPr>
        <w:t xml:space="preserve"> 施工过程中每月进度款按合同内已完成合格工作量的</w:t>
      </w:r>
      <w:r>
        <w:rPr>
          <w:rFonts w:hint="eastAsia" w:ascii="宋体" w:hAnsi="宋体" w:eastAsia="宋体" w:cs="宋体"/>
          <w:color w:val="auto"/>
          <w:kern w:val="0"/>
          <w:sz w:val="24"/>
          <w:szCs w:val="24"/>
          <w:highlight w:val="none"/>
          <w:u w:val="single"/>
          <w:lang w:val="en-US" w:eastAsia="zh-CN" w:bidi="ar"/>
        </w:rPr>
        <w:t>80</w:t>
      </w:r>
      <w:r>
        <w:rPr>
          <w:rFonts w:hint="eastAsia" w:ascii="宋体" w:hAnsi="宋体" w:eastAsia="宋体" w:cs="宋体"/>
          <w:color w:val="auto"/>
          <w:kern w:val="0"/>
          <w:sz w:val="24"/>
          <w:szCs w:val="24"/>
          <w:highlight w:val="none"/>
          <w:u w:val="single"/>
          <w:lang w:bidi="ar"/>
        </w:rPr>
        <w:t>%</w:t>
      </w:r>
      <w:r>
        <w:rPr>
          <w:rFonts w:hint="eastAsia" w:ascii="宋体" w:hAnsi="宋体" w:eastAsia="宋体" w:cs="宋体"/>
          <w:color w:val="auto"/>
          <w:kern w:val="0"/>
          <w:sz w:val="24"/>
          <w:szCs w:val="24"/>
          <w:highlight w:val="none"/>
          <w:lang w:bidi="ar"/>
        </w:rPr>
        <w:t>的支付，承包人必须将《已完成工程量报表》和《工程付款申请书》报监理单位。经监理单位审核、发包人审定后的工程进度款（指已经按照合同约定，扣除该支付期内因承包人违约而应扣除的管理费），</w:t>
      </w:r>
      <w:r>
        <w:rPr>
          <w:rFonts w:hint="eastAsia" w:ascii="宋体" w:hAnsi="宋体" w:eastAsia="宋体" w:cs="宋体"/>
          <w:color w:val="auto"/>
          <w:kern w:val="0"/>
          <w:sz w:val="24"/>
          <w:szCs w:val="24"/>
          <w:highlight w:val="none"/>
          <w:lang w:eastAsia="zh-CN" w:bidi="ar"/>
        </w:rPr>
        <w:t>提交给发包人申请支付，累计支付金额不超过合同总价的</w:t>
      </w:r>
      <w:r>
        <w:rPr>
          <w:rFonts w:hint="eastAsia" w:ascii="宋体" w:hAnsi="宋体" w:eastAsia="宋体" w:cs="宋体"/>
          <w:color w:val="auto"/>
          <w:kern w:val="0"/>
          <w:sz w:val="24"/>
          <w:szCs w:val="24"/>
          <w:highlight w:val="none"/>
          <w:lang w:val="en-US" w:eastAsia="zh-CN" w:bidi="ar"/>
        </w:rPr>
        <w:t>80%</w:t>
      </w:r>
      <w:r>
        <w:rPr>
          <w:rFonts w:hint="eastAsia" w:ascii="宋体" w:hAnsi="宋体" w:eastAsia="宋体" w:cs="宋体"/>
          <w:color w:val="auto"/>
          <w:kern w:val="0"/>
          <w:sz w:val="24"/>
          <w:szCs w:val="24"/>
          <w:highlight w:val="none"/>
          <w:lang w:bidi="ar"/>
        </w:rPr>
        <w:t>。</w:t>
      </w:r>
    </w:p>
    <w:p w14:paraId="2D74C97A">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kern w:val="0"/>
          <w:sz w:val="24"/>
          <w:szCs w:val="24"/>
          <w:highlight w:val="none"/>
          <w:lang w:bidi="ar"/>
        </w:rPr>
        <w:t>3.4</w:t>
      </w:r>
      <w:r>
        <w:rPr>
          <w:rFonts w:hint="eastAsia" w:ascii="宋体" w:hAnsi="宋体" w:eastAsia="宋体" w:cs="宋体"/>
          <w:color w:val="auto"/>
          <w:kern w:val="0"/>
          <w:sz w:val="24"/>
          <w:szCs w:val="24"/>
          <w:highlight w:val="none"/>
          <w:lang w:bidi="ar"/>
        </w:rPr>
        <w:t xml:space="preserve"> 工程进度款按工程实际完成工程量</w:t>
      </w:r>
      <w:r>
        <w:rPr>
          <w:rFonts w:hint="eastAsia" w:ascii="宋体" w:hAnsi="宋体" w:eastAsia="宋体" w:cs="宋体"/>
          <w:color w:val="auto"/>
          <w:kern w:val="0"/>
          <w:sz w:val="24"/>
          <w:szCs w:val="24"/>
          <w:highlight w:val="none"/>
          <w:lang w:eastAsia="zh-CN" w:bidi="ar"/>
        </w:rPr>
        <w:t>并经第三方造价咨询单位审核后进行</w:t>
      </w:r>
      <w:r>
        <w:rPr>
          <w:rFonts w:hint="eastAsia" w:ascii="宋体" w:hAnsi="宋体" w:eastAsia="宋体" w:cs="宋体"/>
          <w:color w:val="auto"/>
          <w:kern w:val="0"/>
          <w:sz w:val="24"/>
          <w:szCs w:val="24"/>
          <w:highlight w:val="none"/>
          <w:lang w:bidi="ar"/>
        </w:rPr>
        <w:t>支付</w:t>
      </w:r>
      <w:r>
        <w:rPr>
          <w:rFonts w:hint="eastAsia" w:ascii="宋体" w:hAnsi="宋体" w:eastAsia="宋体" w:cs="宋体"/>
          <w:snapToGrid w:val="0"/>
          <w:color w:val="auto"/>
          <w:kern w:val="0"/>
          <w:sz w:val="24"/>
          <w:szCs w:val="24"/>
          <w:highlight w:val="none"/>
        </w:rPr>
        <w:t>，工程进度款中的作业工人工资款项由发包人单独足额拨付到承包人的工资专户。</w:t>
      </w:r>
    </w:p>
    <w:p w14:paraId="5612DCEE">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3.5</w:t>
      </w:r>
      <w:r>
        <w:rPr>
          <w:rFonts w:hint="eastAsia" w:ascii="宋体" w:hAnsi="宋体" w:eastAsia="宋体" w:cs="宋体"/>
          <w:color w:val="auto"/>
          <w:kern w:val="0"/>
          <w:sz w:val="24"/>
          <w:szCs w:val="24"/>
          <w:highlight w:val="none"/>
          <w:lang w:bidi="ar"/>
        </w:rPr>
        <w:t xml:space="preserve"> </w:t>
      </w:r>
      <w:r>
        <w:rPr>
          <w:rFonts w:hint="eastAsia" w:ascii="宋体" w:hAnsi="宋体" w:eastAsia="宋体" w:cs="宋体"/>
          <w:color w:val="auto"/>
          <w:kern w:val="0"/>
          <w:sz w:val="24"/>
          <w:szCs w:val="24"/>
          <w:highlight w:val="none"/>
          <w:lang w:val="en-US" w:eastAsia="zh-CN" w:bidi="ar"/>
        </w:rPr>
        <w:t>施工预付款中包含安全生产措施费预付款。措施项目费中的“安全生产措施费”拨付按照《建设工程工程量清单计价标准》（GB/T50500—2024）执行，参照《关于印发&lt;广东省建设厅建筑工程安全防护、文明施工措施费用管理办法&gt;的通知》支付。承包人应在签订合同后，在项目开工、开通建设工程安措费专用账户、购买安全生产责任保险的前提下向发包人提交安全生产措施费申请，项目预付安全生产措施费总额的 50%，其余部分应按照提前安排的原则进行分解，并与工程进度款同期支付。发承包双方在计算应付工程进度款时，不应扣回预付款安全生产措施费，在工程结算时一次性扣回。安全生产措施费必须专款专用，并由发包人单独拨付到承包人的建设工程安全生产措施费专用账户。</w:t>
      </w:r>
    </w:p>
    <w:p w14:paraId="22265C16">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bidi="ar"/>
        </w:rPr>
        <w:t>3.6</w:t>
      </w:r>
      <w:r>
        <w:rPr>
          <w:rFonts w:hint="eastAsia" w:ascii="宋体" w:hAnsi="宋体" w:eastAsia="宋体" w:cs="宋体"/>
          <w:color w:val="auto"/>
          <w:kern w:val="0"/>
          <w:sz w:val="24"/>
          <w:szCs w:val="24"/>
          <w:highlight w:val="none"/>
          <w:lang w:bidi="ar"/>
        </w:rPr>
        <w:t xml:space="preserve"> 变更工程造价必须经监理单位核实，并经发包人核定后方可支付。</w:t>
      </w:r>
    </w:p>
    <w:p w14:paraId="773F8314">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color w:val="auto"/>
          <w:kern w:val="0"/>
          <w:sz w:val="24"/>
          <w:szCs w:val="24"/>
          <w:highlight w:val="none"/>
          <w:lang w:bidi="ar"/>
        </w:rPr>
        <w:t>3.7</w:t>
      </w:r>
      <w:r>
        <w:rPr>
          <w:rFonts w:hint="eastAsia" w:ascii="宋体" w:hAnsi="宋体" w:eastAsia="宋体" w:cs="宋体"/>
          <w:color w:val="auto"/>
          <w:kern w:val="0"/>
          <w:sz w:val="24"/>
          <w:szCs w:val="24"/>
          <w:highlight w:val="none"/>
          <w:lang w:bidi="ar"/>
        </w:rPr>
        <w:t xml:space="preserve"> </w:t>
      </w:r>
      <w:r>
        <w:rPr>
          <w:rFonts w:hint="eastAsia" w:ascii="宋体" w:hAnsi="宋体" w:eastAsia="宋体" w:cs="宋体"/>
          <w:b w:val="0"/>
          <w:bCs w:val="0"/>
          <w:caps w:val="0"/>
          <w:smallCaps w:val="0"/>
          <w:snapToGrid w:val="0"/>
          <w:color w:val="auto"/>
          <w:spacing w:val="0"/>
          <w:kern w:val="0"/>
          <w:sz w:val="24"/>
          <w:szCs w:val="24"/>
          <w:highlight w:val="none"/>
          <w:lang w:eastAsia="zh-CN"/>
        </w:rPr>
        <w:t>竣工验收合格后</w:t>
      </w:r>
      <w:r>
        <w:rPr>
          <w:rFonts w:hint="eastAsia" w:ascii="宋体" w:hAnsi="宋体" w:eastAsia="宋体" w:cs="宋体"/>
          <w:b w:val="0"/>
          <w:bCs w:val="0"/>
          <w:caps w:val="0"/>
          <w:smallCaps w:val="0"/>
          <w:snapToGrid w:val="0"/>
          <w:color w:val="auto"/>
          <w:spacing w:val="0"/>
          <w:kern w:val="0"/>
          <w:sz w:val="24"/>
          <w:szCs w:val="24"/>
          <w:highlight w:val="none"/>
          <w:lang w:val="en-US" w:eastAsia="zh-CN"/>
        </w:rPr>
        <w:t>，</w:t>
      </w:r>
      <w:r>
        <w:rPr>
          <w:rFonts w:hint="eastAsia" w:ascii="宋体" w:hAnsi="宋体" w:eastAsia="宋体" w:cs="宋体"/>
          <w:b w:val="0"/>
          <w:bCs w:val="0"/>
          <w:caps w:val="0"/>
          <w:smallCaps w:val="0"/>
          <w:snapToGrid w:val="0"/>
          <w:color w:val="auto"/>
          <w:spacing w:val="0"/>
          <w:kern w:val="0"/>
          <w:sz w:val="24"/>
          <w:szCs w:val="24"/>
          <w:highlight w:val="none"/>
        </w:rPr>
        <w:t>支付</w:t>
      </w:r>
      <w:r>
        <w:rPr>
          <w:rFonts w:hint="eastAsia" w:ascii="宋体" w:hAnsi="宋体" w:eastAsia="宋体" w:cs="宋体"/>
          <w:b w:val="0"/>
          <w:bCs w:val="0"/>
          <w:caps w:val="0"/>
          <w:smallCaps w:val="0"/>
          <w:snapToGrid w:val="0"/>
          <w:color w:val="auto"/>
          <w:spacing w:val="0"/>
          <w:kern w:val="0"/>
          <w:sz w:val="24"/>
          <w:szCs w:val="24"/>
          <w:highlight w:val="none"/>
          <w:lang w:eastAsia="zh-CN"/>
        </w:rPr>
        <w:t>至合同价款的</w:t>
      </w:r>
      <w:r>
        <w:rPr>
          <w:rFonts w:hint="eastAsia" w:ascii="宋体" w:hAnsi="宋体" w:eastAsia="宋体" w:cs="宋体"/>
          <w:b w:val="0"/>
          <w:bCs w:val="0"/>
          <w:caps w:val="0"/>
          <w:smallCaps w:val="0"/>
          <w:snapToGrid w:val="0"/>
          <w:color w:val="auto"/>
          <w:spacing w:val="0"/>
          <w:kern w:val="0"/>
          <w:sz w:val="24"/>
          <w:szCs w:val="24"/>
          <w:highlight w:val="none"/>
          <w:lang w:val="en-US" w:eastAsia="zh-CN"/>
        </w:rPr>
        <w:t>90</w:t>
      </w:r>
      <w:r>
        <w:rPr>
          <w:rFonts w:hint="eastAsia" w:ascii="宋体" w:hAnsi="宋体" w:eastAsia="宋体" w:cs="宋体"/>
          <w:b w:val="0"/>
          <w:bCs w:val="0"/>
          <w:caps w:val="0"/>
          <w:smallCaps w:val="0"/>
          <w:snapToGrid w:val="0"/>
          <w:color w:val="auto"/>
          <w:spacing w:val="0"/>
          <w:kern w:val="0"/>
          <w:sz w:val="24"/>
          <w:szCs w:val="24"/>
          <w:highlight w:val="none"/>
        </w:rPr>
        <w:t>%</w:t>
      </w:r>
      <w:r>
        <w:rPr>
          <w:rFonts w:hint="eastAsia" w:ascii="宋体" w:hAnsi="宋体" w:eastAsia="宋体" w:cs="宋体"/>
          <w:b w:val="0"/>
          <w:bCs w:val="0"/>
          <w:caps w:val="0"/>
          <w:smallCaps w:val="0"/>
          <w:snapToGrid w:val="0"/>
          <w:color w:val="auto"/>
          <w:spacing w:val="0"/>
          <w:kern w:val="0"/>
          <w:sz w:val="24"/>
          <w:szCs w:val="24"/>
          <w:highlight w:val="none"/>
          <w:lang w:eastAsia="zh-CN"/>
        </w:rPr>
        <w:t>（不计息）；</w:t>
      </w:r>
      <w:r>
        <w:rPr>
          <w:rFonts w:hint="eastAsia" w:ascii="宋体" w:hAnsi="宋体" w:eastAsia="宋体" w:cs="宋体"/>
          <w:b w:val="0"/>
          <w:bCs w:val="0"/>
          <w:caps w:val="0"/>
          <w:smallCaps w:val="0"/>
          <w:snapToGrid w:val="0"/>
          <w:color w:val="auto"/>
          <w:spacing w:val="0"/>
          <w:kern w:val="0"/>
          <w:sz w:val="24"/>
          <w:szCs w:val="24"/>
          <w:highlight w:val="none"/>
        </w:rPr>
        <w:t>结算审核完成后，于次月支付</w:t>
      </w:r>
      <w:r>
        <w:rPr>
          <w:rFonts w:hint="eastAsia" w:ascii="宋体" w:hAnsi="宋体" w:eastAsia="宋体" w:cs="宋体"/>
          <w:b w:val="0"/>
          <w:bCs w:val="0"/>
          <w:caps w:val="0"/>
          <w:smallCaps w:val="0"/>
          <w:snapToGrid w:val="0"/>
          <w:color w:val="auto"/>
          <w:spacing w:val="0"/>
          <w:kern w:val="0"/>
          <w:sz w:val="24"/>
          <w:szCs w:val="24"/>
          <w:highlight w:val="none"/>
          <w:lang w:eastAsia="zh-CN"/>
        </w:rPr>
        <w:t>至合同价格</w:t>
      </w:r>
      <w:r>
        <w:rPr>
          <w:rFonts w:hint="eastAsia" w:ascii="宋体" w:hAnsi="宋体" w:eastAsia="宋体" w:cs="宋体"/>
          <w:b w:val="0"/>
          <w:bCs w:val="0"/>
          <w:caps w:val="0"/>
          <w:smallCaps w:val="0"/>
          <w:snapToGrid w:val="0"/>
          <w:color w:val="auto"/>
          <w:spacing w:val="0"/>
          <w:kern w:val="0"/>
          <w:sz w:val="24"/>
          <w:szCs w:val="24"/>
          <w:highlight w:val="none"/>
        </w:rPr>
        <w:t>的97%</w:t>
      </w:r>
      <w:r>
        <w:rPr>
          <w:rFonts w:hint="eastAsia" w:ascii="宋体" w:hAnsi="宋体" w:eastAsia="宋体" w:cs="宋体"/>
          <w:b w:val="0"/>
          <w:bCs w:val="0"/>
          <w:caps w:val="0"/>
          <w:smallCaps w:val="0"/>
          <w:snapToGrid w:val="0"/>
          <w:color w:val="auto"/>
          <w:spacing w:val="0"/>
          <w:kern w:val="0"/>
          <w:sz w:val="24"/>
          <w:szCs w:val="24"/>
          <w:highlight w:val="none"/>
          <w:lang w:eastAsia="zh-CN"/>
        </w:rPr>
        <w:t>（支付时间以当地财政实际支出时间为准），</w:t>
      </w:r>
      <w:r>
        <w:rPr>
          <w:rFonts w:hint="eastAsia" w:ascii="宋体" w:hAnsi="宋体" w:eastAsia="宋体" w:cs="宋体"/>
          <w:b w:val="0"/>
          <w:bCs w:val="0"/>
          <w:caps w:val="0"/>
          <w:smallCaps w:val="0"/>
          <w:snapToGrid w:val="0"/>
          <w:color w:val="auto"/>
          <w:spacing w:val="0"/>
          <w:kern w:val="0"/>
          <w:sz w:val="24"/>
          <w:szCs w:val="24"/>
          <w:highlight w:val="none"/>
        </w:rPr>
        <w:t>剩余3%</w:t>
      </w:r>
      <w:r>
        <w:rPr>
          <w:rFonts w:hint="eastAsia" w:ascii="宋体" w:hAnsi="宋体" w:eastAsia="宋体" w:cs="宋体"/>
          <w:b w:val="0"/>
          <w:bCs w:val="0"/>
          <w:caps w:val="0"/>
          <w:smallCaps w:val="0"/>
          <w:snapToGrid w:val="0"/>
          <w:color w:val="auto"/>
          <w:spacing w:val="0"/>
          <w:kern w:val="0"/>
          <w:sz w:val="24"/>
          <w:szCs w:val="24"/>
          <w:highlight w:val="none"/>
          <w:lang w:eastAsia="zh-CN"/>
        </w:rPr>
        <w:t>转</w:t>
      </w:r>
      <w:r>
        <w:rPr>
          <w:rFonts w:hint="eastAsia" w:ascii="宋体" w:hAnsi="宋体" w:eastAsia="宋体" w:cs="宋体"/>
          <w:b w:val="0"/>
          <w:bCs w:val="0"/>
          <w:caps w:val="0"/>
          <w:smallCaps w:val="0"/>
          <w:snapToGrid w:val="0"/>
          <w:color w:val="auto"/>
          <w:spacing w:val="0"/>
          <w:kern w:val="0"/>
          <w:sz w:val="24"/>
          <w:szCs w:val="24"/>
          <w:highlight w:val="none"/>
        </w:rPr>
        <w:t>为质量保证金</w:t>
      </w:r>
      <w:r>
        <w:rPr>
          <w:rFonts w:hint="eastAsia" w:ascii="宋体" w:hAnsi="宋体" w:eastAsia="宋体" w:cs="宋体"/>
          <w:b w:val="0"/>
          <w:bCs w:val="0"/>
          <w:caps w:val="0"/>
          <w:smallCaps w:val="0"/>
          <w:snapToGrid w:val="0"/>
          <w:color w:val="auto"/>
          <w:spacing w:val="0"/>
          <w:kern w:val="0"/>
          <w:sz w:val="24"/>
          <w:szCs w:val="24"/>
          <w:highlight w:val="none"/>
          <w:lang w:eastAsia="zh-CN"/>
        </w:rPr>
        <w:t>；承包人提交了等额</w:t>
      </w:r>
      <w:r>
        <w:rPr>
          <w:rFonts w:hint="eastAsia" w:ascii="宋体" w:hAnsi="宋体" w:eastAsia="宋体" w:cs="宋体"/>
          <w:b w:val="0"/>
          <w:bCs w:val="0"/>
          <w:caps w:val="0"/>
          <w:smallCaps w:val="0"/>
          <w:snapToGrid w:val="0"/>
          <w:color w:val="auto"/>
          <w:spacing w:val="0"/>
          <w:kern w:val="0"/>
          <w:sz w:val="24"/>
          <w:szCs w:val="24"/>
          <w:highlight w:val="none"/>
          <w:lang w:val="en-US" w:eastAsia="zh-CN"/>
        </w:rPr>
        <w:t>质量保证担保或质量保证保险的，于次月一次性结清合同价格</w:t>
      </w:r>
      <w:r>
        <w:rPr>
          <w:rFonts w:hint="eastAsia" w:ascii="宋体" w:hAnsi="宋体" w:eastAsia="宋体" w:cs="宋体"/>
          <w:bCs/>
          <w:snapToGrid w:val="0"/>
          <w:color w:val="auto"/>
          <w:kern w:val="0"/>
          <w:sz w:val="24"/>
          <w:szCs w:val="24"/>
          <w:highlight w:val="none"/>
        </w:rPr>
        <w:t>。</w:t>
      </w:r>
    </w:p>
    <w:p w14:paraId="3487E0E7">
      <w:pPr>
        <w:keepNext w:val="0"/>
        <w:keepLines w:val="0"/>
        <w:pageBreakBefore w:val="0"/>
        <w:wordWrap w:val="0"/>
        <w:overflowPunct/>
        <w:topLinePunct w:val="0"/>
        <w:bidi w:val="0"/>
        <w:adjustRightInd w:val="0"/>
        <w:snapToGrid w:val="0"/>
        <w:spacing w:beforeAutospacing="0" w:afterAutospacing="0" w:line="360" w:lineRule="auto"/>
        <w:ind w:left="0" w:right="0" w:firstLine="482" w:firstLineChars="200"/>
        <w:rPr>
          <w:rFonts w:hint="eastAsia" w:ascii="宋体" w:hAnsi="宋体" w:eastAsia="宋体" w:cs="宋体"/>
          <w:color w:val="auto"/>
          <w:kern w:val="0"/>
          <w:sz w:val="24"/>
          <w:szCs w:val="24"/>
          <w:highlight w:val="none"/>
        </w:rPr>
      </w:pPr>
      <w:r>
        <w:rPr>
          <w:rFonts w:hint="eastAsia" w:ascii="宋体" w:hAnsi="宋体" w:eastAsia="宋体" w:cs="宋体"/>
          <w:b/>
          <w:color w:val="auto"/>
          <w:kern w:val="0"/>
          <w:sz w:val="24"/>
          <w:szCs w:val="24"/>
          <w:highlight w:val="none"/>
          <w:lang w:bidi="ar"/>
        </w:rPr>
        <w:t>3.8</w:t>
      </w:r>
      <w:r>
        <w:rPr>
          <w:rFonts w:hint="eastAsia" w:ascii="宋体" w:hAnsi="宋体" w:eastAsia="宋体" w:cs="宋体"/>
          <w:bCs/>
          <w:color w:val="auto"/>
          <w:kern w:val="0"/>
          <w:sz w:val="24"/>
          <w:szCs w:val="24"/>
          <w:highlight w:val="none"/>
          <w:lang w:bidi="ar"/>
        </w:rPr>
        <w:t xml:space="preserve"> 本招标项目缺陷责任期为</w:t>
      </w:r>
      <w:r>
        <w:rPr>
          <w:rFonts w:hint="eastAsia" w:ascii="宋体" w:hAnsi="宋体" w:eastAsia="宋体" w:cs="宋体"/>
          <w:bCs/>
          <w:color w:val="auto"/>
          <w:kern w:val="0"/>
          <w:sz w:val="24"/>
          <w:szCs w:val="24"/>
          <w:highlight w:val="none"/>
          <w:u w:val="single"/>
          <w:lang w:val="en-US" w:eastAsia="zh-CN" w:bidi="ar"/>
        </w:rPr>
        <w:t>2</w:t>
      </w:r>
      <w:r>
        <w:rPr>
          <w:rFonts w:hint="eastAsia" w:ascii="宋体" w:hAnsi="宋体" w:eastAsia="宋体" w:cs="宋体"/>
          <w:bCs/>
          <w:color w:val="auto"/>
          <w:kern w:val="0"/>
          <w:sz w:val="24"/>
          <w:szCs w:val="24"/>
          <w:highlight w:val="none"/>
          <w:lang w:bidi="ar"/>
        </w:rPr>
        <w:t>年（自通过竣工验收之日起计）。</w:t>
      </w:r>
      <w:r>
        <w:rPr>
          <w:rFonts w:hint="eastAsia" w:ascii="宋体" w:hAnsi="宋体" w:eastAsia="宋体" w:cs="宋体"/>
          <w:color w:val="auto"/>
          <w:kern w:val="0"/>
          <w:sz w:val="24"/>
          <w:szCs w:val="24"/>
          <w:highlight w:val="none"/>
          <w:lang w:bidi="ar"/>
        </w:rPr>
        <w:t>缺陷责任期到期后，承包人向发包人申请退还质量保证。发包人收到退还申请后，于14天内会同承包人进行核实。经双方核实且均无异议后，发包人在核实之日起</w:t>
      </w:r>
      <w:r>
        <w:rPr>
          <w:rFonts w:hint="eastAsia" w:ascii="宋体" w:hAnsi="宋体" w:eastAsia="宋体" w:cs="宋体"/>
          <w:color w:val="auto"/>
          <w:kern w:val="0"/>
          <w:sz w:val="24"/>
          <w:szCs w:val="24"/>
          <w:highlight w:val="none"/>
          <w:u w:val="single"/>
          <w:lang w:bidi="ar"/>
        </w:rPr>
        <w:t xml:space="preserve"> 14 </w:t>
      </w:r>
      <w:r>
        <w:rPr>
          <w:rFonts w:hint="eastAsia" w:ascii="宋体" w:hAnsi="宋体" w:eastAsia="宋体" w:cs="宋体"/>
          <w:color w:val="auto"/>
          <w:kern w:val="0"/>
          <w:sz w:val="24"/>
          <w:szCs w:val="24"/>
          <w:highlight w:val="none"/>
          <w:lang w:bidi="ar"/>
        </w:rPr>
        <w:t>天内将应返保证金（或银行保函）退还承包人。</w:t>
      </w:r>
    </w:p>
    <w:p w14:paraId="6D99542A">
      <w:pPr>
        <w:pStyle w:val="5"/>
        <w:keepNext w:val="0"/>
        <w:keepLines w:val="0"/>
        <w:pageBreakBefore w:val="0"/>
        <w:overflowPunct/>
        <w:topLinePunct w:val="0"/>
        <w:bidi w:val="0"/>
        <w:spacing w:beforeAutospacing="0" w:afterAutospacing="0" w:line="360" w:lineRule="auto"/>
        <w:ind w:left="0" w:right="0" w:firstLine="482" w:firstLineChars="200"/>
        <w:rPr>
          <w:rFonts w:hint="eastAsia" w:ascii="宋体" w:hAnsi="宋体" w:eastAsia="宋体" w:cs="宋体"/>
          <w:color w:val="auto"/>
          <w:spacing w:val="-1"/>
          <w:sz w:val="24"/>
          <w:szCs w:val="24"/>
          <w:highlight w:val="none"/>
          <w:u w:val="single"/>
        </w:rPr>
      </w:pPr>
      <w:r>
        <w:rPr>
          <w:rFonts w:hint="eastAsia" w:ascii="宋体" w:hAnsi="宋体" w:eastAsia="宋体" w:cs="宋体"/>
          <w:b/>
          <w:bCs/>
          <w:color w:val="auto"/>
          <w:sz w:val="24"/>
          <w:szCs w:val="24"/>
          <w:highlight w:val="none"/>
          <w:lang w:bidi="ar"/>
        </w:rPr>
        <w:t>3.9</w:t>
      </w:r>
      <w:r>
        <w:rPr>
          <w:rFonts w:hint="eastAsia" w:ascii="宋体" w:hAnsi="宋体" w:eastAsia="宋体" w:cs="宋体"/>
          <w:color w:val="auto"/>
          <w:sz w:val="24"/>
          <w:szCs w:val="24"/>
          <w:highlight w:val="none"/>
          <w:lang w:bidi="ar"/>
        </w:rPr>
        <w:t xml:space="preserve"> </w:t>
      </w:r>
      <w:r>
        <w:rPr>
          <w:rFonts w:hint="eastAsia" w:ascii="宋体" w:hAnsi="宋体" w:eastAsia="宋体" w:cs="宋体"/>
          <w:color w:val="auto"/>
          <w:spacing w:val="-1"/>
          <w:sz w:val="24"/>
          <w:szCs w:val="24"/>
          <w:highlight w:val="none"/>
        </w:rPr>
        <w:t>暂列金额</w:t>
      </w:r>
      <w:r>
        <w:rPr>
          <w:rFonts w:hint="eastAsia" w:ascii="宋体" w:hAnsi="宋体" w:eastAsia="宋体" w:cs="宋体"/>
          <w:color w:val="auto"/>
          <w:spacing w:val="-1"/>
          <w:sz w:val="24"/>
          <w:szCs w:val="24"/>
          <w:highlight w:val="none"/>
          <w:lang w:val="en-US" w:eastAsia="zh-CN"/>
        </w:rPr>
        <w:t>计算方式与</w:t>
      </w:r>
      <w:r>
        <w:rPr>
          <w:rFonts w:hint="eastAsia" w:ascii="宋体" w:hAnsi="宋体" w:eastAsia="宋体" w:cs="宋体"/>
          <w:color w:val="auto"/>
          <w:spacing w:val="-1"/>
          <w:sz w:val="24"/>
          <w:szCs w:val="24"/>
          <w:highlight w:val="none"/>
        </w:rPr>
        <w:t>结算方式：</w:t>
      </w:r>
      <w:r>
        <w:rPr>
          <w:rFonts w:hint="eastAsia" w:ascii="宋体" w:hAnsi="宋体" w:eastAsia="宋体" w:cs="宋体"/>
          <w:color w:val="auto"/>
          <w:spacing w:val="-1"/>
          <w:sz w:val="24"/>
          <w:szCs w:val="24"/>
          <w:highlight w:val="none"/>
          <w:lang w:val="en-US" w:eastAsia="zh-CN"/>
        </w:rPr>
        <w:t xml:space="preserve">暂列金的计算方式 </w:t>
      </w:r>
      <w:r>
        <w:rPr>
          <w:rFonts w:hint="eastAsia" w:ascii="宋体" w:hAnsi="宋体" w:eastAsia="宋体" w:cs="宋体"/>
          <w:color w:val="auto"/>
          <w:spacing w:val="-1"/>
          <w:sz w:val="24"/>
          <w:szCs w:val="24"/>
          <w:highlight w:val="none"/>
          <w:u w:val="single"/>
        </w:rPr>
        <w:t>暂列金额</w:t>
      </w:r>
      <w:r>
        <w:rPr>
          <w:rFonts w:hint="eastAsia" w:ascii="宋体" w:hAnsi="宋体" w:eastAsia="宋体" w:cs="宋体"/>
          <w:color w:val="auto"/>
          <w:spacing w:val="-1"/>
          <w:sz w:val="24"/>
          <w:szCs w:val="24"/>
          <w:highlight w:val="none"/>
          <w:u w:val="single"/>
          <w:lang w:val="en-US" w:eastAsia="zh-CN"/>
        </w:rPr>
        <w:t>的计算方式</w:t>
      </w:r>
      <w:r>
        <w:rPr>
          <w:rFonts w:hint="eastAsia" w:ascii="宋体" w:hAnsi="宋体" w:eastAsia="宋体" w:cs="宋体"/>
          <w:color w:val="auto"/>
          <w:spacing w:val="-1"/>
          <w:sz w:val="24"/>
          <w:szCs w:val="24"/>
          <w:highlight w:val="none"/>
          <w:u w:val="single"/>
        </w:rPr>
        <w:t>按实际发生在结算审核完成后支付。</w:t>
      </w:r>
    </w:p>
    <w:p w14:paraId="64B67B60">
      <w:pPr>
        <w:keepNext w:val="0"/>
        <w:keepLines w:val="0"/>
        <w:pageBreakBefore w:val="0"/>
        <w:wordWrap w:val="0"/>
        <w:overflowPunct/>
        <w:topLinePunct w:val="0"/>
        <w:autoSpaceDE w:val="0"/>
        <w:bidi w:val="0"/>
        <w:adjustRightInd w:val="0"/>
        <w:snapToGrid w:val="0"/>
        <w:spacing w:beforeAutospacing="0" w:afterAutospacing="0" w:line="360" w:lineRule="auto"/>
        <w:ind w:left="0" w:right="0" w:firstLine="482" w:firstLineChars="200"/>
        <w:rPr>
          <w:rFonts w:hint="eastAsia" w:ascii="宋体" w:hAnsi="宋体" w:eastAsia="宋体" w:cs="宋体"/>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3.10</w:t>
      </w:r>
      <w:r>
        <w:rPr>
          <w:rFonts w:hint="eastAsia" w:ascii="宋体" w:hAnsi="宋体" w:eastAsia="宋体" w:cs="宋体"/>
          <w:color w:val="auto"/>
          <w:kern w:val="0"/>
          <w:sz w:val="24"/>
          <w:szCs w:val="24"/>
          <w:highlight w:val="none"/>
          <w:lang w:bidi="ar"/>
        </w:rPr>
        <w:t xml:space="preserve"> 暂列金额支付方式：</w:t>
      </w:r>
      <w:r>
        <w:rPr>
          <w:rFonts w:hint="eastAsia" w:ascii="宋体" w:hAnsi="宋体" w:eastAsia="宋体" w:cs="宋体"/>
          <w:color w:val="auto"/>
          <w:kern w:val="0"/>
          <w:sz w:val="24"/>
          <w:szCs w:val="24"/>
          <w:highlight w:val="none"/>
          <w:u w:val="single"/>
          <w:lang w:bidi="ar"/>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暂停拨付。在暂列金额的范围内，最终经发包人确认后支付至该部分实际完成工程量的90％，其余部分待结算完成审核后支付至97%，剩余3%为工程质量保修金</w:t>
      </w:r>
      <w:r>
        <w:rPr>
          <w:rFonts w:hint="eastAsia" w:ascii="宋体" w:hAnsi="宋体" w:eastAsia="宋体" w:cs="宋体"/>
          <w:color w:val="auto"/>
          <w:kern w:val="0"/>
          <w:sz w:val="24"/>
          <w:szCs w:val="24"/>
          <w:highlight w:val="none"/>
          <w:lang w:bidi="ar"/>
        </w:rPr>
        <w:t>。</w:t>
      </w:r>
    </w:p>
    <w:p w14:paraId="3A08D80A">
      <w:pPr>
        <w:keepNext w:val="0"/>
        <w:keepLines w:val="0"/>
        <w:pageBreakBefore w:val="0"/>
        <w:overflowPunct/>
        <w:topLinePunct w:val="0"/>
        <w:bidi w:val="0"/>
        <w:spacing w:beforeAutospacing="0" w:afterAutospacing="0" w:line="360" w:lineRule="auto"/>
        <w:ind w:left="0" w:right="0"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3.11</w:t>
      </w:r>
      <w:r>
        <w:rPr>
          <w:rFonts w:hint="eastAsia" w:ascii="宋体" w:hAnsi="宋体" w:eastAsia="宋体" w:cs="宋体"/>
          <w:color w:val="auto"/>
          <w:sz w:val="24"/>
          <w:szCs w:val="24"/>
          <w:highlight w:val="none"/>
          <w:lang w:val="en-US" w:eastAsia="zh-CN"/>
        </w:rPr>
        <w:t xml:space="preserve"> 材料暂估价、专业工程暂估价支付方式：材料暂估价、专业工程暂估价与每个月的工程进度款一并报送，但需要列明详细项目内容，该部分材料暂估价、专业工程暂估价按该部分实际完成工程价款的 85%支付，剩余部分待最终结算完成审核后支付至 97%，剩余 3% 为工程质量保修金。 </w:t>
      </w:r>
    </w:p>
    <w:p w14:paraId="1FFEF110">
      <w:pPr>
        <w:keepNext w:val="0"/>
        <w:keepLines w:val="0"/>
        <w:pageBreakBefore w:val="0"/>
        <w:overflowPunct/>
        <w:topLinePunct w:val="0"/>
        <w:bidi w:val="0"/>
        <w:spacing w:beforeAutospacing="0" w:afterAutospacing="0" w:line="360" w:lineRule="auto"/>
        <w:ind w:left="0" w:right="0" w:firstLine="482" w:firstLineChars="200"/>
        <w:rPr>
          <w:rFonts w:hint="eastAsia" w:ascii="宋体" w:hAnsi="宋体" w:eastAsia="宋体" w:cs="宋体"/>
          <w:color w:val="0000FF"/>
          <w:sz w:val="24"/>
          <w:szCs w:val="24"/>
          <w:highlight w:val="none"/>
        </w:rPr>
      </w:pPr>
      <w:r>
        <w:rPr>
          <w:rFonts w:hint="eastAsia" w:ascii="宋体" w:hAnsi="宋体" w:eastAsia="宋体" w:cs="宋体"/>
          <w:b/>
          <w:bCs/>
          <w:color w:val="auto"/>
          <w:sz w:val="24"/>
          <w:szCs w:val="24"/>
          <w:highlight w:val="none"/>
          <w:lang w:val="en-US" w:eastAsia="zh-CN"/>
        </w:rPr>
        <w:t>3.12</w:t>
      </w:r>
      <w:r>
        <w:rPr>
          <w:rFonts w:hint="eastAsia" w:ascii="宋体" w:hAnsi="宋体" w:eastAsia="宋体" w:cs="宋体"/>
          <w:color w:val="auto"/>
          <w:sz w:val="24"/>
          <w:szCs w:val="24"/>
          <w:highlight w:val="none"/>
          <w:lang w:val="en-US" w:eastAsia="zh-CN"/>
        </w:rPr>
        <w:t xml:space="preserve"> 承包人和分包人根据《韶关市财政局、韶关市曲江区发展和改革局关于开展我市政府投资项目资金穿透式监管试点工作的通知》签订《政府投资项目资金穿透式监管协议》（附件 3、附件 4）并进行工程相关款项支付。</w:t>
      </w:r>
    </w:p>
    <w:p w14:paraId="184A088B">
      <w:pPr>
        <w:rPr>
          <w:rFonts w:hint="eastAsia"/>
          <w:lang w:eastAsia="zh-CN"/>
        </w:rPr>
      </w:pPr>
    </w:p>
    <w:p w14:paraId="0DB8755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4" w:firstLineChars="200"/>
        <w:textAlignment w:val="baseline"/>
        <w:outlineLvl w:val="2"/>
        <w:rPr>
          <w:rFonts w:hint="eastAsia" w:ascii="宋体" w:hAnsi="宋体" w:eastAsia="宋体" w:cs="宋体"/>
          <w:b/>
          <w:bCs/>
          <w:color w:val="auto"/>
          <w:spacing w:val="-7"/>
          <w:sz w:val="24"/>
          <w:szCs w:val="24"/>
          <w:highlight w:val="none"/>
        </w:rPr>
      </w:pPr>
      <w:bookmarkStart w:id="173" w:name="_Toc29229"/>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3"/>
    </w:p>
    <w:p w14:paraId="01EFC9A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 专业工程分包</w:t>
      </w:r>
      <w:r>
        <w:rPr>
          <w:rFonts w:hint="eastAsia" w:ascii="宋体" w:hAnsi="宋体" w:eastAsia="宋体" w:cs="宋体"/>
          <w:bCs/>
          <w:snapToGrid w:val="0"/>
          <w:color w:val="auto"/>
          <w:kern w:val="0"/>
          <w:sz w:val="24"/>
          <w:szCs w:val="24"/>
          <w:highlight w:val="none"/>
          <w:lang w:val="en-US" w:eastAsia="zh-CN"/>
        </w:rPr>
        <w:t xml:space="preserve"> </w:t>
      </w:r>
    </w:p>
    <w:p w14:paraId="26A1ED5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4.2 工人工资支付专用账户 </w:t>
      </w:r>
    </w:p>
    <w:p w14:paraId="5F615FD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2EDDE0E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（1）用人单位应当在建设项目动工前，在建设项目所在地银行设立工人工资支付专用账户。 </w:t>
      </w:r>
    </w:p>
    <w:p w14:paraId="393F8C3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5DB0DF8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14876AC">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49350724">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default"/>
          <w:color w:val="auto"/>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 xml:space="preserve">4.2.4 </w:t>
      </w:r>
      <w:r>
        <w:rPr>
          <w:rFonts w:hint="eastAsia" w:ascii="宋体" w:hAnsi="宋体" w:eastAsia="宋体" w:cs="宋体"/>
          <w:b w:val="0"/>
          <w:bCs/>
          <w:snapToGrid w:val="0"/>
          <w:color w:val="auto"/>
          <w:kern w:val="0"/>
          <w:sz w:val="24"/>
          <w:szCs w:val="24"/>
          <w:highlight w:val="none"/>
          <w:lang w:val="en-US" w:eastAsia="zh-CN"/>
        </w:rPr>
        <w:t>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7635F553">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Cs/>
          <w:snapToGrid w:val="0"/>
          <w:color w:val="auto"/>
          <w:kern w:val="0"/>
          <w:sz w:val="24"/>
          <w:szCs w:val="24"/>
          <w:highlight w:val="none"/>
          <w:lang w:val="en-US" w:eastAsia="zh-CN"/>
        </w:rPr>
        <w:t xml:space="preserve">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诚信登记 </w:t>
      </w:r>
    </w:p>
    <w:p w14:paraId="3C7D81E4">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1F44E6">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工期进度 </w:t>
      </w:r>
    </w:p>
    <w:p w14:paraId="5A7E027A">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本招标项目施工标准工期为</w:t>
      </w:r>
      <w:r>
        <w:rPr>
          <w:rFonts w:hint="eastAsia" w:ascii="宋体" w:hAnsi="宋体" w:eastAsia="宋体" w:cs="宋体"/>
          <w:bCs/>
          <w:snapToGrid w:val="0"/>
          <w:color w:val="auto"/>
          <w:kern w:val="0"/>
          <w:sz w:val="24"/>
          <w:szCs w:val="24"/>
          <w:highlight w:val="none"/>
          <w:u w:val="single"/>
          <w:lang w:val="en-US" w:eastAsia="zh-CN"/>
        </w:rPr>
        <w:t>45</w:t>
      </w:r>
      <w:r>
        <w:rPr>
          <w:rFonts w:hint="eastAsia" w:ascii="宋体" w:hAnsi="宋体" w:eastAsia="宋体" w:cs="宋体"/>
          <w:bCs/>
          <w:snapToGrid w:val="0"/>
          <w:color w:val="auto"/>
          <w:kern w:val="0"/>
          <w:sz w:val="24"/>
          <w:szCs w:val="24"/>
          <w:highlight w:val="none"/>
          <w:lang w:val="en-US" w:eastAsia="zh-CN"/>
        </w:rPr>
        <w:t>个日历天，招标工期为</w:t>
      </w:r>
      <w:r>
        <w:rPr>
          <w:rFonts w:hint="eastAsia" w:ascii="宋体" w:hAnsi="宋体" w:eastAsia="宋体" w:cs="宋体"/>
          <w:bCs/>
          <w:snapToGrid w:val="0"/>
          <w:color w:val="auto"/>
          <w:kern w:val="0"/>
          <w:sz w:val="24"/>
          <w:szCs w:val="24"/>
          <w:highlight w:val="none"/>
          <w:u w:val="single"/>
          <w:lang w:val="en-US" w:eastAsia="zh-CN"/>
        </w:rPr>
        <w:t>45</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3AD3FEC8">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44114AB">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45B83E">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0536562A">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CDEF152">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9A1CCAF">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18751D9C">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☑其它说明：（1）因承包人原因，工程没有按期竣工时，承包人须在逾期第壹天起每天按合同价的1‰ 向发包人返纳逾期竣工违约金。逾期竣工违约金的最高限额为合同价款的3%。</w:t>
      </w:r>
    </w:p>
    <w:p w14:paraId="07428277">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元缴纳违约金给发包人，在结算中一并扣除。</w:t>
      </w:r>
    </w:p>
    <w:p w14:paraId="533F00A0">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CC5BC6E">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项目管理机构 </w:t>
      </w:r>
    </w:p>
    <w:p w14:paraId="6FD38FDF">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D0EAE88">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现场管理 </w:t>
      </w:r>
    </w:p>
    <w:p w14:paraId="1AA74039">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7853C315">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6C30F2D8">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监督实施 </w:t>
      </w:r>
    </w:p>
    <w:p w14:paraId="7234F127">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主材的采购和使用 </w:t>
      </w:r>
    </w:p>
    <w:p w14:paraId="5DD11F32">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竣工资料移交 </w:t>
      </w:r>
    </w:p>
    <w:p w14:paraId="26BD6431">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项目竣工验收时，承包人应向监理单位和发包人提供符合国家档案部门备案要求的，编制成册的竣工图及有关的技术档案资料（含声像档案）一式</w:t>
      </w:r>
      <w:r>
        <w:rPr>
          <w:rFonts w:hint="eastAsia" w:ascii="宋体" w:hAnsi="宋体" w:eastAsia="宋体" w:cs="宋体"/>
          <w:bCs/>
          <w:snapToGrid w:val="0"/>
          <w:color w:val="auto"/>
          <w:kern w:val="0"/>
          <w:sz w:val="24"/>
          <w:szCs w:val="24"/>
          <w:highlight w:val="none"/>
          <w:u w:val="single"/>
          <w:lang w:val="en-US" w:eastAsia="zh-CN"/>
        </w:rPr>
        <w:t>八</w:t>
      </w:r>
      <w:r>
        <w:rPr>
          <w:rFonts w:hint="eastAsia" w:ascii="宋体" w:hAnsi="宋体" w:eastAsia="宋体" w:cs="宋体"/>
          <w:bCs/>
          <w:snapToGrid w:val="0"/>
          <w:color w:val="auto"/>
          <w:kern w:val="0"/>
          <w:sz w:val="24"/>
          <w:szCs w:val="24"/>
          <w:highlight w:val="none"/>
          <w:lang w:val="en-US" w:eastAsia="zh-CN"/>
        </w:rPr>
        <w:t xml:space="preserve">份。 </w:t>
      </w:r>
    </w:p>
    <w:p w14:paraId="6CD1FDD0">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707A6EB6">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2398B991">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B411B16">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181DE18">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ABCA94">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68DC32D9">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承包人及其有关人员有下列行为之一的，发包人应及时向建设行政主管部门报告。除按照有关法律、法规进行处罚外，不良行为将计入企业及有关个人诚信档案，并在韶关市住房和城乡建设管理局网站公示。 </w:t>
      </w:r>
    </w:p>
    <w:p w14:paraId="33521F9F">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495C3345">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0849C0B">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48E4FF31">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F9C0FE">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2ECD3434">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9ABD251">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02E9687E">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10E7EB8B">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2337A1FF">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1000</w:t>
      </w:r>
      <w:r>
        <w:rPr>
          <w:rFonts w:hint="eastAsia" w:ascii="宋体" w:hAnsi="宋体" w:eastAsia="宋体" w:cs="宋体"/>
          <w:bCs/>
          <w:snapToGrid w:val="0"/>
          <w:color w:val="auto"/>
          <w:kern w:val="0"/>
          <w:sz w:val="24"/>
          <w:szCs w:val="24"/>
          <w:highlight w:val="none"/>
          <w:lang w:val="en-US" w:eastAsia="zh-CN"/>
        </w:rPr>
        <w:t xml:space="preserve">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377C83CD">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0DCEA183">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6C12C69B">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C2DFF94">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D272057">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91BEF84">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承包人应按韶关市住房和城乡建设管理局、韶关市人力资源和社会保障局等职能部门对用工实名制、工伤保险等相关规定,落实工人及相关软硬件设施要求。</w:t>
      </w:r>
    </w:p>
    <w:p w14:paraId="45319432">
      <w:pPr>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val="0"/>
          <w:snapToGrid w:val="0"/>
          <w:color w:val="FF0000"/>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1D35F2FE">
      <w:pPr>
        <w:rPr>
          <w:rFonts w:hint="eastAsia" w:ascii="宋体" w:hAnsi="宋体" w:eastAsia="宋体" w:cs="宋体"/>
          <w:b/>
          <w:bCs/>
          <w:color w:val="auto"/>
          <w:spacing w:val="-3"/>
          <w:sz w:val="24"/>
          <w:szCs w:val="24"/>
          <w:highlight w:val="none"/>
        </w:rPr>
      </w:pPr>
      <w:bookmarkStart w:id="174" w:name="_Toc30225"/>
      <w:r>
        <w:rPr>
          <w:rFonts w:hint="eastAsia" w:ascii="宋体" w:hAnsi="宋体" w:eastAsia="宋体" w:cs="宋体"/>
          <w:b/>
          <w:bCs/>
          <w:color w:val="auto"/>
          <w:spacing w:val="-3"/>
          <w:sz w:val="24"/>
          <w:szCs w:val="24"/>
          <w:highlight w:val="none"/>
        </w:rPr>
        <w:br w:type="page"/>
      </w:r>
    </w:p>
    <w:p w14:paraId="2B87CA60">
      <w:pPr>
        <w:spacing w:before="78" w:line="219" w:lineRule="auto"/>
        <w:ind w:left="3273"/>
        <w:outlineLvl w:val="0"/>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74"/>
    </w:p>
    <w:p w14:paraId="379571EE">
      <w:pPr>
        <w:pStyle w:val="5"/>
        <w:spacing w:line="257" w:lineRule="auto"/>
        <w:rPr>
          <w:rFonts w:hint="eastAsia" w:ascii="宋体" w:hAnsi="宋体" w:eastAsia="宋体" w:cs="宋体"/>
          <w:color w:val="auto"/>
          <w:highlight w:val="none"/>
        </w:rPr>
      </w:pPr>
    </w:p>
    <w:p w14:paraId="5BE30722">
      <w:pPr>
        <w:spacing w:before="78" w:line="221" w:lineRule="auto"/>
        <w:ind w:left="125"/>
        <w:outlineLvl w:val="2"/>
        <w:rPr>
          <w:rFonts w:hint="eastAsia" w:ascii="宋体" w:hAnsi="宋体" w:eastAsia="宋体" w:cs="宋体"/>
          <w:color w:val="auto"/>
          <w:sz w:val="24"/>
          <w:szCs w:val="24"/>
          <w:highlight w:val="none"/>
        </w:rPr>
      </w:pPr>
      <w:bookmarkStart w:id="175" w:name="_Toc10155"/>
      <w:bookmarkStart w:id="176" w:name="_Toc19340"/>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75"/>
      <w:bookmarkEnd w:id="176"/>
    </w:p>
    <w:p w14:paraId="3989A8B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pacing w:before="153" w:line="219" w:lineRule="auto"/>
        <w:ind w:left="130"/>
        <w:rPr>
          <w:rFonts w:hint="eastAsia" w:ascii="宋体" w:hAnsi="宋体" w:eastAsia="宋体" w:cs="宋体"/>
          <w:color w:val="auto"/>
          <w:spacing w:val="-1"/>
          <w:sz w:val="24"/>
          <w:szCs w:val="24"/>
          <w:highlight w:val="none"/>
        </w:rPr>
      </w:pPr>
      <w:bookmarkStart w:id="177" w:name="_Toc12084"/>
      <w:bookmarkStart w:id="178" w:name="_Toc16294"/>
      <w:r>
        <w:rPr>
          <w:rFonts w:hint="eastAsia" w:ascii="宋体" w:hAnsi="宋体" w:eastAsia="宋体" w:cs="宋体"/>
          <w:color w:val="auto"/>
          <w:spacing w:val="-1"/>
          <w:sz w:val="24"/>
          <w:szCs w:val="24"/>
          <w:highlight w:val="none"/>
        </w:rPr>
        <w:t>（14）《建筑与市政工程无障碍通用规范》 GB 55019-2021；</w:t>
      </w:r>
      <w:bookmarkEnd w:id="177"/>
      <w:bookmarkEnd w:id="178"/>
    </w:p>
    <w:p w14:paraId="7B3C5264">
      <w:pPr>
        <w:spacing w:before="153" w:line="219" w:lineRule="auto"/>
        <w:ind w:left="130"/>
        <w:rPr>
          <w:rFonts w:hint="eastAsia" w:ascii="宋体" w:hAnsi="宋体" w:eastAsia="宋体" w:cs="宋体"/>
          <w:color w:val="auto"/>
          <w:spacing w:val="-1"/>
          <w:sz w:val="24"/>
          <w:szCs w:val="24"/>
          <w:highlight w:val="none"/>
        </w:rPr>
      </w:pPr>
      <w:bookmarkStart w:id="179" w:name="_Toc15158"/>
      <w:bookmarkStart w:id="180" w:name="_Toc1177"/>
      <w:r>
        <w:rPr>
          <w:rFonts w:hint="eastAsia" w:ascii="宋体" w:hAnsi="宋体" w:eastAsia="宋体" w:cs="宋体"/>
          <w:color w:val="auto"/>
          <w:spacing w:val="-1"/>
          <w:sz w:val="24"/>
          <w:szCs w:val="24"/>
          <w:highlight w:val="none"/>
        </w:rPr>
        <w:t>（15）《建筑防火通用规范》GB 55037-2022;</w:t>
      </w:r>
      <w:bookmarkEnd w:id="179"/>
      <w:bookmarkEnd w:id="180"/>
    </w:p>
    <w:p w14:paraId="61F141A9">
      <w:pPr>
        <w:spacing w:before="153" w:line="219" w:lineRule="auto"/>
        <w:ind w:left="130"/>
        <w:rPr>
          <w:rFonts w:hint="eastAsia" w:ascii="宋体" w:hAnsi="宋体" w:eastAsia="宋体" w:cs="宋体"/>
          <w:color w:val="auto"/>
          <w:spacing w:val="-1"/>
          <w:sz w:val="24"/>
          <w:szCs w:val="24"/>
          <w:highlight w:val="none"/>
        </w:rPr>
      </w:pPr>
      <w:bookmarkStart w:id="181" w:name="_Toc2461"/>
      <w:bookmarkStart w:id="182" w:name="_Toc24233"/>
      <w:r>
        <w:rPr>
          <w:rFonts w:hint="eastAsia" w:ascii="宋体" w:hAnsi="宋体" w:eastAsia="宋体" w:cs="宋体"/>
          <w:color w:val="auto"/>
          <w:spacing w:val="-1"/>
          <w:sz w:val="24"/>
          <w:szCs w:val="24"/>
          <w:highlight w:val="none"/>
        </w:rPr>
        <w:t>（16）《建筑与市政工程抗震通用规范》GB55002-2001;</w:t>
      </w:r>
      <w:bookmarkEnd w:id="181"/>
      <w:bookmarkEnd w:id="182"/>
    </w:p>
    <w:p w14:paraId="3BC258D5">
      <w:pPr>
        <w:spacing w:before="153" w:line="219" w:lineRule="auto"/>
        <w:ind w:left="130"/>
        <w:rPr>
          <w:rFonts w:hint="eastAsia" w:ascii="宋体" w:hAnsi="宋体" w:eastAsia="宋体" w:cs="宋体"/>
          <w:color w:val="auto"/>
          <w:spacing w:val="-1"/>
          <w:sz w:val="24"/>
          <w:szCs w:val="24"/>
          <w:highlight w:val="none"/>
        </w:rPr>
      </w:pPr>
      <w:bookmarkStart w:id="183" w:name="_Toc8109"/>
      <w:bookmarkStart w:id="184" w:name="_Toc5777"/>
      <w:r>
        <w:rPr>
          <w:rFonts w:hint="eastAsia" w:ascii="宋体" w:hAnsi="宋体" w:eastAsia="宋体" w:cs="宋体"/>
          <w:color w:val="auto"/>
          <w:spacing w:val="-1"/>
          <w:sz w:val="24"/>
          <w:szCs w:val="24"/>
          <w:highlight w:val="none"/>
        </w:rPr>
        <w:t>（17）《建筑与市政地基基础通用规范》GB55003-2001;</w:t>
      </w:r>
      <w:bookmarkEnd w:id="183"/>
      <w:bookmarkEnd w:id="184"/>
    </w:p>
    <w:p w14:paraId="7EABE99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5"/>
        <w:spacing w:line="257" w:lineRule="auto"/>
        <w:rPr>
          <w:rFonts w:hint="eastAsia" w:ascii="宋体" w:hAnsi="宋体" w:eastAsia="宋体" w:cs="宋体"/>
          <w:color w:val="auto"/>
          <w:highlight w:val="none"/>
        </w:rPr>
      </w:pPr>
    </w:p>
    <w:p w14:paraId="5D97A8A7">
      <w:pPr>
        <w:spacing w:before="78" w:line="220" w:lineRule="auto"/>
        <w:ind w:left="115"/>
        <w:outlineLvl w:val="2"/>
        <w:rPr>
          <w:rFonts w:hint="eastAsia" w:ascii="宋体" w:hAnsi="宋体" w:eastAsia="宋体" w:cs="宋体"/>
          <w:color w:val="auto"/>
          <w:sz w:val="24"/>
          <w:szCs w:val="24"/>
          <w:highlight w:val="none"/>
        </w:rPr>
      </w:pPr>
      <w:bookmarkStart w:id="185" w:name="_Toc16340"/>
      <w:bookmarkStart w:id="186" w:name="_Toc15652"/>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85"/>
      <w:bookmarkEnd w:id="186"/>
    </w:p>
    <w:p w14:paraId="3D883B18">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87" w:name="_Toc30781"/>
      <w:bookmarkStart w:id="188" w:name="_Toc8494"/>
      <w:r>
        <w:rPr>
          <w:rFonts w:hint="eastAsia" w:ascii="宋体" w:hAnsi="宋体" w:eastAsia="宋体" w:cs="宋体"/>
          <w:color w:val="auto"/>
          <w:spacing w:val="-2"/>
          <w:sz w:val="24"/>
          <w:szCs w:val="24"/>
          <w:highlight w:val="none"/>
        </w:rPr>
        <w:t>（11）《建筑与市政工程无障碍通用规范》 GB 55019-2021；</w:t>
      </w:r>
      <w:bookmarkEnd w:id="187"/>
      <w:bookmarkEnd w:id="188"/>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89" w:name="_Toc31143"/>
      <w:bookmarkStart w:id="190" w:name="_Toc17383"/>
      <w:r>
        <w:rPr>
          <w:rFonts w:hint="eastAsia" w:ascii="宋体" w:hAnsi="宋体" w:eastAsia="宋体" w:cs="宋体"/>
          <w:color w:val="auto"/>
          <w:spacing w:val="-2"/>
          <w:sz w:val="24"/>
          <w:szCs w:val="24"/>
          <w:highlight w:val="none"/>
        </w:rPr>
        <w:t>（12）《建筑防火通用规范》GB 55037-2022;</w:t>
      </w:r>
      <w:bookmarkEnd w:id="189"/>
      <w:bookmarkEnd w:id="190"/>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1" w:name="_Toc32476"/>
      <w:bookmarkStart w:id="192" w:name="_Toc954"/>
      <w:r>
        <w:rPr>
          <w:rFonts w:hint="eastAsia" w:ascii="宋体" w:hAnsi="宋体" w:eastAsia="宋体" w:cs="宋体"/>
          <w:color w:val="auto"/>
          <w:spacing w:val="-2"/>
          <w:sz w:val="24"/>
          <w:szCs w:val="24"/>
          <w:highlight w:val="none"/>
        </w:rPr>
        <w:t>（13）《建筑与市政工程抗震通用规范》GB55002-2001;</w:t>
      </w:r>
      <w:bookmarkEnd w:id="191"/>
      <w:bookmarkEnd w:id="192"/>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3" w:name="_Toc27898"/>
      <w:bookmarkStart w:id="194" w:name="_Toc7185"/>
      <w:r>
        <w:rPr>
          <w:rFonts w:hint="eastAsia" w:ascii="宋体" w:hAnsi="宋体" w:eastAsia="宋体" w:cs="宋体"/>
          <w:color w:val="auto"/>
          <w:spacing w:val="-2"/>
          <w:sz w:val="24"/>
          <w:szCs w:val="24"/>
          <w:highlight w:val="none"/>
        </w:rPr>
        <w:t>（14）《建筑与市政地基基础通用规范》GB55003-2001;</w:t>
      </w:r>
      <w:bookmarkEnd w:id="193"/>
      <w:bookmarkEnd w:id="194"/>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5" w:name="_Toc17281"/>
      <w:bookmarkStart w:id="196" w:name="_Toc29669"/>
      <w:r>
        <w:rPr>
          <w:rFonts w:hint="eastAsia" w:ascii="宋体" w:hAnsi="宋体" w:eastAsia="宋体" w:cs="宋体"/>
          <w:color w:val="auto"/>
          <w:spacing w:val="-2"/>
          <w:sz w:val="24"/>
          <w:szCs w:val="24"/>
          <w:highlight w:val="none"/>
        </w:rPr>
        <w:t>（15）《城市道路照明设计标准》（CJJ45-2015）；</w:t>
      </w:r>
      <w:bookmarkEnd w:id="195"/>
      <w:bookmarkEnd w:id="196"/>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7" w:name="_Toc9161"/>
      <w:bookmarkStart w:id="198" w:name="_Toc31812"/>
      <w:r>
        <w:rPr>
          <w:rFonts w:hint="eastAsia" w:ascii="宋体" w:hAnsi="宋体" w:eastAsia="宋体" w:cs="宋体"/>
          <w:color w:val="auto"/>
          <w:spacing w:val="-2"/>
          <w:sz w:val="24"/>
          <w:szCs w:val="24"/>
          <w:highlight w:val="none"/>
        </w:rPr>
        <w:t>（16）《低压配电设计规范》（GB50054-2011）；</w:t>
      </w:r>
      <w:bookmarkEnd w:id="197"/>
      <w:bookmarkEnd w:id="198"/>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9" w:name="_Toc18255"/>
      <w:bookmarkStart w:id="200" w:name="_Toc6405"/>
      <w:r>
        <w:rPr>
          <w:rFonts w:hint="eastAsia" w:ascii="宋体" w:hAnsi="宋体" w:eastAsia="宋体" w:cs="宋体"/>
          <w:color w:val="auto"/>
          <w:spacing w:val="-2"/>
          <w:sz w:val="24"/>
          <w:szCs w:val="24"/>
          <w:highlight w:val="none"/>
        </w:rPr>
        <w:t>（17）《城市道路照明工程施工及验收规程》（CJJ89-2012）；</w:t>
      </w:r>
      <w:bookmarkEnd w:id="199"/>
      <w:bookmarkEnd w:id="200"/>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164D7E">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1" w:name="_Toc9200"/>
      <w:bookmarkStart w:id="202" w:name="_Toc31813"/>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1"/>
      <w:bookmarkEnd w:id="202"/>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1" w:type="default"/>
          <w:pgSz w:w="11906" w:h="16839"/>
          <w:pgMar w:top="1134" w:right="1134" w:bottom="1134" w:left="1134" w:header="567" w:footer="567"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1B0234B">
      <w:pPr>
        <w:spacing w:before="78" w:line="219" w:lineRule="auto"/>
        <w:jc w:val="center"/>
        <w:outlineLvl w:val="0"/>
        <w:rPr>
          <w:rFonts w:hint="eastAsia" w:ascii="宋体" w:hAnsi="宋体" w:eastAsia="宋体" w:cs="宋体"/>
          <w:color w:val="auto"/>
          <w:sz w:val="24"/>
          <w:szCs w:val="24"/>
          <w:highlight w:val="none"/>
        </w:rPr>
      </w:pPr>
      <w:bookmarkStart w:id="203" w:name="bookmark146"/>
      <w:bookmarkEnd w:id="203"/>
      <w:bookmarkStart w:id="204" w:name="bookmark100"/>
      <w:bookmarkEnd w:id="204"/>
      <w:bookmarkStart w:id="205" w:name="_Toc21699"/>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05"/>
    </w:p>
    <w:p w14:paraId="7C6C80E2">
      <w:pPr>
        <w:pStyle w:val="5"/>
        <w:spacing w:line="283" w:lineRule="auto"/>
        <w:rPr>
          <w:rFonts w:hint="eastAsia" w:ascii="宋体" w:hAnsi="宋体" w:eastAsia="宋体" w:cs="宋体"/>
          <w:color w:val="auto"/>
          <w:highlight w:val="none"/>
        </w:rPr>
      </w:pPr>
    </w:p>
    <w:p w14:paraId="116B6A3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5"/>
        <w:spacing w:line="265" w:lineRule="auto"/>
        <w:rPr>
          <w:rFonts w:hint="eastAsia" w:ascii="宋体" w:hAnsi="宋体" w:eastAsia="宋体" w:cs="宋体"/>
          <w:color w:val="auto"/>
          <w:highlight w:val="none"/>
        </w:rPr>
      </w:pPr>
    </w:p>
    <w:p w14:paraId="45CC48D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6" w:firstLineChars="200"/>
        <w:textAlignment w:val="baseline"/>
        <w:outlineLvl w:val="2"/>
        <w:rPr>
          <w:rFonts w:hint="eastAsia" w:ascii="宋体" w:hAnsi="宋体" w:eastAsia="宋体" w:cs="宋体"/>
          <w:color w:val="auto"/>
          <w:sz w:val="24"/>
          <w:szCs w:val="24"/>
          <w:highlight w:val="none"/>
        </w:rPr>
      </w:pPr>
      <w:bookmarkStart w:id="206" w:name="_Toc24446"/>
      <w:bookmarkStart w:id="207" w:name="_Toc2170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06"/>
      <w:bookmarkEnd w:id="207"/>
    </w:p>
    <w:p w14:paraId="19E440D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本</w:t>
      </w:r>
      <w:r>
        <w:rPr>
          <w:rFonts w:hint="eastAsia" w:ascii="宋体" w:hAnsi="宋体" w:eastAsia="宋体" w:cs="宋体"/>
          <w:color w:val="auto"/>
          <w:spacing w:val="1"/>
          <w:sz w:val="24"/>
          <w:szCs w:val="24"/>
          <w:highlight w:val="none"/>
          <w:lang w:val="en-US" w:eastAsia="zh-CN"/>
        </w:rPr>
        <w:t>项目</w:t>
      </w:r>
      <w:r>
        <w:rPr>
          <w:rFonts w:hint="eastAsia" w:ascii="宋体" w:hAnsi="宋体" w:eastAsia="宋体" w:cs="宋体"/>
          <w:color w:val="auto"/>
          <w:sz w:val="24"/>
          <w:szCs w:val="24"/>
          <w:highlight w:val="none"/>
          <w:lang w:val="en-US" w:eastAsia="zh-CN"/>
        </w:rPr>
        <w:t>施工图纸在开标前15天另行发布于全国公共资源交易平台（广东省·韶关市）（https://ygp.gdzwfw.gov.cn/ggzy-portal/#/440200/index）、广东省招标投标监管网（http://zbtb.gd.gov.cn）网站。</w:t>
      </w:r>
    </w:p>
    <w:p w14:paraId="05E465D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58" w:firstLineChars="200"/>
        <w:textAlignment w:val="baseline"/>
        <w:outlineLvl w:val="2"/>
        <w:rPr>
          <w:rFonts w:hint="eastAsia" w:ascii="宋体" w:hAnsi="宋体" w:eastAsia="宋体" w:cs="宋体"/>
          <w:color w:val="auto"/>
          <w:sz w:val="24"/>
          <w:szCs w:val="24"/>
          <w:highlight w:val="none"/>
        </w:rPr>
      </w:pPr>
      <w:bookmarkStart w:id="208" w:name="_Toc9064"/>
      <w:bookmarkStart w:id="209" w:name="_Toc24419"/>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08"/>
      <w:bookmarkEnd w:id="209"/>
    </w:p>
    <w:p w14:paraId="3D4BF4B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z w:val="24"/>
          <w:szCs w:val="24"/>
          <w:highlight w:val="none"/>
          <w:lang w:val="en-US" w:eastAsia="zh-CN"/>
        </w:rPr>
        <w:t>本招标项目工程量清单在开标前15天另行发布于全国公共资源交易平台（广东省·韶关市）（https://ygp.gdzwfw.gov.cn/ggzy-portal/#/440200/index）、广东省招标投标监管网（http://zbtb.gd.gov.cn）网站</w:t>
      </w:r>
      <w:r>
        <w:rPr>
          <w:rFonts w:hint="eastAsia" w:ascii="宋体" w:hAnsi="宋体" w:eastAsia="宋体" w:cs="宋体"/>
          <w:color w:val="auto"/>
          <w:spacing w:val="-3"/>
          <w:sz w:val="24"/>
          <w:szCs w:val="24"/>
          <w:highlight w:val="none"/>
        </w:rPr>
        <w:t>。</w:t>
      </w:r>
    </w:p>
    <w:p w14:paraId="7B802B5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8" w:firstLineChars="200"/>
        <w:textAlignment w:val="baseline"/>
        <w:rPr>
          <w:rFonts w:hint="eastAsia" w:ascii="宋体" w:hAnsi="宋体" w:eastAsia="宋体" w:cs="宋体"/>
          <w:color w:val="auto"/>
          <w:sz w:val="24"/>
          <w:szCs w:val="24"/>
          <w:highlight w:val="none"/>
        </w:rPr>
      </w:pPr>
      <w:bookmarkStart w:id="210" w:name="bookmark147"/>
      <w:bookmarkEnd w:id="210"/>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14:paraId="0236213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eastAsia="zh-CN"/>
        </w:rPr>
        <w:t>GB/T50500-2024</w:t>
      </w:r>
      <w:r>
        <w:rPr>
          <w:rFonts w:hint="eastAsia" w:ascii="宋体" w:hAnsi="宋体" w:eastAsia="宋体" w:cs="宋体"/>
          <w:color w:val="auto"/>
          <w:spacing w:val="4"/>
          <w:sz w:val="24"/>
          <w:szCs w:val="24"/>
          <w:highlight w:val="none"/>
        </w:rPr>
        <w:t>）；</w:t>
      </w:r>
    </w:p>
    <w:p w14:paraId="61B98E7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3FCA4C7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771762E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2"/>
          <w:sz w:val="24"/>
          <w:szCs w:val="24"/>
          <w:highlight w:val="none"/>
          <w:lang w:eastAsia="zh-CN"/>
        </w:rPr>
        <w:t>GB/T50500-2024</w:t>
      </w:r>
      <w:r>
        <w:rPr>
          <w:rFonts w:hint="eastAsia" w:ascii="宋体" w:hAnsi="宋体" w:eastAsia="宋体" w:cs="宋体"/>
          <w:color w:val="auto"/>
          <w:spacing w:val="-6"/>
          <w:sz w:val="24"/>
          <w:szCs w:val="24"/>
          <w:highlight w:val="none"/>
        </w:rPr>
        <w:t>。</w:t>
      </w:r>
    </w:p>
    <w:p w14:paraId="12F193A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4" w:firstLineChars="20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8E085E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75A2669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B4AFD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429B072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sectPr>
          <w:footerReference r:id="rId12" w:type="default"/>
          <w:pgSz w:w="11906" w:h="16839"/>
          <w:pgMar w:top="1134" w:right="1134" w:bottom="1134" w:left="1134" w:header="567" w:footer="567"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36743CF6">
      <w:pPr>
        <w:spacing w:before="78" w:line="219" w:lineRule="auto"/>
        <w:ind w:left="3357"/>
        <w:outlineLvl w:val="0"/>
        <w:rPr>
          <w:rFonts w:hint="eastAsia" w:ascii="宋体" w:hAnsi="宋体" w:eastAsia="宋体" w:cs="宋体"/>
          <w:color w:val="auto"/>
          <w:sz w:val="24"/>
          <w:szCs w:val="24"/>
          <w:highlight w:val="none"/>
        </w:rPr>
      </w:pPr>
      <w:bookmarkStart w:id="211" w:name="_Toc27130"/>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1"/>
    </w:p>
    <w:p w14:paraId="0D0857B6">
      <w:pPr>
        <w:pStyle w:val="5"/>
        <w:spacing w:line="302" w:lineRule="auto"/>
        <w:jc w:val="right"/>
        <w:rPr>
          <w:rFonts w:hint="eastAsia" w:ascii="宋体" w:hAnsi="宋体" w:eastAsia="宋体" w:cs="宋体"/>
          <w:color w:val="auto"/>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12" w:name="_Toc11203"/>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12"/>
    </w:p>
    <w:p w14:paraId="7F1D5484">
      <w:pPr>
        <w:pStyle w:val="5"/>
        <w:spacing w:line="258" w:lineRule="auto"/>
        <w:rPr>
          <w:rFonts w:hint="eastAsia" w:ascii="宋体" w:hAnsi="宋体" w:eastAsia="宋体" w:cs="宋体"/>
          <w:color w:val="auto"/>
          <w:highlight w:val="none"/>
        </w:rPr>
      </w:pPr>
    </w:p>
    <w:p w14:paraId="2CD8482C">
      <w:pPr>
        <w:pStyle w:val="5"/>
        <w:spacing w:line="259" w:lineRule="auto"/>
        <w:rPr>
          <w:rFonts w:hint="eastAsia" w:ascii="宋体" w:hAnsi="宋体" w:eastAsia="宋体" w:cs="宋体"/>
          <w:color w:val="auto"/>
          <w:highlight w:val="none"/>
        </w:rPr>
      </w:pPr>
    </w:p>
    <w:p w14:paraId="102EDF3E">
      <w:pPr>
        <w:pStyle w:val="5"/>
        <w:spacing w:line="259" w:lineRule="auto"/>
        <w:rPr>
          <w:rFonts w:hint="eastAsia" w:ascii="宋体" w:hAnsi="宋体" w:eastAsia="宋体" w:cs="宋体"/>
          <w:color w:val="auto"/>
          <w:highlight w:val="none"/>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5"/>
        <w:spacing w:line="247" w:lineRule="auto"/>
        <w:rPr>
          <w:rFonts w:hint="eastAsia" w:ascii="宋体" w:hAnsi="宋体" w:eastAsia="宋体" w:cs="宋体"/>
          <w:color w:val="auto"/>
          <w:highlight w:val="none"/>
        </w:rPr>
      </w:pPr>
    </w:p>
    <w:p w14:paraId="54606FEC">
      <w:pPr>
        <w:pStyle w:val="5"/>
        <w:spacing w:line="247" w:lineRule="auto"/>
        <w:rPr>
          <w:rFonts w:hint="eastAsia" w:ascii="宋体" w:hAnsi="宋体" w:eastAsia="宋体" w:cs="宋体"/>
          <w:color w:val="auto"/>
          <w:highlight w:val="none"/>
        </w:rPr>
      </w:pPr>
    </w:p>
    <w:p w14:paraId="5399F95B">
      <w:pPr>
        <w:pStyle w:val="5"/>
        <w:spacing w:line="247" w:lineRule="auto"/>
        <w:rPr>
          <w:rFonts w:hint="eastAsia" w:ascii="宋体" w:hAnsi="宋体" w:eastAsia="宋体" w:cs="宋体"/>
          <w:color w:val="auto"/>
          <w:highlight w:val="none"/>
        </w:rPr>
      </w:pPr>
    </w:p>
    <w:p w14:paraId="290C2C2C">
      <w:pPr>
        <w:pStyle w:val="5"/>
        <w:spacing w:line="247" w:lineRule="auto"/>
        <w:rPr>
          <w:rFonts w:hint="eastAsia" w:ascii="宋体" w:hAnsi="宋体" w:eastAsia="宋体" w:cs="宋体"/>
          <w:color w:val="auto"/>
          <w:highlight w:val="none"/>
        </w:rPr>
      </w:pPr>
    </w:p>
    <w:p w14:paraId="59ACBFD9">
      <w:pPr>
        <w:pStyle w:val="5"/>
        <w:spacing w:line="248" w:lineRule="auto"/>
        <w:rPr>
          <w:rFonts w:hint="eastAsia" w:ascii="宋体" w:hAnsi="宋体" w:eastAsia="宋体" w:cs="宋体"/>
          <w:color w:val="auto"/>
          <w:highlight w:val="none"/>
        </w:rPr>
      </w:pPr>
    </w:p>
    <w:p w14:paraId="659F2C43">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5"/>
        <w:spacing w:line="293" w:lineRule="auto"/>
        <w:rPr>
          <w:rFonts w:hint="eastAsia" w:ascii="宋体" w:hAnsi="宋体" w:eastAsia="宋体" w:cs="宋体"/>
          <w:color w:val="auto"/>
          <w:highlight w:val="none"/>
        </w:rPr>
      </w:pPr>
    </w:p>
    <w:p w14:paraId="324C9182">
      <w:pPr>
        <w:pStyle w:val="5"/>
        <w:spacing w:line="293" w:lineRule="auto"/>
        <w:rPr>
          <w:rFonts w:hint="eastAsia" w:ascii="宋体" w:hAnsi="宋体" w:eastAsia="宋体" w:cs="宋体"/>
          <w:color w:val="auto"/>
          <w:highlight w:val="none"/>
        </w:rPr>
      </w:pPr>
    </w:p>
    <w:p w14:paraId="7C0F118B">
      <w:pPr>
        <w:spacing w:before="152" w:line="223" w:lineRule="auto"/>
        <w:jc w:val="center"/>
        <w:rPr>
          <w:rFonts w:hint="eastAsia" w:ascii="宋体" w:hAnsi="宋体" w:eastAsia="宋体" w:cs="宋体"/>
          <w:b/>
          <w:bCs/>
          <w:color w:val="auto"/>
          <w:spacing w:val="2"/>
          <w:sz w:val="40"/>
          <w:szCs w:val="40"/>
          <w:highlight w:val="none"/>
        </w:rPr>
      </w:pPr>
      <w:bookmarkStart w:id="213" w:name="bookmark105"/>
      <w:bookmarkEnd w:id="213"/>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507FE0F9">
      <w:pPr>
        <w:bidi w:val="0"/>
        <w:rPr>
          <w:rFonts w:hint="eastAsia"/>
          <w:color w:val="auto"/>
          <w:highlight w:val="none"/>
        </w:rPr>
      </w:pPr>
    </w:p>
    <w:p w14:paraId="1258CA34">
      <w:pPr>
        <w:bidi w:val="0"/>
        <w:rPr>
          <w:rFonts w:hint="eastAsia"/>
          <w:color w:val="auto"/>
          <w:highlight w:val="none"/>
        </w:rPr>
      </w:pPr>
    </w:p>
    <w:p w14:paraId="6011C3D8">
      <w:pPr>
        <w:bidi w:val="0"/>
        <w:rPr>
          <w:rFonts w:hint="eastAsia"/>
          <w:color w:val="auto"/>
          <w:highlight w:val="none"/>
        </w:rPr>
      </w:pPr>
    </w:p>
    <w:p w14:paraId="37F301A3">
      <w:pPr>
        <w:bidi w:val="0"/>
        <w:rPr>
          <w:rFonts w:hint="eastAsia"/>
          <w:color w:val="auto"/>
          <w:highlight w:val="none"/>
        </w:rPr>
      </w:pPr>
    </w:p>
    <w:p w14:paraId="176B82A5">
      <w:pPr>
        <w:bidi w:val="0"/>
        <w:rPr>
          <w:rFonts w:hint="eastAsia"/>
          <w:color w:val="auto"/>
          <w:highlight w:val="none"/>
        </w:rPr>
      </w:pPr>
    </w:p>
    <w:p w14:paraId="082387D7">
      <w:pPr>
        <w:bidi w:val="0"/>
        <w:rPr>
          <w:rFonts w:hint="eastAsia"/>
          <w:color w:val="auto"/>
          <w:highlight w:val="none"/>
        </w:rPr>
      </w:pPr>
    </w:p>
    <w:p w14:paraId="4555BC89">
      <w:pPr>
        <w:bidi w:val="0"/>
        <w:rPr>
          <w:rFonts w:hint="eastAsia"/>
          <w:color w:val="auto"/>
          <w:highlight w:val="none"/>
        </w:rPr>
      </w:pPr>
    </w:p>
    <w:p w14:paraId="5C158398">
      <w:pPr>
        <w:bidi w:val="0"/>
        <w:rPr>
          <w:rFonts w:hint="eastAsia"/>
          <w:color w:val="auto"/>
          <w:highlight w:val="none"/>
        </w:rPr>
      </w:pPr>
    </w:p>
    <w:p w14:paraId="7B5A9BA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39"/>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bidi w:val="0"/>
        <w:rPr>
          <w:rFonts w:hint="eastAsia"/>
          <w:color w:val="auto"/>
          <w:highlight w:val="none"/>
        </w:rPr>
      </w:pPr>
    </w:p>
    <w:p w14:paraId="23E6A84C">
      <w:pPr>
        <w:outlineLvl w:val="9"/>
        <w:rPr>
          <w:rFonts w:hint="eastAsia"/>
          <w:color w:val="auto"/>
          <w:highlight w:val="none"/>
        </w:rPr>
      </w:pPr>
    </w:p>
    <w:p w14:paraId="5B28AB72">
      <w:pPr>
        <w:spacing w:line="223" w:lineRule="auto"/>
        <w:rPr>
          <w:rFonts w:hint="eastAsia" w:ascii="宋体" w:hAnsi="宋体" w:eastAsia="宋体" w:cs="宋体"/>
          <w:color w:val="auto"/>
          <w:sz w:val="47"/>
          <w:szCs w:val="47"/>
          <w:highlight w:val="none"/>
        </w:rPr>
        <w:sectPr>
          <w:footerReference r:id="rId13" w:type="default"/>
          <w:pgSz w:w="11906" w:h="16839"/>
          <w:pgMar w:top="1134" w:right="1134" w:bottom="1134" w:left="1134" w:header="567" w:footer="567"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14" w:name="_Toc24492"/>
      <w:r>
        <w:rPr>
          <w:rFonts w:hint="eastAsia" w:ascii="宋体" w:hAnsi="宋体" w:eastAsia="宋体" w:cs="宋体"/>
          <w:b/>
          <w:bCs/>
          <w:color w:val="auto"/>
          <w:spacing w:val="-4"/>
          <w:sz w:val="24"/>
          <w:szCs w:val="24"/>
          <w:highlight w:val="none"/>
        </w:rPr>
        <w:t>格式二 投标函</w:t>
      </w:r>
      <w:bookmarkEnd w:id="214"/>
    </w:p>
    <w:p w14:paraId="3A37F6C7">
      <w:pPr>
        <w:pStyle w:val="5"/>
        <w:spacing w:line="261" w:lineRule="auto"/>
        <w:rPr>
          <w:rFonts w:hint="eastAsia" w:ascii="宋体" w:hAnsi="宋体" w:eastAsia="宋体" w:cs="宋体"/>
          <w:color w:val="auto"/>
          <w:highlight w:val="none"/>
        </w:rPr>
      </w:pPr>
    </w:p>
    <w:p w14:paraId="45A81B1F">
      <w:pPr>
        <w:spacing w:before="97" w:line="221" w:lineRule="auto"/>
        <w:ind w:left="3799"/>
        <w:outlineLvl w:val="9"/>
        <w:rPr>
          <w:rFonts w:hint="eastAsia" w:ascii="宋体" w:hAnsi="宋体" w:eastAsia="宋体" w:cs="宋体"/>
          <w:color w:val="auto"/>
          <w:sz w:val="28"/>
          <w:szCs w:val="28"/>
          <w:highlight w:val="none"/>
        </w:rPr>
      </w:pPr>
      <w:bookmarkStart w:id="215" w:name="bookmark148"/>
      <w:bookmarkEnd w:id="215"/>
      <w:bookmarkStart w:id="216" w:name="_Toc297"/>
      <w:bookmarkStart w:id="217" w:name="_Toc317"/>
      <w:bookmarkStart w:id="218" w:name="_Toc27397"/>
      <w:r>
        <w:rPr>
          <w:rFonts w:hint="eastAsia" w:ascii="宋体" w:hAnsi="宋体" w:eastAsia="宋体" w:cs="宋体"/>
          <w:b/>
          <w:bCs/>
          <w:color w:val="auto"/>
          <w:spacing w:val="-13"/>
          <w:sz w:val="28"/>
          <w:szCs w:val="28"/>
          <w:highlight w:val="none"/>
        </w:rPr>
        <w:t>投</w:t>
      </w:r>
      <w:r>
        <w:rPr>
          <w:rFonts w:hint="eastAsia" w:ascii="宋体" w:hAnsi="宋体" w:eastAsia="宋体" w:cs="宋体"/>
          <w:color w:val="auto"/>
          <w:spacing w:val="6"/>
          <w:sz w:val="28"/>
          <w:szCs w:val="28"/>
          <w:highlight w:val="none"/>
        </w:rPr>
        <w:t xml:space="preserve">  </w:t>
      </w:r>
      <w:r>
        <w:rPr>
          <w:rFonts w:hint="eastAsia" w:ascii="宋体" w:hAnsi="宋体" w:eastAsia="宋体" w:cs="宋体"/>
          <w:b/>
          <w:bCs/>
          <w:color w:val="auto"/>
          <w:spacing w:val="-13"/>
          <w:sz w:val="28"/>
          <w:szCs w:val="28"/>
          <w:highlight w:val="none"/>
        </w:rPr>
        <w:t>标</w:t>
      </w:r>
      <w:r>
        <w:rPr>
          <w:rFonts w:hint="eastAsia" w:ascii="宋体" w:hAnsi="宋体" w:eastAsia="宋体" w:cs="宋体"/>
          <w:color w:val="auto"/>
          <w:spacing w:val="17"/>
          <w:sz w:val="28"/>
          <w:szCs w:val="28"/>
          <w:highlight w:val="none"/>
        </w:rPr>
        <w:t xml:space="preserve">  </w:t>
      </w:r>
      <w:r>
        <w:rPr>
          <w:rFonts w:hint="eastAsia" w:ascii="宋体" w:hAnsi="宋体" w:eastAsia="宋体" w:cs="宋体"/>
          <w:b/>
          <w:bCs/>
          <w:color w:val="auto"/>
          <w:spacing w:val="-13"/>
          <w:sz w:val="28"/>
          <w:szCs w:val="28"/>
          <w:highlight w:val="none"/>
        </w:rPr>
        <w:t>函</w:t>
      </w:r>
      <w:bookmarkEnd w:id="216"/>
      <w:bookmarkEnd w:id="217"/>
      <w:bookmarkEnd w:id="218"/>
    </w:p>
    <w:p w14:paraId="5FC5B2DC">
      <w:pPr>
        <w:pStyle w:val="5"/>
        <w:spacing w:line="250" w:lineRule="auto"/>
        <w:rPr>
          <w:rFonts w:hint="eastAsia" w:ascii="宋体" w:hAnsi="宋体" w:eastAsia="宋体" w:cs="宋体"/>
          <w:color w:val="auto"/>
          <w:highlight w:val="none"/>
        </w:rPr>
      </w:pPr>
    </w:p>
    <w:p w14:paraId="64EA313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8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6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19" w:name="OLE_LINK34"/>
      <w:r>
        <w:rPr>
          <w:rFonts w:hint="eastAsia" w:ascii="宋体" w:hAnsi="宋体" w:eastAsia="宋体" w:cs="宋体"/>
          <w:color w:val="auto"/>
          <w:sz w:val="24"/>
          <w:szCs w:val="24"/>
          <w:highlight w:val="none"/>
          <w:u w:val="single"/>
          <w:lang w:val="en-US" w:eastAsia="zh-CN"/>
        </w:rPr>
        <w:t xml:space="preserve">     </w:t>
      </w:r>
      <w:bookmarkEnd w:id="219"/>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6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6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831F436">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4"/>
          <w:szCs w:val="24"/>
          <w:highlight w:val="none"/>
        </w:rPr>
      </w:pPr>
    </w:p>
    <w:p w14:paraId="3AC7C5A8">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4"/>
          <w:szCs w:val="24"/>
          <w:highlight w:val="none"/>
        </w:rPr>
      </w:pPr>
    </w:p>
    <w:p w14:paraId="78B3688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357977FD">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宋体" w:hAnsi="宋体" w:eastAsia="宋体" w:cs="宋体"/>
          <w:color w:val="auto"/>
          <w:sz w:val="24"/>
          <w:szCs w:val="24"/>
          <w:highlight w:val="none"/>
        </w:rPr>
      </w:pPr>
    </w:p>
    <w:p w14:paraId="6662D32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070C60B1">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color w:val="auto"/>
          <w:sz w:val="24"/>
          <w:szCs w:val="24"/>
          <w:highlight w:val="none"/>
        </w:rPr>
      </w:pPr>
    </w:p>
    <w:p w14:paraId="08228F0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727104C9">
      <w:pPr>
        <w:spacing w:line="220" w:lineRule="auto"/>
        <w:rPr>
          <w:rFonts w:hint="eastAsia" w:ascii="宋体" w:hAnsi="宋体" w:eastAsia="宋体" w:cs="宋体"/>
          <w:color w:val="auto"/>
          <w:sz w:val="24"/>
          <w:szCs w:val="24"/>
          <w:highlight w:val="none"/>
        </w:rPr>
        <w:sectPr>
          <w:footerReference r:id="rId14" w:type="default"/>
          <w:pgSz w:w="11906" w:h="16839"/>
          <w:pgMar w:top="1134" w:right="1080" w:bottom="1134" w:left="1134" w:header="567" w:footer="567"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20" w:name="_Toc15958"/>
      <w:r>
        <w:rPr>
          <w:rFonts w:hint="eastAsia" w:ascii="宋体" w:hAnsi="宋体" w:eastAsia="宋体" w:cs="宋体"/>
          <w:b/>
          <w:bCs/>
          <w:color w:val="auto"/>
          <w:spacing w:val="-4"/>
          <w:sz w:val="24"/>
          <w:szCs w:val="24"/>
          <w:highlight w:val="none"/>
        </w:rPr>
        <w:t>格式三 各项承诺一览表</w:t>
      </w:r>
      <w:bookmarkEnd w:id="220"/>
    </w:p>
    <w:p w14:paraId="0D7CCACD">
      <w:pPr>
        <w:pStyle w:val="5"/>
        <w:spacing w:line="254" w:lineRule="auto"/>
        <w:rPr>
          <w:rFonts w:hint="eastAsia" w:ascii="宋体" w:hAnsi="宋体" w:eastAsia="宋体" w:cs="宋体"/>
          <w:color w:val="auto"/>
          <w:highlight w:val="none"/>
        </w:rPr>
      </w:pPr>
    </w:p>
    <w:p w14:paraId="4A57AF5C">
      <w:pPr>
        <w:spacing w:before="98" w:line="220" w:lineRule="auto"/>
        <w:ind w:left="3581"/>
        <w:outlineLvl w:val="9"/>
        <w:rPr>
          <w:rFonts w:hint="eastAsia" w:ascii="宋体" w:hAnsi="宋体" w:eastAsia="宋体" w:cs="宋体"/>
          <w:color w:val="auto"/>
          <w:sz w:val="30"/>
          <w:szCs w:val="30"/>
          <w:highlight w:val="none"/>
        </w:rPr>
      </w:pPr>
      <w:bookmarkStart w:id="221" w:name="bookmark149"/>
      <w:bookmarkEnd w:id="221"/>
      <w:bookmarkStart w:id="222" w:name="_Toc10326"/>
      <w:bookmarkStart w:id="223" w:name="_Toc4767"/>
      <w:bookmarkStart w:id="224" w:name="_Toc2936"/>
      <w:r>
        <w:rPr>
          <w:rFonts w:hint="eastAsia" w:ascii="宋体" w:hAnsi="宋体" w:eastAsia="宋体" w:cs="宋体"/>
          <w:b/>
          <w:bCs/>
          <w:color w:val="auto"/>
          <w:spacing w:val="-5"/>
          <w:sz w:val="30"/>
          <w:szCs w:val="30"/>
          <w:highlight w:val="none"/>
        </w:rPr>
        <w:t>各项承诺一览表</w:t>
      </w:r>
      <w:bookmarkEnd w:id="222"/>
      <w:bookmarkEnd w:id="223"/>
      <w:bookmarkEnd w:id="224"/>
    </w:p>
    <w:p w14:paraId="1040ACDB">
      <w:pPr>
        <w:spacing w:before="6"/>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8E03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F6DB51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center"/>
          </w:tcPr>
          <w:p w14:paraId="693C2F8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center"/>
          </w:tcPr>
          <w:p w14:paraId="508CCBC6">
            <w:pPr>
              <w:keepNext w:val="0"/>
              <w:keepLines w:val="0"/>
              <w:pageBreakBefore w:val="0"/>
              <w:widowControl/>
              <w:kinsoku w:val="0"/>
              <w:wordWrap/>
              <w:overflowPunct/>
              <w:topLinePunct w:val="0"/>
              <w:autoSpaceDE w:val="0"/>
              <w:autoSpaceDN w:val="0"/>
              <w:bidi w:val="0"/>
              <w:adjustRightInd w:val="0"/>
              <w:snapToGrid w:val="0"/>
              <w:spacing w:line="360" w:lineRule="auto"/>
              <w:ind w:left="0" w:right="2"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11ADA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6CB1A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AF5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center"/>
          </w:tcPr>
          <w:p w14:paraId="1DAEEEE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center"/>
          </w:tcPr>
          <w:p w14:paraId="2368A58B">
            <w:pPr>
              <w:keepNext w:val="0"/>
              <w:keepLines w:val="0"/>
              <w:pageBreakBefore w:val="0"/>
              <w:widowControl/>
              <w:kinsoku w:val="0"/>
              <w:wordWrap/>
              <w:overflowPunct/>
              <w:topLinePunct w:val="0"/>
              <w:autoSpaceDE w:val="0"/>
              <w:autoSpaceDN w:val="0"/>
              <w:bidi w:val="0"/>
              <w:adjustRightInd w:val="0"/>
              <w:snapToGrid w:val="0"/>
              <w:spacing w:line="360" w:lineRule="auto"/>
              <w:ind w:left="0" w:right="2"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FA5DE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0ED34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F741A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center"/>
          </w:tcPr>
          <w:p w14:paraId="7DFCC59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r>
              <w:rPr>
                <w:rFonts w:hint="eastAsia" w:ascii="宋体" w:hAnsi="宋体" w:eastAsia="宋体" w:cs="宋体"/>
                <w:color w:val="auto"/>
                <w:spacing w:val="4"/>
                <w:sz w:val="24"/>
                <w:szCs w:val="24"/>
                <w:highlight w:val="none"/>
              </w:rPr>
              <w:t>串标和弄虚</w:t>
            </w:r>
            <w:r>
              <w:rPr>
                <w:rFonts w:hint="eastAsia" w:ascii="宋体" w:hAnsi="宋体" w:eastAsia="宋体" w:cs="宋体"/>
                <w:color w:val="auto"/>
                <w:spacing w:val="8"/>
                <w:sz w:val="24"/>
                <w:szCs w:val="24"/>
                <w:highlight w:val="none"/>
              </w:rPr>
              <w:t>作假行为的承诺</w:t>
            </w:r>
          </w:p>
        </w:tc>
        <w:tc>
          <w:tcPr>
            <w:tcW w:w="3107" w:type="dxa"/>
            <w:vAlign w:val="center"/>
          </w:tcPr>
          <w:p w14:paraId="6D8D72D4">
            <w:pPr>
              <w:keepNext w:val="0"/>
              <w:keepLines w:val="0"/>
              <w:pageBreakBefore w:val="0"/>
              <w:widowControl/>
              <w:kinsoku w:val="0"/>
              <w:wordWrap/>
              <w:overflowPunct/>
              <w:topLinePunct w:val="0"/>
              <w:autoSpaceDE w:val="0"/>
              <w:autoSpaceDN w:val="0"/>
              <w:bidi w:val="0"/>
              <w:adjustRightInd w:val="0"/>
              <w:snapToGrid w:val="0"/>
              <w:spacing w:line="360" w:lineRule="auto"/>
              <w:ind w:left="0" w:right="2"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D55AC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16539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45AC1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89FA4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center"/>
          </w:tcPr>
          <w:p w14:paraId="5C7A4BF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center"/>
          </w:tcPr>
          <w:p w14:paraId="25A6B417">
            <w:pPr>
              <w:keepNext w:val="0"/>
              <w:keepLines w:val="0"/>
              <w:pageBreakBefore w:val="0"/>
              <w:widowControl/>
              <w:kinsoku w:val="0"/>
              <w:wordWrap/>
              <w:overflowPunct/>
              <w:topLinePunct w:val="0"/>
              <w:autoSpaceDE w:val="0"/>
              <w:autoSpaceDN w:val="0"/>
              <w:bidi w:val="0"/>
              <w:adjustRightInd w:val="0"/>
              <w:snapToGrid w:val="0"/>
              <w:spacing w:line="360" w:lineRule="auto"/>
              <w:ind w:left="0" w:right="2"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74BA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center"/>
          </w:tcPr>
          <w:p w14:paraId="10BB807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7"/>
                <w:sz w:val="24"/>
                <w:szCs w:val="24"/>
                <w:highlight w:val="none"/>
              </w:rPr>
              <w:t>真实性承诺</w:t>
            </w:r>
          </w:p>
        </w:tc>
        <w:tc>
          <w:tcPr>
            <w:tcW w:w="3107" w:type="dxa"/>
            <w:vAlign w:val="center"/>
          </w:tcPr>
          <w:p w14:paraId="50163C6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19FAAF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1312"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0"/>
                          <a:stretch>
                            <a:fillRect/>
                          </a:stretch>
                        </pic:blipFill>
                        <pic:spPr>
                          <a:xfrm>
                            <a:off x="0" y="0"/>
                            <a:ext cx="6350" cy="241300"/>
                          </a:xfrm>
                          <a:prstGeom prst="rect">
                            <a:avLst/>
                          </a:prstGeom>
                          <a:noFill/>
                          <a:ln>
                            <a:noFill/>
                          </a:ln>
                        </pic:spPr>
                      </pic:pic>
                    </a:graphicData>
                  </a:graphic>
                </wp:anchor>
              </w:drawing>
            </w:r>
          </w:p>
        </w:tc>
        <w:tc>
          <w:tcPr>
            <w:tcW w:w="1675" w:type="dxa"/>
            <w:vAlign w:val="center"/>
          </w:tcPr>
          <w:p w14:paraId="20B01D1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8"/>
                <w:sz w:val="24"/>
                <w:szCs w:val="24"/>
                <w:highlight w:val="none"/>
              </w:rPr>
              <w:t>信息公开承诺</w:t>
            </w:r>
          </w:p>
        </w:tc>
        <w:tc>
          <w:tcPr>
            <w:tcW w:w="3107" w:type="dxa"/>
            <w:vAlign w:val="center"/>
          </w:tcPr>
          <w:p w14:paraId="6794C05C">
            <w:pPr>
              <w:keepNext w:val="0"/>
              <w:keepLines w:val="0"/>
              <w:pageBreakBefore w:val="0"/>
              <w:widowControl/>
              <w:kinsoku w:val="0"/>
              <w:wordWrap/>
              <w:overflowPunct/>
              <w:topLinePunct w:val="0"/>
              <w:autoSpaceDE w:val="0"/>
              <w:autoSpaceDN w:val="0"/>
              <w:bidi w:val="0"/>
              <w:adjustRightInd w:val="0"/>
              <w:snapToGrid w:val="0"/>
              <w:spacing w:line="360" w:lineRule="auto"/>
              <w:ind w:left="0" w:right="2"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FBE142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59264;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3473C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58368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890160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C89A7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center"/>
          </w:tcPr>
          <w:p w14:paraId="06743F6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center"/>
          </w:tcPr>
          <w:p w14:paraId="6339079D">
            <w:pPr>
              <w:keepNext w:val="0"/>
              <w:keepLines w:val="0"/>
              <w:pageBreakBefore w:val="0"/>
              <w:widowControl/>
              <w:kinsoku w:val="0"/>
              <w:wordWrap/>
              <w:overflowPunct/>
              <w:topLinePunct w:val="0"/>
              <w:autoSpaceDE w:val="0"/>
              <w:autoSpaceDN w:val="0"/>
              <w:bidi w:val="0"/>
              <w:adjustRightInd w:val="0"/>
              <w:snapToGrid w:val="0"/>
              <w:spacing w:line="360" w:lineRule="auto"/>
              <w:ind w:left="0" w:right="2"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2AC2D7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0288;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7C9BB7E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A5536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74C1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05BF3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center"/>
          </w:tcPr>
          <w:p w14:paraId="4D741FF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center"/>
          </w:tcPr>
          <w:p w14:paraId="2F2EF5F6">
            <w:pPr>
              <w:pStyle w:val="21"/>
              <w:keepNext w:val="0"/>
              <w:keepLines w:val="0"/>
              <w:pageBreakBefore w:val="0"/>
              <w:widowControl/>
              <w:kinsoku w:val="0"/>
              <w:wordWrap/>
              <w:overflowPunct/>
              <w:topLinePunct w:val="0"/>
              <w:autoSpaceDE w:val="0"/>
              <w:autoSpaceDN w:val="0"/>
              <w:bidi w:val="0"/>
              <w:adjustRightInd w:val="0"/>
              <w:snapToGrid w:val="0"/>
              <w:spacing w:line="360" w:lineRule="auto"/>
              <w:ind w:left="0" w:firstLine="0"/>
              <w:jc w:val="center"/>
              <w:textAlignment w:val="baseline"/>
              <w:rPr>
                <w:rFonts w:hint="eastAsia" w:ascii="宋体" w:hAnsi="宋体" w:eastAsia="宋体" w:cs="宋体"/>
                <w:color w:val="auto"/>
                <w:sz w:val="24"/>
                <w:szCs w:val="24"/>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2A7C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B620D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F4C3A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center"/>
          </w:tcPr>
          <w:p w14:paraId="3984E433">
            <w:pPr>
              <w:pStyle w:val="21"/>
              <w:keepNext w:val="0"/>
              <w:keepLines w:val="0"/>
              <w:pageBreakBefore w:val="0"/>
              <w:widowControl/>
              <w:kinsoku w:val="0"/>
              <w:wordWrap/>
              <w:overflowPunct/>
              <w:topLinePunct w:val="0"/>
              <w:autoSpaceDE w:val="0"/>
              <w:autoSpaceDN w:val="0"/>
              <w:bidi w:val="0"/>
              <w:adjustRightInd w:val="0"/>
              <w:snapToGrid w:val="0"/>
              <w:spacing w:line="360" w:lineRule="auto"/>
              <w:ind w:left="0" w:firstLine="0"/>
              <w:jc w:val="center"/>
              <w:textAlignment w:val="baseline"/>
              <w:rPr>
                <w:rFonts w:hint="eastAsia" w:ascii="宋体" w:hAnsi="宋体" w:eastAsia="宋体" w:cs="宋体"/>
                <w:color w:val="auto"/>
                <w:sz w:val="24"/>
                <w:szCs w:val="24"/>
                <w:highlight w:val="none"/>
              </w:rPr>
            </w:pPr>
          </w:p>
          <w:p w14:paraId="7D7846EB">
            <w:pPr>
              <w:pStyle w:val="21"/>
              <w:keepNext w:val="0"/>
              <w:keepLines w:val="0"/>
              <w:pageBreakBefore w:val="0"/>
              <w:widowControl/>
              <w:kinsoku w:val="0"/>
              <w:wordWrap/>
              <w:overflowPunct/>
              <w:topLinePunct w:val="0"/>
              <w:autoSpaceDE w:val="0"/>
              <w:autoSpaceDN w:val="0"/>
              <w:bidi w:val="0"/>
              <w:adjustRightInd w:val="0"/>
              <w:snapToGrid w:val="0"/>
              <w:spacing w:line="360" w:lineRule="auto"/>
              <w:ind w:left="0" w:firstLine="0"/>
              <w:jc w:val="center"/>
              <w:textAlignment w:val="baseline"/>
              <w:rPr>
                <w:rFonts w:hint="eastAsia" w:ascii="宋体" w:hAnsi="宋体" w:eastAsia="宋体" w:cs="宋体"/>
                <w:color w:val="auto"/>
                <w:sz w:val="24"/>
                <w:szCs w:val="24"/>
                <w:highlight w:val="none"/>
              </w:rPr>
            </w:pPr>
          </w:p>
          <w:p w14:paraId="700D32F0">
            <w:pPr>
              <w:pStyle w:val="21"/>
              <w:keepNext w:val="0"/>
              <w:keepLines w:val="0"/>
              <w:pageBreakBefore w:val="0"/>
              <w:widowControl/>
              <w:kinsoku w:val="0"/>
              <w:wordWrap/>
              <w:overflowPunct/>
              <w:topLinePunct w:val="0"/>
              <w:autoSpaceDE w:val="0"/>
              <w:autoSpaceDN w:val="0"/>
              <w:bidi w:val="0"/>
              <w:adjustRightInd w:val="0"/>
              <w:snapToGrid w:val="0"/>
              <w:spacing w:line="360" w:lineRule="auto"/>
              <w:ind w:left="0" w:firstLine="0"/>
              <w:jc w:val="center"/>
              <w:textAlignment w:val="baseline"/>
              <w:rPr>
                <w:rFonts w:hint="eastAsia" w:ascii="宋体" w:hAnsi="宋体" w:eastAsia="宋体" w:cs="宋体"/>
                <w:color w:val="auto"/>
                <w:sz w:val="24"/>
                <w:szCs w:val="24"/>
                <w:highlight w:val="none"/>
              </w:rPr>
            </w:pPr>
          </w:p>
          <w:p w14:paraId="59127F0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center"/>
          </w:tcPr>
          <w:p w14:paraId="45DF0271">
            <w:pPr>
              <w:pStyle w:val="21"/>
              <w:keepNext w:val="0"/>
              <w:keepLines w:val="0"/>
              <w:pageBreakBefore w:val="0"/>
              <w:widowControl/>
              <w:kinsoku w:val="0"/>
              <w:wordWrap/>
              <w:overflowPunct/>
              <w:topLinePunct w:val="0"/>
              <w:autoSpaceDE w:val="0"/>
              <w:autoSpaceDN w:val="0"/>
              <w:bidi w:val="0"/>
              <w:adjustRightInd w:val="0"/>
              <w:snapToGrid w:val="0"/>
              <w:spacing w:line="360" w:lineRule="auto"/>
              <w:ind w:left="0" w:firstLine="0"/>
              <w:jc w:val="center"/>
              <w:textAlignment w:val="baseline"/>
              <w:rPr>
                <w:rFonts w:hint="eastAsia" w:ascii="宋体" w:hAnsi="宋体" w:eastAsia="宋体" w:cs="宋体"/>
                <w:color w:val="auto"/>
                <w:sz w:val="24"/>
                <w:szCs w:val="24"/>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line="360" w:lineRule="auto"/>
              <w:ind w:left="0" w:right="2"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41E00C7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178558E0">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宋体" w:hAnsi="宋体" w:eastAsia="宋体" w:cs="宋体"/>
          <w:color w:val="auto"/>
          <w:sz w:val="24"/>
          <w:szCs w:val="24"/>
          <w:highlight w:val="none"/>
        </w:rPr>
      </w:pPr>
    </w:p>
    <w:p w14:paraId="710CF61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2F4F4A7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宋体" w:hAnsi="宋体" w:eastAsia="宋体" w:cs="宋体"/>
          <w:color w:val="auto"/>
          <w:spacing w:val="1"/>
          <w:sz w:val="24"/>
          <w:szCs w:val="24"/>
          <w:highlight w:val="none"/>
        </w:rPr>
      </w:pPr>
    </w:p>
    <w:p w14:paraId="0B6EEC6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righ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26F59DE1">
      <w:pPr>
        <w:spacing w:line="220" w:lineRule="auto"/>
        <w:jc w:val="right"/>
        <w:rPr>
          <w:rFonts w:hint="eastAsia" w:ascii="宋体" w:hAnsi="宋体" w:eastAsia="宋体" w:cs="宋体"/>
          <w:color w:val="auto"/>
          <w:sz w:val="24"/>
          <w:szCs w:val="24"/>
          <w:highlight w:val="none"/>
        </w:rPr>
        <w:sectPr>
          <w:footerReference r:id="rId15" w:type="default"/>
          <w:pgSz w:w="11906" w:h="16839"/>
          <w:pgMar w:top="1134" w:right="1134" w:bottom="1134" w:left="1134" w:header="567" w:footer="567" w:gutter="0"/>
          <w:pgBorders>
            <w:top w:val="none" w:sz="0" w:space="0"/>
            <w:left w:val="none" w:sz="0" w:space="0"/>
            <w:bottom w:val="none" w:sz="0" w:space="0"/>
            <w:right w:val="none" w:sz="0" w:space="0"/>
          </w:pgBorders>
          <w:cols w:space="720" w:num="1"/>
        </w:sectPr>
      </w:pPr>
    </w:p>
    <w:p w14:paraId="6CD0F9BB">
      <w:pPr>
        <w:spacing w:before="78" w:line="220" w:lineRule="auto"/>
        <w:outlineLvl w:val="2"/>
        <w:rPr>
          <w:rFonts w:hint="eastAsia" w:ascii="宋体" w:hAnsi="宋体" w:eastAsia="宋体" w:cs="宋体"/>
          <w:color w:val="auto"/>
          <w:highlight w:val="none"/>
        </w:rPr>
      </w:pPr>
      <w:bookmarkStart w:id="225" w:name="_Toc16537"/>
      <w:r>
        <w:rPr>
          <w:rFonts w:hint="eastAsia" w:ascii="宋体" w:hAnsi="宋体" w:eastAsia="宋体" w:cs="宋体"/>
          <w:b/>
          <w:bCs/>
          <w:color w:val="auto"/>
          <w:spacing w:val="-4"/>
          <w:sz w:val="24"/>
          <w:szCs w:val="24"/>
          <w:highlight w:val="none"/>
        </w:rPr>
        <w:t>格式四 授权委托书</w:t>
      </w:r>
      <w:bookmarkEnd w:id="225"/>
    </w:p>
    <w:p w14:paraId="7EF079A3">
      <w:pPr>
        <w:spacing w:before="97" w:line="219" w:lineRule="auto"/>
        <w:ind w:left="3786"/>
        <w:rPr>
          <w:rFonts w:hint="eastAsia" w:ascii="宋体" w:hAnsi="宋体" w:eastAsia="宋体" w:cs="宋体"/>
          <w:color w:val="auto"/>
          <w:sz w:val="30"/>
          <w:szCs w:val="30"/>
          <w:highlight w:val="none"/>
        </w:rPr>
      </w:pPr>
      <w:bookmarkStart w:id="226" w:name="bookmark151"/>
      <w:bookmarkEnd w:id="226"/>
      <w:r>
        <w:rPr>
          <w:rFonts w:hint="eastAsia" w:ascii="宋体" w:hAnsi="宋体" w:eastAsia="宋体" w:cs="宋体"/>
          <w:b/>
          <w:bCs/>
          <w:color w:val="auto"/>
          <w:spacing w:val="-5"/>
          <w:sz w:val="30"/>
          <w:szCs w:val="30"/>
          <w:highlight w:val="none"/>
        </w:rPr>
        <w:t>授权委托书</w:t>
      </w:r>
    </w:p>
    <w:p w14:paraId="473B7E5C">
      <w:pPr>
        <w:pStyle w:val="5"/>
        <w:spacing w:line="250" w:lineRule="auto"/>
        <w:rPr>
          <w:rFonts w:hint="eastAsia" w:ascii="宋体" w:hAnsi="宋体" w:eastAsia="宋体" w:cs="宋体"/>
          <w:color w:val="auto"/>
          <w:highlight w:val="none"/>
        </w:rPr>
      </w:pPr>
    </w:p>
    <w:p w14:paraId="72DA4D73">
      <w:pPr>
        <w:pStyle w:val="5"/>
        <w:spacing w:line="250" w:lineRule="auto"/>
        <w:rPr>
          <w:rFonts w:hint="eastAsia" w:ascii="宋体" w:hAnsi="宋体" w:eastAsia="宋体" w:cs="宋体"/>
          <w:color w:val="auto"/>
          <w:highlight w:val="none"/>
        </w:rPr>
      </w:pPr>
    </w:p>
    <w:p w14:paraId="18BC7C34">
      <w:pPr>
        <w:pStyle w:val="5"/>
        <w:spacing w:line="251" w:lineRule="auto"/>
        <w:rPr>
          <w:rFonts w:hint="eastAsia" w:ascii="宋体" w:hAnsi="宋体" w:eastAsia="宋体" w:cs="宋体"/>
          <w:color w:val="auto"/>
          <w:highlight w:val="none"/>
        </w:rPr>
      </w:pPr>
    </w:p>
    <w:p w14:paraId="09C2E563">
      <w:pPr>
        <w:keepNext w:val="0"/>
        <w:keepLines w:val="0"/>
        <w:pageBreakBefore w:val="0"/>
        <w:widowControl/>
        <w:kinsoku w:val="0"/>
        <w:wordWrap/>
        <w:overflowPunct/>
        <w:topLinePunct w:val="0"/>
        <w:autoSpaceDE w:val="0"/>
        <w:autoSpaceDN w:val="0"/>
        <w:bidi w:val="0"/>
        <w:adjustRightInd w:val="0"/>
        <w:snapToGrid w:val="0"/>
        <w:spacing w:line="480" w:lineRule="auto"/>
        <w:ind w:left="0" w:right="0" w:firstLine="48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CE40362">
      <w:pPr>
        <w:keepNext w:val="0"/>
        <w:keepLines w:val="0"/>
        <w:pageBreakBefore w:val="0"/>
        <w:widowControl/>
        <w:kinsoku w:val="0"/>
        <w:wordWrap/>
        <w:overflowPunct/>
        <w:topLinePunct w:val="0"/>
        <w:autoSpaceDE w:val="0"/>
        <w:autoSpaceDN w:val="0"/>
        <w:bidi w:val="0"/>
        <w:adjustRightInd w:val="0"/>
        <w:snapToGrid w:val="0"/>
        <w:spacing w:line="480" w:lineRule="auto"/>
        <w:ind w:left="0" w:right="0" w:firstLine="444" w:firstLineChars="200"/>
        <w:textAlignment w:val="baseline"/>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D61A797">
      <w:pPr>
        <w:keepNext w:val="0"/>
        <w:keepLines w:val="0"/>
        <w:pageBreakBefore w:val="0"/>
        <w:widowControl/>
        <w:kinsoku w:val="0"/>
        <w:wordWrap/>
        <w:overflowPunct/>
        <w:topLinePunct w:val="0"/>
        <w:autoSpaceDE w:val="0"/>
        <w:autoSpaceDN w:val="0"/>
        <w:bidi w:val="0"/>
        <w:adjustRightInd w:val="0"/>
        <w:snapToGrid w:val="0"/>
        <w:spacing w:line="48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2A536516">
      <w:pPr>
        <w:pStyle w:val="5"/>
        <w:spacing w:line="277" w:lineRule="auto"/>
        <w:rPr>
          <w:rFonts w:hint="eastAsia" w:ascii="宋体" w:hAnsi="宋体" w:eastAsia="宋体" w:cs="宋体"/>
          <w:color w:val="auto"/>
          <w:highlight w:val="none"/>
        </w:rPr>
      </w:pPr>
    </w:p>
    <w:p w14:paraId="1CDFB82E">
      <w:pPr>
        <w:pStyle w:val="5"/>
        <w:spacing w:line="277" w:lineRule="auto"/>
        <w:rPr>
          <w:rFonts w:hint="eastAsia" w:ascii="宋体" w:hAnsi="宋体" w:eastAsia="宋体" w:cs="宋体"/>
          <w:color w:val="auto"/>
          <w:highlight w:val="none"/>
        </w:rPr>
      </w:pPr>
    </w:p>
    <w:p w14:paraId="6D45D633">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3BD962A">
      <w:pPr>
        <w:rPr>
          <w:rFonts w:hint="eastAsia"/>
        </w:rPr>
      </w:pPr>
    </w:p>
    <w:p w14:paraId="57132AE9">
      <w:pPr>
        <w:rPr>
          <w:rFonts w:hint="eastAsia"/>
        </w:rPr>
      </w:pPr>
    </w:p>
    <w:p w14:paraId="32FCF699">
      <w:pPr>
        <w:pStyle w:val="5"/>
        <w:spacing w:line="317" w:lineRule="auto"/>
        <w:jc w:val="right"/>
        <w:rPr>
          <w:rFonts w:hint="eastAsia" w:ascii="宋体" w:hAnsi="宋体" w:eastAsia="宋体" w:cs="宋体"/>
          <w:color w:val="auto"/>
          <w:highlight w:val="none"/>
        </w:rPr>
      </w:pPr>
    </w:p>
    <w:p w14:paraId="0C20E36F">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2807F6C8">
      <w:pPr>
        <w:pStyle w:val="5"/>
        <w:wordWrap w:val="0"/>
        <w:spacing w:line="317" w:lineRule="auto"/>
        <w:jc w:val="righ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p>
    <w:p w14:paraId="6B89A96E">
      <w:pPr>
        <w:rPr>
          <w:rFonts w:hint="eastAsia"/>
        </w:rPr>
      </w:pPr>
    </w:p>
    <w:p w14:paraId="52524FDC">
      <w:pPr>
        <w:pStyle w:val="5"/>
        <w:spacing w:line="317" w:lineRule="auto"/>
        <w:jc w:val="right"/>
        <w:rPr>
          <w:rFonts w:hint="eastAsia" w:ascii="宋体" w:hAnsi="宋体" w:eastAsia="宋体" w:cs="宋体"/>
          <w:color w:val="auto"/>
          <w:highlight w:val="none"/>
        </w:rPr>
      </w:pPr>
    </w:p>
    <w:p w14:paraId="414B89CB">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5"/>
        <w:spacing w:line="256" w:lineRule="auto"/>
        <w:jc w:val="right"/>
        <w:rPr>
          <w:rFonts w:hint="eastAsia" w:ascii="宋体" w:hAnsi="宋体" w:eastAsia="宋体" w:cs="宋体"/>
          <w:color w:val="auto"/>
          <w:highlight w:val="none"/>
        </w:rPr>
      </w:pPr>
    </w:p>
    <w:p w14:paraId="635562C0">
      <w:pPr>
        <w:pStyle w:val="5"/>
        <w:spacing w:line="256" w:lineRule="auto"/>
        <w:jc w:val="right"/>
        <w:rPr>
          <w:rFonts w:hint="eastAsia" w:ascii="宋体" w:hAnsi="宋体" w:eastAsia="宋体" w:cs="宋体"/>
          <w:color w:val="auto"/>
          <w:highlight w:val="none"/>
        </w:rPr>
      </w:pPr>
    </w:p>
    <w:p w14:paraId="2721881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EEA4BEB">
      <w:pPr>
        <w:rPr>
          <w:rFonts w:hint="eastAsia"/>
        </w:rPr>
      </w:pPr>
    </w:p>
    <w:p w14:paraId="5FDBA461">
      <w:pPr>
        <w:spacing w:before="69"/>
        <w:rPr>
          <w:rFonts w:hint="eastAsia" w:ascii="宋体" w:hAnsi="宋体" w:eastAsia="宋体" w:cs="宋体"/>
          <w:color w:val="auto"/>
          <w:highlight w:val="none"/>
        </w:rPr>
      </w:pPr>
    </w:p>
    <w:p w14:paraId="363508E1">
      <w:pPr>
        <w:spacing w:before="69"/>
        <w:rPr>
          <w:rFonts w:hint="eastAsia" w:ascii="宋体" w:hAnsi="宋体" w:eastAsia="宋体" w:cs="宋体"/>
          <w:color w:val="auto"/>
          <w:highlight w:val="none"/>
        </w:rPr>
      </w:pPr>
      <w:r>
        <w:rPr>
          <w:sz w:val="21"/>
        </w:rPr>
        <mc:AlternateContent>
          <mc:Choice Requires="wps">
            <w:drawing>
              <wp:anchor distT="0" distB="0" distL="114300" distR="114300" simplePos="0" relativeHeight="251661312" behindDoc="0" locked="0" layoutInCell="1" allowOverlap="1">
                <wp:simplePos x="0" y="0"/>
                <wp:positionH relativeFrom="column">
                  <wp:posOffset>1323340</wp:posOffset>
                </wp:positionH>
                <wp:positionV relativeFrom="paragraph">
                  <wp:posOffset>151130</wp:posOffset>
                </wp:positionV>
                <wp:extent cx="3647440" cy="2200275"/>
                <wp:effectExtent l="6350" t="6350" r="22860" b="22225"/>
                <wp:wrapNone/>
                <wp:docPr id="27" name="圆角矩形 27"/>
                <wp:cNvGraphicFramePr/>
                <a:graphic xmlns:a="http://schemas.openxmlformats.org/drawingml/2006/main">
                  <a:graphicData uri="http://schemas.microsoft.com/office/word/2010/wordprocessingShape">
                    <wps:wsp>
                      <wps:cNvSpPr/>
                      <wps:spPr>
                        <a:xfrm>
                          <a:off x="1423670" y="8164195"/>
                          <a:ext cx="3647440" cy="2200275"/>
                        </a:xfrm>
                        <a:prstGeom prst="round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04.2pt;margin-top:11.9pt;height:173.25pt;width:287.2pt;z-index:251661312;v-text-anchor:middle;mso-width-relative:page;mso-height-relative:page;" filled="f" stroked="t" coordsize="21600,21600" arcsize="0.166666666666667" o:gfxdata="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O0W8bLXAAAACgEAAA8AAAAAAAAA&#10;AQAgAAAAIgAAAGRycy9kb3ducmV2LnhtbFBLAQIUABQAAAAIAIdO4kB0AyorhAIAAOUEAAAOAAAA&#10;AAAAAAEAIAAAACYBAABkcnMvZTJvRG9jLnhtbFBLBQYAAAAABgAGAFkBAAAcBgAAAAA=&#10;">
                <v:fill on="f" focussize="0,0"/>
                <v:stroke weight="1pt" color="#000000 [3213]" miterlimit="8" joinstyle="miter"/>
                <v:imagedata o:title=""/>
                <o:lock v:ext="edit" aspectratio="f"/>
              </v:roundrect>
            </w:pict>
          </mc:Fallback>
        </mc:AlternateContent>
      </w:r>
    </w:p>
    <w:p w14:paraId="382D26B2">
      <w:pPr>
        <w:pStyle w:val="5"/>
        <w:rPr>
          <w:rFonts w:hint="eastAsia" w:ascii="宋体" w:hAnsi="宋体" w:eastAsia="宋体" w:cs="宋体"/>
          <w:color w:val="auto"/>
          <w:highlight w:val="none"/>
        </w:rPr>
      </w:pPr>
    </w:p>
    <w:p w14:paraId="2F0066E9">
      <w:pPr>
        <w:rPr>
          <w:rFonts w:hint="eastAsia" w:ascii="宋体" w:hAnsi="宋体" w:eastAsia="宋体" w:cs="宋体"/>
          <w:color w:val="auto"/>
          <w:highlight w:val="none"/>
        </w:rPr>
      </w:pPr>
    </w:p>
    <w:p w14:paraId="2C0125C6">
      <w:pPr>
        <w:bidi w:val="0"/>
        <w:rPr>
          <w:rFonts w:hint="eastAsia" w:ascii="Arial" w:hAnsi="Arial" w:eastAsia="Arial" w:cs="Arial"/>
          <w:snapToGrid w:val="0"/>
          <w:color w:val="000000"/>
          <w:sz w:val="21"/>
          <w:szCs w:val="21"/>
          <w:lang w:val="en-US" w:eastAsia="en-US" w:bidi="ar-SA"/>
        </w:rPr>
      </w:pPr>
    </w:p>
    <w:p w14:paraId="3C99C77A">
      <w:pPr>
        <w:bidi w:val="0"/>
        <w:rPr>
          <w:rFonts w:hint="eastAsia"/>
          <w:lang w:val="en-US" w:eastAsia="en-US"/>
        </w:rPr>
      </w:pPr>
    </w:p>
    <w:p w14:paraId="14653FEC">
      <w:pPr>
        <w:bidi w:val="0"/>
        <w:rPr>
          <w:rFonts w:hint="eastAsia"/>
          <w:lang w:val="en-US" w:eastAsia="en-US"/>
        </w:rPr>
      </w:pPr>
    </w:p>
    <w:p w14:paraId="0DCB5AE1">
      <w:pPr>
        <w:keepNext w:val="0"/>
        <w:keepLines w:val="0"/>
        <w:pageBreakBefore w:val="0"/>
        <w:widowControl/>
        <w:kinsoku w:val="0"/>
        <w:wordWrap/>
        <w:overflowPunct/>
        <w:topLinePunct w:val="0"/>
        <w:autoSpaceDE w:val="0"/>
        <w:autoSpaceDN w:val="0"/>
        <w:bidi w:val="0"/>
        <w:adjustRightInd w:val="0"/>
        <w:snapToGrid w:val="0"/>
        <w:ind w:firstLine="0" w:firstLineChars="0"/>
        <w:jc w:val="center"/>
        <w:textAlignment w:val="baseline"/>
        <w:rPr>
          <w:rStyle w:val="20"/>
          <w:rFonts w:hint="eastAsia" w:ascii="宋体" w:hAnsi="宋体" w:eastAsia="宋体" w:cs="宋体"/>
          <w:sz w:val="24"/>
          <w:szCs w:val="24"/>
        </w:rPr>
      </w:pPr>
      <w:r>
        <w:rPr>
          <w:rStyle w:val="20"/>
          <w:rFonts w:hint="eastAsia" w:ascii="宋体" w:hAnsi="宋体" w:eastAsia="宋体" w:cs="宋体"/>
          <w:sz w:val="24"/>
          <w:szCs w:val="24"/>
        </w:rPr>
        <w:t>委托代理人身份证彩色扫描件正、反面</w:t>
      </w:r>
    </w:p>
    <w:p w14:paraId="66C8C89A">
      <w:pPr>
        <w:tabs>
          <w:tab w:val="left" w:pos="1738"/>
        </w:tabs>
        <w:bidi w:val="0"/>
        <w:jc w:val="left"/>
        <w:rPr>
          <w:rFonts w:hint="eastAsia" w:eastAsia="宋体"/>
          <w:lang w:val="en-US" w:eastAsia="zh-CN"/>
        </w:rPr>
        <w:sectPr>
          <w:footerReference r:id="rId16" w:type="default"/>
          <w:pgSz w:w="11906" w:h="16839"/>
          <w:pgMar w:top="1134" w:right="1134" w:bottom="1134" w:left="1134" w:header="567" w:footer="567" w:gutter="0"/>
          <w:pgBorders>
            <w:top w:val="none" w:sz="0" w:space="0"/>
            <w:left w:val="none" w:sz="0" w:space="0"/>
            <w:bottom w:val="none" w:sz="0" w:space="0"/>
            <w:right w:val="none" w:sz="0" w:space="0"/>
          </w:pgBorders>
          <w:cols w:space="720" w:num="1"/>
        </w:sectPr>
      </w:pPr>
    </w:p>
    <w:p w14:paraId="0868334D">
      <w:pPr>
        <w:spacing w:before="78" w:line="220" w:lineRule="auto"/>
        <w:outlineLvl w:val="2"/>
        <w:rPr>
          <w:rFonts w:hint="eastAsia" w:ascii="宋体" w:hAnsi="宋体" w:eastAsia="宋体" w:cs="宋体"/>
          <w:color w:val="auto"/>
          <w:highlight w:val="none"/>
        </w:rPr>
      </w:pPr>
      <w:bookmarkStart w:id="227" w:name="_Toc30394"/>
      <w:r>
        <w:rPr>
          <w:rFonts w:hint="eastAsia" w:ascii="宋体" w:hAnsi="宋体" w:eastAsia="宋体" w:cs="宋体"/>
          <w:b/>
          <w:bCs/>
          <w:color w:val="auto"/>
          <w:spacing w:val="-4"/>
          <w:sz w:val="24"/>
          <w:szCs w:val="24"/>
          <w:highlight w:val="none"/>
        </w:rPr>
        <w:t>格式五 法定代表人身份证明</w:t>
      </w:r>
      <w:bookmarkEnd w:id="227"/>
    </w:p>
    <w:p w14:paraId="5209C7D3">
      <w:pPr>
        <w:spacing w:before="98" w:line="220" w:lineRule="auto"/>
        <w:ind w:left="3183"/>
        <w:rPr>
          <w:rFonts w:hint="eastAsia" w:ascii="宋体" w:hAnsi="宋体" w:eastAsia="宋体" w:cs="宋体"/>
          <w:color w:val="auto"/>
          <w:sz w:val="30"/>
          <w:szCs w:val="30"/>
          <w:highlight w:val="none"/>
        </w:rPr>
      </w:pPr>
      <w:bookmarkStart w:id="228" w:name="bookmark152"/>
      <w:bookmarkEnd w:id="228"/>
      <w:r>
        <w:rPr>
          <w:rFonts w:hint="eastAsia" w:ascii="宋体" w:hAnsi="宋体" w:eastAsia="宋体" w:cs="宋体"/>
          <w:b/>
          <w:bCs/>
          <w:color w:val="auto"/>
          <w:spacing w:val="-4"/>
          <w:sz w:val="30"/>
          <w:szCs w:val="30"/>
          <w:highlight w:val="none"/>
        </w:rPr>
        <w:t>法定代表人身份证明</w:t>
      </w:r>
    </w:p>
    <w:p w14:paraId="136F935F">
      <w:pPr>
        <w:pStyle w:val="5"/>
        <w:spacing w:line="250" w:lineRule="auto"/>
        <w:rPr>
          <w:rFonts w:hint="eastAsia" w:ascii="宋体" w:hAnsi="宋体" w:eastAsia="宋体" w:cs="宋体"/>
          <w:color w:val="auto"/>
          <w:highlight w:val="none"/>
        </w:rPr>
      </w:pPr>
    </w:p>
    <w:p w14:paraId="766EA4CD">
      <w:pPr>
        <w:wordWrap w:val="0"/>
        <w:adjustRightInd w:val="0"/>
        <w:snapToGrid w:val="0"/>
        <w:spacing w:line="360" w:lineRule="auto"/>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wordWrap w:val="0"/>
        <w:adjustRightInd w:val="0"/>
        <w:snapToGrid w:val="0"/>
        <w:spacing w:line="360" w:lineRule="auto"/>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wordWrap w:val="0"/>
        <w:adjustRightInd w:val="0"/>
        <w:snapToGrid w:val="0"/>
        <w:spacing w:line="360" w:lineRule="auto"/>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5"/>
        <w:spacing w:line="277" w:lineRule="auto"/>
        <w:rPr>
          <w:rFonts w:hint="eastAsia" w:ascii="宋体" w:hAnsi="宋体" w:eastAsia="宋体" w:cs="宋体"/>
          <w:color w:val="auto"/>
          <w:highlight w:val="none"/>
        </w:rPr>
      </w:pPr>
    </w:p>
    <w:p w14:paraId="6D7B4DE3">
      <w:pPr>
        <w:pStyle w:val="5"/>
        <w:spacing w:line="277" w:lineRule="auto"/>
        <w:rPr>
          <w:rFonts w:hint="eastAsia" w:ascii="宋体" w:hAnsi="宋体" w:eastAsia="宋体" w:cs="宋体"/>
          <w:color w:val="auto"/>
          <w:highlight w:val="none"/>
        </w:rPr>
      </w:pPr>
    </w:p>
    <w:p w14:paraId="2D9D6E99">
      <w:pPr>
        <w:pStyle w:val="5"/>
        <w:spacing w:line="278" w:lineRule="auto"/>
        <w:rPr>
          <w:rFonts w:hint="eastAsia" w:ascii="宋体" w:hAnsi="宋体" w:eastAsia="宋体" w:cs="宋体"/>
          <w:color w:val="auto"/>
          <w:highlight w:val="none"/>
        </w:rPr>
      </w:pPr>
    </w:p>
    <w:p w14:paraId="125D92B0">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27B6A92">
      <w:pPr>
        <w:pStyle w:val="5"/>
        <w:wordWrap w:val="0"/>
        <w:spacing w:line="317" w:lineRule="auto"/>
        <w:jc w:val="righ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p>
    <w:p w14:paraId="6F4B4B3A">
      <w:pPr>
        <w:pStyle w:val="5"/>
        <w:spacing w:line="317" w:lineRule="auto"/>
        <w:jc w:val="right"/>
        <w:rPr>
          <w:rFonts w:hint="eastAsia" w:ascii="宋体" w:hAnsi="宋体" w:eastAsia="宋体" w:cs="宋体"/>
          <w:color w:val="auto"/>
          <w:highlight w:val="none"/>
        </w:rPr>
      </w:pPr>
    </w:p>
    <w:p w14:paraId="1110A429">
      <w:pPr>
        <w:pStyle w:val="5"/>
        <w:spacing w:line="317" w:lineRule="auto"/>
        <w:jc w:val="right"/>
        <w:rPr>
          <w:rFonts w:hint="eastAsia" w:ascii="宋体" w:hAnsi="宋体" w:eastAsia="宋体" w:cs="宋体"/>
          <w:color w:val="auto"/>
          <w:highlight w:val="none"/>
        </w:rPr>
      </w:pPr>
    </w:p>
    <w:p w14:paraId="0997B4DF">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5"/>
        <w:spacing w:line="257" w:lineRule="auto"/>
        <w:jc w:val="right"/>
        <w:rPr>
          <w:rFonts w:hint="eastAsia" w:ascii="宋体" w:hAnsi="宋体" w:eastAsia="宋体" w:cs="宋体"/>
          <w:color w:val="auto"/>
          <w:highlight w:val="none"/>
        </w:rPr>
      </w:pPr>
    </w:p>
    <w:p w14:paraId="407142E8">
      <w:pPr>
        <w:pStyle w:val="5"/>
        <w:spacing w:line="257" w:lineRule="auto"/>
        <w:jc w:val="right"/>
        <w:rPr>
          <w:rFonts w:hint="eastAsia" w:ascii="宋体" w:hAnsi="宋体" w:eastAsia="宋体" w:cs="宋体"/>
          <w:color w:val="auto"/>
          <w:highlight w:val="none"/>
        </w:rPr>
      </w:pPr>
    </w:p>
    <w:p w14:paraId="0A27F30D">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BF375B2">
      <w:pPr>
        <w:pStyle w:val="5"/>
        <w:spacing w:line="254" w:lineRule="auto"/>
        <w:rPr>
          <w:rFonts w:hint="eastAsia" w:ascii="宋体" w:hAnsi="宋体" w:eastAsia="宋体" w:cs="宋体"/>
          <w:color w:val="auto"/>
          <w:highlight w:val="none"/>
        </w:rPr>
      </w:pPr>
    </w:p>
    <w:p w14:paraId="03AC5067">
      <w:pPr>
        <w:pStyle w:val="5"/>
        <w:spacing w:line="254" w:lineRule="auto"/>
        <w:rPr>
          <w:rFonts w:hint="eastAsia" w:ascii="宋体" w:hAnsi="宋体" w:eastAsia="宋体" w:cs="宋体"/>
          <w:color w:val="auto"/>
          <w:highlight w:val="none"/>
        </w:rPr>
      </w:pPr>
    </w:p>
    <w:p w14:paraId="36A90F84">
      <w:pPr>
        <w:pStyle w:val="5"/>
        <w:spacing w:line="254" w:lineRule="auto"/>
        <w:rPr>
          <w:rFonts w:hint="eastAsia" w:ascii="宋体" w:hAnsi="宋体" w:eastAsia="宋体" w:cs="宋体"/>
          <w:color w:val="auto"/>
          <w:highlight w:val="none"/>
        </w:rPr>
      </w:pPr>
    </w:p>
    <w:p w14:paraId="259164D9">
      <w:pPr>
        <w:pStyle w:val="5"/>
        <w:spacing w:line="254" w:lineRule="auto"/>
        <w:rPr>
          <w:rFonts w:hint="eastAsia" w:ascii="宋体" w:hAnsi="宋体" w:eastAsia="宋体" w:cs="宋体"/>
          <w:color w:val="auto"/>
          <w:highlight w:val="none"/>
        </w:rPr>
      </w:pPr>
    </w:p>
    <w:p w14:paraId="0C625CC7">
      <w:pPr>
        <w:pStyle w:val="5"/>
        <w:spacing w:line="255" w:lineRule="auto"/>
        <w:rPr>
          <w:rFonts w:hint="eastAsia" w:ascii="宋体" w:hAnsi="宋体" w:eastAsia="宋体" w:cs="宋体"/>
          <w:color w:val="auto"/>
          <w:highlight w:val="none"/>
        </w:rPr>
      </w:pPr>
    </w:p>
    <w:p w14:paraId="1979E48F">
      <w:pPr>
        <w:pStyle w:val="5"/>
        <w:spacing w:line="255" w:lineRule="auto"/>
        <w:rPr>
          <w:rFonts w:hint="eastAsia" w:ascii="宋体" w:hAnsi="宋体" w:eastAsia="宋体" w:cs="宋体"/>
          <w:color w:val="auto"/>
          <w:highlight w:val="none"/>
        </w:rPr>
      </w:pPr>
    </w:p>
    <w:p w14:paraId="6E23282B">
      <w:pPr>
        <w:pStyle w:val="5"/>
        <w:spacing w:before="1" w:line="2510" w:lineRule="exact"/>
        <w:ind w:firstLine="2534"/>
        <w:rPr>
          <w:rFonts w:hint="eastAsia" w:ascii="宋体" w:hAnsi="宋体" w:eastAsia="宋体" w:cs="宋体"/>
          <w:color w:val="auto"/>
          <w:highlight w:val="none"/>
        </w:rPr>
      </w:pPr>
      <w:r>
        <w:rPr>
          <w:sz w:val="21"/>
        </w:rPr>
        <mc:AlternateContent>
          <mc:Choice Requires="wps">
            <w:drawing>
              <wp:anchor distT="0" distB="0" distL="114300" distR="114300" simplePos="0" relativeHeight="251666432" behindDoc="0" locked="0" layoutInCell="1" allowOverlap="1">
                <wp:simplePos x="0" y="0"/>
                <wp:positionH relativeFrom="column">
                  <wp:posOffset>814705</wp:posOffset>
                </wp:positionH>
                <wp:positionV relativeFrom="paragraph">
                  <wp:posOffset>644525</wp:posOffset>
                </wp:positionV>
                <wp:extent cx="4028440" cy="2296160"/>
                <wp:effectExtent l="6350" t="6350" r="22860" b="21590"/>
                <wp:wrapNone/>
                <wp:docPr id="28" name="圆角矩形 28"/>
                <wp:cNvGraphicFramePr/>
                <a:graphic xmlns:a="http://schemas.openxmlformats.org/drawingml/2006/main">
                  <a:graphicData uri="http://schemas.microsoft.com/office/word/2010/wordprocessingShape">
                    <wps:wsp>
                      <wps:cNvSpPr/>
                      <wps:spPr>
                        <a:xfrm>
                          <a:off x="0" y="0"/>
                          <a:ext cx="4028440" cy="2296160"/>
                        </a:xfrm>
                        <a:prstGeom prst="roundRect">
                          <a:avLst/>
                        </a:prstGeom>
                        <a:ln>
                          <a:solidFill>
                            <a:schemeClr val="tx1"/>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64.15pt;margin-top:50.75pt;height:180.8pt;width:317.2pt;z-index:251666432;v-text-anchor:middle;mso-width-relative:page;mso-height-relative:page;" filled="f" stroked="t" coordsize="21600,21600" arcsize="0.166666666666667" o:gfxdata="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wOXEL9kAAAALAQAADwAAAAAAAAABACAAAAAiAAAA&#10;ZHJzL2Rvd25yZXYueG1sUEsBAhQAFAAAAAgAh07iQGoQqQx4AgAA2QQAAA4AAAAAAAAAAQAgAAAA&#10;KAEAAGRycy9lMm9Eb2MueG1sUEsFBgAAAAAGAAYAWQEAABIGAAAAAA==&#10;">
                <v:fill on="f" focussize="0,0"/>
                <v:stroke weight="1pt" color="#000000 [3213]" miterlimit="8" joinstyle="miter"/>
                <v:imagedata o:title=""/>
                <o:lock v:ext="edit" aspectratio="f"/>
              </v:roundrect>
            </w:pict>
          </mc:Fallback>
        </mc:AlternateContent>
      </w:r>
    </w:p>
    <w:p w14:paraId="5C1C5126">
      <w:pPr>
        <w:ind w:firstLine="2400" w:firstLineChars="1000"/>
        <w:jc w:val="both"/>
        <w:rPr>
          <w:szCs w:val="21"/>
        </w:rPr>
      </w:pPr>
      <w:r>
        <w:rPr>
          <w:rFonts w:hint="eastAsia" w:ascii="宋体" w:hAnsi="宋体" w:eastAsia="宋体" w:cs="宋体"/>
          <w:sz w:val="24"/>
          <w:szCs w:val="24"/>
        </w:rPr>
        <w:t>法定代表人身份证彩色扫描件正、反面</w:t>
      </w:r>
    </w:p>
    <w:p w14:paraId="1EC0AF71">
      <w:pPr>
        <w:spacing w:line="2510" w:lineRule="exact"/>
        <w:rPr>
          <w:rFonts w:hint="eastAsia" w:ascii="宋体" w:hAnsi="宋体" w:eastAsia="宋体" w:cs="宋体"/>
          <w:color w:val="auto"/>
          <w:highlight w:val="none"/>
        </w:rPr>
        <w:sectPr>
          <w:footerReference r:id="rId17" w:type="default"/>
          <w:pgSz w:w="11906" w:h="16839"/>
          <w:pgMar w:top="1134" w:right="1134" w:bottom="1134" w:left="1134" w:header="567" w:footer="567"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eastAsia" w:ascii="宋体" w:hAnsi="宋体" w:eastAsia="宋体" w:cs="宋体"/>
          <w:b/>
          <w:bCs/>
          <w:color w:val="auto"/>
          <w:spacing w:val="-4"/>
          <w:sz w:val="24"/>
          <w:szCs w:val="24"/>
          <w:highlight w:val="none"/>
        </w:rPr>
      </w:pPr>
      <w:bookmarkStart w:id="229" w:name="_Toc5771"/>
      <w:r>
        <w:rPr>
          <w:rFonts w:hint="eastAsia" w:ascii="宋体" w:hAnsi="宋体" w:eastAsia="宋体" w:cs="宋体"/>
          <w:b/>
          <w:bCs/>
          <w:color w:val="auto"/>
          <w:spacing w:val="-4"/>
          <w:sz w:val="24"/>
          <w:szCs w:val="24"/>
          <w:highlight w:val="none"/>
        </w:rPr>
        <w:t>格式六 联合体协议书</w:t>
      </w:r>
      <w:bookmarkEnd w:id="229"/>
    </w:p>
    <w:p w14:paraId="48BC7635">
      <w:pPr>
        <w:spacing w:before="98" w:line="219" w:lineRule="auto"/>
        <w:ind w:left="3638"/>
        <w:rPr>
          <w:rFonts w:hint="eastAsia" w:ascii="宋体" w:hAnsi="宋体" w:eastAsia="宋体" w:cs="宋体"/>
          <w:color w:val="auto"/>
          <w:sz w:val="30"/>
          <w:szCs w:val="30"/>
          <w:highlight w:val="none"/>
        </w:rPr>
      </w:pPr>
      <w:bookmarkStart w:id="230" w:name="bookmark153"/>
      <w:bookmarkEnd w:id="230"/>
      <w:r>
        <w:rPr>
          <w:rFonts w:hint="eastAsia" w:ascii="宋体" w:hAnsi="宋体" w:eastAsia="宋体" w:cs="宋体"/>
          <w:b/>
          <w:bCs/>
          <w:color w:val="auto"/>
          <w:spacing w:val="-5"/>
          <w:sz w:val="30"/>
          <w:szCs w:val="30"/>
          <w:highlight w:val="none"/>
        </w:rPr>
        <w:t>联合体协议书</w:t>
      </w:r>
    </w:p>
    <w:p w14:paraId="2AC3F97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9E617AA">
      <w:pPr>
        <w:pStyle w:val="39"/>
        <w:keepNext w:val="0"/>
        <w:keepLines w:val="0"/>
        <w:pageBreakBefore w:val="0"/>
        <w:widowControl w:val="0"/>
        <w:wordWrap w:val="0"/>
        <w:overflowPunct/>
        <w:topLinePunct w:val="0"/>
        <w:bidi w:val="0"/>
        <w:adjustRightInd w:val="0"/>
        <w:snapToGrid w:val="0"/>
        <w:spacing w:line="360" w:lineRule="auto"/>
        <w:ind w:firstLine="420" w:firstLineChars="200"/>
        <w:rPr>
          <w:rFonts w:hint="eastAsia" w:ascii="宋体" w:hAnsi="宋体" w:eastAsia="宋体" w:cs="宋体"/>
          <w:snapToGrid w:val="0"/>
          <w:color w:val="auto"/>
          <w:sz w:val="21"/>
          <w:szCs w:val="21"/>
          <w:highlight w:val="none"/>
          <w:u w:val="single"/>
        </w:rPr>
      </w:pPr>
      <w:bookmarkStart w:id="231" w:name="bookmark154"/>
      <w:bookmarkEnd w:id="231"/>
      <w:r>
        <w:rPr>
          <w:rFonts w:hint="eastAsia" w:ascii="宋体" w:hAnsi="宋体" w:eastAsia="宋体" w:cs="宋体"/>
          <w:snapToGrid w:val="0"/>
          <w:color w:val="auto"/>
          <w:sz w:val="21"/>
          <w:szCs w:val="21"/>
          <w:highlight w:val="none"/>
        </w:rPr>
        <w:t>牵头人名称：</w:t>
      </w:r>
      <w:r>
        <w:rPr>
          <w:rFonts w:hint="eastAsia" w:ascii="宋体" w:hAnsi="宋体" w:eastAsia="宋体" w:cs="宋体"/>
          <w:snapToGrid w:val="0"/>
          <w:color w:val="auto"/>
          <w:sz w:val="21"/>
          <w:szCs w:val="21"/>
          <w:highlight w:val="none"/>
          <w:u w:val="single"/>
        </w:rPr>
        <w:t xml:space="preserve">                                                  </w:t>
      </w:r>
    </w:p>
    <w:p w14:paraId="5F7BFFDA">
      <w:pPr>
        <w:pStyle w:val="39"/>
        <w:keepNext w:val="0"/>
        <w:keepLines w:val="0"/>
        <w:pageBreakBefore w:val="0"/>
        <w:widowControl w:val="0"/>
        <w:wordWrap w:val="0"/>
        <w:overflowPunct/>
        <w:topLinePunct w:val="0"/>
        <w:bidi w:val="0"/>
        <w:adjustRightInd w:val="0"/>
        <w:snapToGrid w:val="0"/>
        <w:spacing w:line="360" w:lineRule="auto"/>
        <w:ind w:firstLine="420" w:firstLineChars="200"/>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法定代表人：</w:t>
      </w:r>
      <w:r>
        <w:rPr>
          <w:rFonts w:hint="eastAsia" w:ascii="宋体" w:hAnsi="宋体" w:eastAsia="宋体" w:cs="宋体"/>
          <w:snapToGrid w:val="0"/>
          <w:color w:val="auto"/>
          <w:sz w:val="21"/>
          <w:szCs w:val="21"/>
          <w:highlight w:val="none"/>
          <w:u w:val="single"/>
        </w:rPr>
        <w:t xml:space="preserve">                                                  </w:t>
      </w:r>
    </w:p>
    <w:p w14:paraId="26AC2B9A">
      <w:pPr>
        <w:pStyle w:val="39"/>
        <w:keepNext w:val="0"/>
        <w:keepLines w:val="0"/>
        <w:pageBreakBefore w:val="0"/>
        <w:widowControl w:val="0"/>
        <w:wordWrap w:val="0"/>
        <w:overflowPunct/>
        <w:topLinePunct w:val="0"/>
        <w:bidi w:val="0"/>
        <w:adjustRightInd w:val="0"/>
        <w:snapToGrid w:val="0"/>
        <w:spacing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法定住所：</w:t>
      </w:r>
      <w:r>
        <w:rPr>
          <w:rFonts w:hint="eastAsia" w:ascii="宋体" w:hAnsi="宋体" w:eastAsia="宋体" w:cs="宋体"/>
          <w:snapToGrid w:val="0"/>
          <w:color w:val="auto"/>
          <w:sz w:val="21"/>
          <w:szCs w:val="21"/>
          <w:highlight w:val="none"/>
          <w:u w:val="single"/>
        </w:rPr>
        <w:t xml:space="preserve">                                                    </w:t>
      </w:r>
    </w:p>
    <w:p w14:paraId="05981EB2">
      <w:pPr>
        <w:rPr>
          <w:rFonts w:hint="eastAsia"/>
        </w:rPr>
      </w:pPr>
    </w:p>
    <w:p w14:paraId="0F164BC7">
      <w:pPr>
        <w:pStyle w:val="39"/>
        <w:keepNext w:val="0"/>
        <w:keepLines w:val="0"/>
        <w:pageBreakBefore w:val="0"/>
        <w:widowControl w:val="0"/>
        <w:wordWrap w:val="0"/>
        <w:overflowPunct/>
        <w:topLinePunct w:val="0"/>
        <w:bidi w:val="0"/>
        <w:adjustRightInd w:val="0"/>
        <w:snapToGrid w:val="0"/>
        <w:spacing w:line="360" w:lineRule="auto"/>
        <w:ind w:firstLine="420" w:firstLineChars="200"/>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成员二名称：</w:t>
      </w:r>
      <w:r>
        <w:rPr>
          <w:rFonts w:hint="eastAsia" w:ascii="宋体" w:hAnsi="宋体" w:eastAsia="宋体" w:cs="宋体"/>
          <w:snapToGrid w:val="0"/>
          <w:color w:val="auto"/>
          <w:sz w:val="21"/>
          <w:szCs w:val="21"/>
          <w:highlight w:val="none"/>
          <w:u w:val="single"/>
        </w:rPr>
        <w:t xml:space="preserve">                                                  </w:t>
      </w:r>
    </w:p>
    <w:p w14:paraId="2D3131BE">
      <w:pPr>
        <w:pStyle w:val="39"/>
        <w:keepNext w:val="0"/>
        <w:keepLines w:val="0"/>
        <w:pageBreakBefore w:val="0"/>
        <w:widowControl w:val="0"/>
        <w:wordWrap w:val="0"/>
        <w:overflowPunct/>
        <w:topLinePunct w:val="0"/>
        <w:bidi w:val="0"/>
        <w:adjustRightInd w:val="0"/>
        <w:snapToGrid w:val="0"/>
        <w:spacing w:line="360" w:lineRule="auto"/>
        <w:ind w:firstLine="420" w:firstLineChars="200"/>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法定代表人：</w:t>
      </w:r>
      <w:r>
        <w:rPr>
          <w:rFonts w:hint="eastAsia" w:ascii="宋体" w:hAnsi="宋体" w:eastAsia="宋体" w:cs="宋体"/>
          <w:snapToGrid w:val="0"/>
          <w:color w:val="auto"/>
          <w:sz w:val="21"/>
          <w:szCs w:val="21"/>
          <w:highlight w:val="none"/>
          <w:u w:val="single"/>
        </w:rPr>
        <w:t xml:space="preserve">                                                  </w:t>
      </w:r>
    </w:p>
    <w:p w14:paraId="554FF1D6">
      <w:pPr>
        <w:pStyle w:val="39"/>
        <w:keepNext w:val="0"/>
        <w:keepLines w:val="0"/>
        <w:pageBreakBefore w:val="0"/>
        <w:widowControl w:val="0"/>
        <w:wordWrap w:val="0"/>
        <w:overflowPunct/>
        <w:topLinePunct w:val="0"/>
        <w:bidi w:val="0"/>
        <w:adjustRightInd w:val="0"/>
        <w:snapToGrid w:val="0"/>
        <w:spacing w:line="360" w:lineRule="auto"/>
        <w:ind w:firstLine="420" w:firstLineChars="200"/>
        <w:rPr>
          <w:rFonts w:hint="eastAsia" w:ascii="宋体" w:hAnsi="宋体" w:eastAsia="宋体" w:cs="宋体"/>
          <w:snapToGrid w:val="0"/>
          <w:color w:val="auto"/>
          <w:sz w:val="21"/>
          <w:szCs w:val="21"/>
          <w:highlight w:val="none"/>
          <w:u w:val="single"/>
        </w:rPr>
      </w:pPr>
      <w:r>
        <w:rPr>
          <w:rFonts w:hint="eastAsia" w:ascii="宋体" w:hAnsi="宋体" w:eastAsia="宋体" w:cs="宋体"/>
          <w:snapToGrid w:val="0"/>
          <w:color w:val="auto"/>
          <w:sz w:val="21"/>
          <w:szCs w:val="21"/>
          <w:highlight w:val="none"/>
        </w:rPr>
        <w:t>法定住所：</w:t>
      </w:r>
      <w:r>
        <w:rPr>
          <w:rFonts w:hint="eastAsia" w:ascii="宋体" w:hAnsi="宋体" w:eastAsia="宋体" w:cs="宋体"/>
          <w:snapToGrid w:val="0"/>
          <w:color w:val="auto"/>
          <w:sz w:val="21"/>
          <w:szCs w:val="21"/>
          <w:highlight w:val="none"/>
          <w:u w:val="single"/>
        </w:rPr>
        <w:t xml:space="preserve">                                                    </w:t>
      </w:r>
    </w:p>
    <w:p w14:paraId="6237FF95">
      <w:pPr>
        <w:pStyle w:val="39"/>
        <w:keepNext w:val="0"/>
        <w:keepLines w:val="0"/>
        <w:pageBreakBefore w:val="0"/>
        <w:widowControl w:val="0"/>
        <w:wordWrap w:val="0"/>
        <w:overflowPunct/>
        <w:topLinePunct w:val="0"/>
        <w:bidi w:val="0"/>
        <w:adjustRightInd w:val="0"/>
        <w:snapToGrid w:val="0"/>
        <w:spacing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w:t>
      </w:r>
    </w:p>
    <w:p w14:paraId="483B501D">
      <w:pPr>
        <w:pStyle w:val="39"/>
        <w:keepNext w:val="0"/>
        <w:keepLines w:val="0"/>
        <w:pageBreakBefore w:val="0"/>
        <w:widowControl w:val="0"/>
        <w:wordWrap w:val="0"/>
        <w:overflowPunct/>
        <w:topLinePunct w:val="0"/>
        <w:bidi w:val="0"/>
        <w:adjustRightInd w:val="0"/>
        <w:snapToGrid w:val="0"/>
        <w:spacing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上述各成员单位经过友好协商，自愿组成联合体，共同参加</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（项目名称）（以下简称“本项目”）的施工投标并争取赢得本项目施工承包合同（以下简称合同）。现就联合体投标事宜订立如下协议：</w:t>
      </w:r>
    </w:p>
    <w:p w14:paraId="77C054A2">
      <w:pPr>
        <w:pStyle w:val="39"/>
        <w:keepNext w:val="0"/>
        <w:keepLines w:val="0"/>
        <w:pageBreakBefore w:val="0"/>
        <w:widowControl w:val="0"/>
        <w:wordWrap w:val="0"/>
        <w:overflowPunct/>
        <w:topLinePunct w:val="0"/>
        <w:bidi w:val="0"/>
        <w:adjustRightInd w:val="0"/>
        <w:snapToGrid w:val="0"/>
        <w:spacing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1．</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（某成员单位名称）为联合体牵头人。</w:t>
      </w:r>
    </w:p>
    <w:p w14:paraId="17E7CE31">
      <w:pPr>
        <w:pStyle w:val="39"/>
        <w:keepNext w:val="0"/>
        <w:keepLines w:val="0"/>
        <w:pageBreakBefore w:val="0"/>
        <w:widowControl w:val="0"/>
        <w:wordWrap w:val="0"/>
        <w:overflowPunct/>
        <w:topLinePunct w:val="0"/>
        <w:bidi w:val="0"/>
        <w:adjustRightInd w:val="0"/>
        <w:snapToGrid w:val="0"/>
        <w:spacing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3AFC3DE0">
      <w:pPr>
        <w:pStyle w:val="39"/>
        <w:keepNext w:val="0"/>
        <w:keepLines w:val="0"/>
        <w:pageBreakBefore w:val="0"/>
        <w:widowControl w:val="0"/>
        <w:wordWrap w:val="0"/>
        <w:overflowPunct/>
        <w:topLinePunct w:val="0"/>
        <w:bidi w:val="0"/>
        <w:adjustRightInd w:val="0"/>
        <w:snapToGrid w:val="0"/>
        <w:spacing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59F9A463">
      <w:pPr>
        <w:pStyle w:val="39"/>
        <w:keepNext w:val="0"/>
        <w:keepLines w:val="0"/>
        <w:pageBreakBefore w:val="0"/>
        <w:widowControl w:val="0"/>
        <w:wordWrap w:val="0"/>
        <w:overflowPunct/>
        <w:topLinePunct w:val="0"/>
        <w:bidi w:val="0"/>
        <w:adjustRightInd w:val="0"/>
        <w:snapToGrid w:val="0"/>
        <w:spacing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4．联合体各成员单位内部的职责分工如下：</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。按照本条上述分工，联合体成员单位各自所承担的合同工作量比例如下：</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w:t>
      </w:r>
    </w:p>
    <w:p w14:paraId="007EA317">
      <w:pPr>
        <w:pStyle w:val="39"/>
        <w:keepNext w:val="0"/>
        <w:keepLines w:val="0"/>
        <w:pageBreakBefore w:val="0"/>
        <w:widowControl w:val="0"/>
        <w:wordWrap w:val="0"/>
        <w:overflowPunct/>
        <w:topLinePunct w:val="0"/>
        <w:bidi w:val="0"/>
        <w:adjustRightInd w:val="0"/>
        <w:snapToGrid w:val="0"/>
        <w:spacing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5．投标工作和联合体在中标后工程实施过程中的有关费用按各自承担的工作量分摊。</w:t>
      </w:r>
    </w:p>
    <w:p w14:paraId="3AA774F0">
      <w:pPr>
        <w:pStyle w:val="39"/>
        <w:keepNext w:val="0"/>
        <w:keepLines w:val="0"/>
        <w:pageBreakBefore w:val="0"/>
        <w:widowControl w:val="0"/>
        <w:wordWrap w:val="0"/>
        <w:overflowPunct/>
        <w:topLinePunct w:val="0"/>
        <w:bidi w:val="0"/>
        <w:adjustRightInd w:val="0"/>
        <w:snapToGrid w:val="0"/>
        <w:spacing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6．联合体中标后，本联合体协议是合同的附件，对联合体各成员单位有合同约束力。</w:t>
      </w:r>
    </w:p>
    <w:p w14:paraId="257672FE">
      <w:pPr>
        <w:pStyle w:val="39"/>
        <w:keepNext w:val="0"/>
        <w:keepLines w:val="0"/>
        <w:pageBreakBefore w:val="0"/>
        <w:widowControl w:val="0"/>
        <w:wordWrap w:val="0"/>
        <w:overflowPunct/>
        <w:topLinePunct w:val="0"/>
        <w:bidi w:val="0"/>
        <w:adjustRightInd w:val="0"/>
        <w:snapToGrid w:val="0"/>
        <w:spacing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7．本协议书自签署之日起生效，联合体未中标或者中标时合同履行完毕后自动失效。</w:t>
      </w:r>
    </w:p>
    <w:p w14:paraId="4155EA6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8．本协议书一式</w:t>
      </w:r>
      <w:r>
        <w:rPr>
          <w:rFonts w:hint="eastAsia" w:ascii="宋体" w:hAnsi="宋体" w:eastAsia="宋体" w:cs="宋体"/>
          <w:snapToGrid w:val="0"/>
          <w:color w:val="auto"/>
          <w:sz w:val="21"/>
          <w:szCs w:val="21"/>
          <w:highlight w:val="none"/>
          <w:u w:val="single"/>
        </w:rPr>
        <w:t xml:space="preserve">        </w:t>
      </w:r>
      <w:r>
        <w:rPr>
          <w:rFonts w:hint="eastAsia" w:ascii="宋体" w:hAnsi="宋体" w:eastAsia="宋体" w:cs="宋体"/>
          <w:snapToGrid w:val="0"/>
          <w:color w:val="auto"/>
          <w:sz w:val="21"/>
          <w:szCs w:val="21"/>
          <w:highlight w:val="none"/>
        </w:rPr>
        <w:t>份，联合体成员和招标人各执一份。</w:t>
      </w:r>
    </w:p>
    <w:p w14:paraId="109CFDDE">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20"/>
        <w:jc w:val="righ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牵头人名称</w:t>
      </w:r>
      <w:r>
        <w:rPr>
          <w:rFonts w:hint="eastAsia" w:ascii="宋体" w:hAnsi="宋体" w:eastAsia="宋体" w:cs="宋体"/>
          <w:color w:val="auto"/>
          <w:spacing w:val="-15"/>
          <w:sz w:val="21"/>
          <w:szCs w:val="21"/>
          <w:highlight w:val="none"/>
        </w:rPr>
        <w:t>：</w:t>
      </w:r>
      <w:r>
        <w:rPr>
          <w:rFonts w:hint="eastAsia" w:ascii="宋体" w:hAnsi="宋体" w:eastAsia="宋体" w:cs="宋体"/>
          <w:snapToGrid w:val="0"/>
          <w:color w:val="auto"/>
          <w:kern w:val="0"/>
          <w:sz w:val="21"/>
          <w:szCs w:val="21"/>
          <w:highlight w:val="none"/>
          <w:u w:val="single"/>
          <w:lang w:val="en-US" w:eastAsia="zh-CN" w:bidi="ar-SA"/>
        </w:rPr>
        <w:t xml:space="preserve">               </w:t>
      </w:r>
      <w:r>
        <w:rPr>
          <w:rFonts w:hint="eastAsia" w:ascii="宋体" w:hAnsi="宋体" w:eastAsia="宋体" w:cs="宋体"/>
          <w:color w:val="auto"/>
          <w:spacing w:val="-15"/>
          <w:sz w:val="21"/>
          <w:szCs w:val="21"/>
          <w:highlight w:val="none"/>
        </w:rPr>
        <w:t>（</w:t>
      </w:r>
      <w:r>
        <w:rPr>
          <w:rFonts w:hint="eastAsia" w:ascii="宋体" w:hAnsi="宋体" w:eastAsia="宋体" w:cs="宋体"/>
          <w:color w:val="auto"/>
          <w:sz w:val="21"/>
          <w:szCs w:val="21"/>
          <w:highlight w:val="none"/>
        </w:rPr>
        <w:t>盖单位章）</w:t>
      </w:r>
    </w:p>
    <w:p w14:paraId="03AF1506">
      <w:pPr>
        <w:keepNext w:val="0"/>
        <w:keepLines w:val="0"/>
        <w:pageBreakBefore w:val="0"/>
        <w:widowControl/>
        <w:kinsoku w:val="0"/>
        <w:wordWrap/>
        <w:overflowPunct/>
        <w:topLinePunct w:val="0"/>
        <w:autoSpaceDE w:val="0"/>
        <w:autoSpaceDN w:val="0"/>
        <w:bidi w:val="0"/>
        <w:adjustRightInd w:val="0"/>
        <w:snapToGrid w:val="0"/>
        <w:spacing w:before="78" w:line="360" w:lineRule="auto"/>
        <w:jc w:val="righ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pacing w:val="-17"/>
          <w:sz w:val="21"/>
          <w:szCs w:val="21"/>
          <w:highlight w:val="none"/>
        </w:rPr>
        <w:t>：</w:t>
      </w:r>
      <w:r>
        <w:rPr>
          <w:rFonts w:hint="eastAsia" w:ascii="宋体" w:hAnsi="宋体" w:eastAsia="宋体" w:cs="宋体"/>
          <w:snapToGrid w:val="0"/>
          <w:color w:val="auto"/>
          <w:kern w:val="0"/>
          <w:sz w:val="21"/>
          <w:szCs w:val="21"/>
          <w:highlight w:val="none"/>
          <w:u w:val="single"/>
          <w:lang w:val="en-US" w:eastAsia="zh-CN" w:bidi="ar-SA"/>
        </w:rPr>
        <w:t xml:space="preserve">            </w:t>
      </w:r>
      <w:r>
        <w:rPr>
          <w:rFonts w:hint="eastAsia" w:ascii="宋体" w:hAnsi="宋体" w:eastAsia="宋体" w:cs="宋体"/>
          <w:color w:val="auto"/>
          <w:spacing w:val="-17"/>
          <w:sz w:val="21"/>
          <w:szCs w:val="21"/>
          <w:highlight w:val="none"/>
        </w:rPr>
        <w:t>（</w:t>
      </w:r>
      <w:r>
        <w:rPr>
          <w:rFonts w:hint="eastAsia" w:ascii="宋体" w:hAnsi="宋体" w:eastAsia="宋体" w:cs="宋体"/>
          <w:color w:val="auto"/>
          <w:sz w:val="21"/>
          <w:szCs w:val="21"/>
          <w:highlight w:val="none"/>
        </w:rPr>
        <w:t>签字或盖章）</w:t>
      </w:r>
    </w:p>
    <w:p w14:paraId="05AA9D56">
      <w:pPr>
        <w:keepNext w:val="0"/>
        <w:keepLines w:val="0"/>
        <w:pageBreakBefore w:val="0"/>
        <w:widowControl/>
        <w:kinsoku w:val="0"/>
        <w:wordWrap/>
        <w:overflowPunct/>
        <w:topLinePunct w:val="0"/>
        <w:autoSpaceDE w:val="0"/>
        <w:autoSpaceDN w:val="0"/>
        <w:bidi w:val="0"/>
        <w:adjustRightInd w:val="0"/>
        <w:snapToGrid w:val="0"/>
        <w:spacing w:before="78" w:line="360" w:lineRule="auto"/>
        <w:jc w:val="righ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成员二名称</w:t>
      </w:r>
      <w:r>
        <w:rPr>
          <w:rFonts w:hint="eastAsia" w:ascii="宋体" w:hAnsi="宋体" w:eastAsia="宋体" w:cs="宋体"/>
          <w:color w:val="auto"/>
          <w:spacing w:val="-17"/>
          <w:sz w:val="21"/>
          <w:szCs w:val="21"/>
          <w:highlight w:val="none"/>
        </w:rPr>
        <w:t>：</w:t>
      </w:r>
      <w:r>
        <w:rPr>
          <w:rFonts w:hint="eastAsia" w:ascii="宋体" w:hAnsi="宋体" w:eastAsia="宋体" w:cs="宋体"/>
          <w:snapToGrid w:val="0"/>
          <w:color w:val="auto"/>
          <w:kern w:val="0"/>
          <w:sz w:val="21"/>
          <w:szCs w:val="21"/>
          <w:highlight w:val="none"/>
          <w:u w:val="single"/>
          <w:lang w:val="en-US" w:eastAsia="zh-CN" w:bidi="ar-SA"/>
        </w:rPr>
        <w:t xml:space="preserve">               </w:t>
      </w:r>
      <w:r>
        <w:rPr>
          <w:rFonts w:hint="eastAsia" w:ascii="宋体" w:hAnsi="宋体" w:eastAsia="宋体" w:cs="宋体"/>
          <w:color w:val="auto"/>
          <w:spacing w:val="-17"/>
          <w:sz w:val="21"/>
          <w:szCs w:val="21"/>
          <w:highlight w:val="none"/>
        </w:rPr>
        <w:t>（</w:t>
      </w:r>
      <w:r>
        <w:rPr>
          <w:rFonts w:hint="eastAsia" w:ascii="宋体" w:hAnsi="宋体" w:eastAsia="宋体" w:cs="宋体"/>
          <w:color w:val="auto"/>
          <w:sz w:val="21"/>
          <w:szCs w:val="21"/>
          <w:highlight w:val="none"/>
        </w:rPr>
        <w:t>盖单位章）</w:t>
      </w:r>
    </w:p>
    <w:p w14:paraId="28E891F2">
      <w:pPr>
        <w:keepNext w:val="0"/>
        <w:keepLines w:val="0"/>
        <w:pageBreakBefore w:val="0"/>
        <w:widowControl/>
        <w:kinsoku w:val="0"/>
        <w:wordWrap/>
        <w:overflowPunct/>
        <w:topLinePunct w:val="0"/>
        <w:autoSpaceDE w:val="0"/>
        <w:autoSpaceDN w:val="0"/>
        <w:bidi w:val="0"/>
        <w:adjustRightInd w:val="0"/>
        <w:snapToGrid w:val="0"/>
        <w:spacing w:before="78" w:line="360" w:lineRule="auto"/>
        <w:jc w:val="righ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pacing w:val="-17"/>
          <w:sz w:val="21"/>
          <w:szCs w:val="21"/>
          <w:highlight w:val="none"/>
        </w:rPr>
        <w:t>：</w:t>
      </w:r>
      <w:r>
        <w:rPr>
          <w:rFonts w:hint="eastAsia" w:ascii="宋体" w:hAnsi="宋体" w:eastAsia="宋体" w:cs="宋体"/>
          <w:snapToGrid w:val="0"/>
          <w:color w:val="auto"/>
          <w:kern w:val="0"/>
          <w:sz w:val="21"/>
          <w:szCs w:val="21"/>
          <w:highlight w:val="none"/>
          <w:u w:val="single"/>
          <w:lang w:val="en-US" w:eastAsia="zh-CN" w:bidi="ar-SA"/>
        </w:rPr>
        <w:t xml:space="preserve">          </w:t>
      </w:r>
      <w:r>
        <w:rPr>
          <w:rFonts w:hint="eastAsia" w:ascii="宋体" w:hAnsi="宋体" w:eastAsia="宋体" w:cs="宋体"/>
          <w:color w:val="auto"/>
          <w:spacing w:val="-17"/>
          <w:sz w:val="21"/>
          <w:szCs w:val="21"/>
          <w:highlight w:val="none"/>
        </w:rPr>
        <w:t>（</w:t>
      </w:r>
      <w:r>
        <w:rPr>
          <w:rFonts w:hint="eastAsia" w:ascii="宋体" w:hAnsi="宋体" w:eastAsia="宋体" w:cs="宋体"/>
          <w:color w:val="auto"/>
          <w:sz w:val="21"/>
          <w:szCs w:val="21"/>
          <w:highlight w:val="none"/>
        </w:rPr>
        <w:t>签字或盖章）</w:t>
      </w:r>
    </w:p>
    <w:p w14:paraId="6B70E035">
      <w:pPr>
        <w:spacing w:before="78" w:line="360" w:lineRule="auto"/>
        <w:ind w:left="6730"/>
        <w:jc w:val="righ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月</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日</w:t>
      </w:r>
    </w:p>
    <w:p w14:paraId="601F5F4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1"/>
          <w:szCs w:val="21"/>
          <w:highlight w:val="none"/>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说明：《联合体协议书》</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9"/>
          <w:sz w:val="21"/>
          <w:szCs w:val="21"/>
          <w:highlight w:val="none"/>
        </w:rPr>
        <w:t>由委托代理人签字或盖章的，</w:t>
      </w:r>
      <w:r>
        <w:rPr>
          <w:rFonts w:hint="eastAsia" w:ascii="宋体" w:hAnsi="宋体" w:eastAsia="宋体" w:cs="宋体"/>
          <w:color w:val="auto"/>
          <w:spacing w:val="8"/>
          <w:sz w:val="21"/>
          <w:szCs w:val="21"/>
          <w:highlight w:val="none"/>
        </w:rPr>
        <w:t>应附法定代表人签字或盖章的授权委托</w:t>
      </w:r>
      <w:r>
        <w:rPr>
          <w:rFonts w:hint="eastAsia" w:ascii="宋体" w:hAnsi="宋体" w:eastAsia="宋体" w:cs="宋体"/>
          <w:color w:val="auto"/>
          <w:spacing w:val="-2"/>
          <w:sz w:val="21"/>
          <w:szCs w:val="21"/>
          <w:highlight w:val="none"/>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8" w:type="default"/>
          <w:pgSz w:w="11906" w:h="16839"/>
          <w:pgMar w:top="1134" w:right="1134" w:bottom="1134" w:left="1134" w:header="567" w:footer="567"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32" w:name="_Toc17838"/>
      <w:r>
        <w:rPr>
          <w:rFonts w:hint="eastAsia" w:ascii="宋体" w:hAnsi="宋体" w:eastAsia="宋体" w:cs="宋体"/>
          <w:b/>
          <w:bCs/>
          <w:color w:val="auto"/>
          <w:spacing w:val="-4"/>
          <w:sz w:val="24"/>
          <w:szCs w:val="24"/>
          <w:highlight w:val="none"/>
        </w:rPr>
        <w:t>格式七 投标人基本情况表</w:t>
      </w:r>
      <w:bookmarkEnd w:id="232"/>
    </w:p>
    <w:p w14:paraId="365D949B">
      <w:pPr>
        <w:keepNext w:val="0"/>
        <w:keepLines w:val="0"/>
        <w:pageBreakBefore w:val="0"/>
        <w:widowControl/>
        <w:kinsoku w:val="0"/>
        <w:wordWrap/>
        <w:overflowPunct/>
        <w:topLinePunct w:val="0"/>
        <w:autoSpaceDE w:val="0"/>
        <w:autoSpaceDN w:val="0"/>
        <w:bidi w:val="0"/>
        <w:adjustRightInd w:val="0"/>
        <w:snapToGrid w:val="0"/>
        <w:spacing w:line="219" w:lineRule="auto"/>
        <w:ind w:left="0"/>
        <w:jc w:val="center"/>
        <w:textAlignment w:val="baseline"/>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pacing w:line="239" w:lineRule="exact"/>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7"/>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997" w:type="dxa"/>
            <w:vAlign w:val="center"/>
          </w:tcPr>
          <w:p w14:paraId="07127D66">
            <w:pPr>
              <w:keepNext w:val="0"/>
              <w:keepLines w:val="0"/>
              <w:pageBreakBefore w:val="0"/>
              <w:widowControl/>
              <w:kinsoku w:val="0"/>
              <w:wordWrap/>
              <w:overflowPunct/>
              <w:topLinePunct w:val="0"/>
              <w:autoSpaceDE w:val="0"/>
              <w:autoSpaceDN w:val="0"/>
              <w:bidi w:val="0"/>
              <w:adjustRightInd w:val="0"/>
              <w:snapToGrid w:val="0"/>
              <w:spacing w:line="229"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1"/>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jc w:val="center"/>
        </w:trPr>
        <w:tc>
          <w:tcPr>
            <w:tcW w:w="1997" w:type="dxa"/>
            <w:vAlign w:val="top"/>
          </w:tcPr>
          <w:p w14:paraId="19EABCF3">
            <w:pPr>
              <w:keepNext w:val="0"/>
              <w:keepLines w:val="0"/>
              <w:pageBreakBefore w:val="0"/>
              <w:widowControl/>
              <w:kinsoku w:val="0"/>
              <w:wordWrap/>
              <w:overflowPunct/>
              <w:topLinePunct w:val="0"/>
              <w:autoSpaceDE w:val="0"/>
              <w:autoSpaceDN w:val="0"/>
              <w:bidi w:val="0"/>
              <w:adjustRightInd w:val="0"/>
              <w:snapToGrid w:val="0"/>
              <w:spacing w:line="230"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1"/>
              <w:rPr>
                <w:rFonts w:hint="eastAsia" w:ascii="宋体" w:hAnsi="宋体" w:eastAsia="宋体" w:cs="宋体"/>
                <w:color w:val="auto"/>
                <w:sz w:val="24"/>
                <w:szCs w:val="24"/>
                <w:highlight w:val="none"/>
              </w:rPr>
            </w:pPr>
          </w:p>
        </w:tc>
        <w:tc>
          <w:tcPr>
            <w:tcW w:w="1354" w:type="dxa"/>
            <w:gridSpan w:val="2"/>
            <w:vAlign w:val="top"/>
          </w:tcPr>
          <w:p w14:paraId="031EC2C9">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1"/>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1997" w:type="dxa"/>
            <w:vMerge w:val="restart"/>
            <w:tcBorders>
              <w:bottom w:val="nil"/>
            </w:tcBorders>
            <w:vAlign w:val="top"/>
          </w:tcPr>
          <w:p w14:paraId="15650E43">
            <w:pPr>
              <w:pStyle w:val="21"/>
              <w:keepNext w:val="0"/>
              <w:keepLines w:val="0"/>
              <w:pageBreakBefore w:val="0"/>
              <w:widowControl/>
              <w:kinsoku w:val="0"/>
              <w:wordWrap/>
              <w:overflowPunct/>
              <w:topLinePunct w:val="0"/>
              <w:autoSpaceDE w:val="0"/>
              <w:autoSpaceDN w:val="0"/>
              <w:bidi w:val="0"/>
              <w:adjustRightInd w:val="0"/>
              <w:snapToGrid w:val="0"/>
              <w:spacing w:line="332" w:lineRule="auto"/>
              <w:ind w:left="0"/>
              <w:jc w:val="center"/>
              <w:textAlignment w:val="baseline"/>
              <w:rPr>
                <w:rFonts w:hint="eastAsia" w:ascii="宋体" w:hAnsi="宋体" w:eastAsia="宋体" w:cs="宋体"/>
                <w:color w:val="auto"/>
                <w:sz w:val="24"/>
                <w:szCs w:val="24"/>
                <w:highlight w:val="none"/>
              </w:rPr>
            </w:pPr>
          </w:p>
          <w:p w14:paraId="3917AF4F">
            <w:pPr>
              <w:keepNext w:val="0"/>
              <w:keepLines w:val="0"/>
              <w:pageBreakBefore w:val="0"/>
              <w:widowControl/>
              <w:kinsoku w:val="0"/>
              <w:wordWrap/>
              <w:overflowPunct/>
              <w:topLinePunct w:val="0"/>
              <w:autoSpaceDE w:val="0"/>
              <w:autoSpaceDN w:val="0"/>
              <w:bidi w:val="0"/>
              <w:adjustRightInd w:val="0"/>
              <w:snapToGrid w:val="0"/>
              <w:spacing w:line="230"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74C76AE1">
            <w:pPr>
              <w:pStyle w:val="21"/>
              <w:rPr>
                <w:rFonts w:hint="eastAsia" w:ascii="宋体" w:hAnsi="宋体" w:eastAsia="宋体" w:cs="宋体"/>
                <w:color w:val="auto"/>
                <w:sz w:val="24"/>
                <w:szCs w:val="24"/>
                <w:highlight w:val="none"/>
              </w:rPr>
            </w:pPr>
          </w:p>
        </w:tc>
        <w:tc>
          <w:tcPr>
            <w:tcW w:w="1354" w:type="dxa"/>
            <w:gridSpan w:val="2"/>
            <w:vAlign w:val="top"/>
          </w:tcPr>
          <w:p w14:paraId="65D93497">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275175F8">
            <w:pPr>
              <w:pStyle w:val="21"/>
              <w:rPr>
                <w:rFonts w:hint="eastAsia" w:ascii="宋体" w:hAnsi="宋体" w:eastAsia="宋体" w:cs="宋体"/>
                <w:color w:val="auto"/>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jc w:val="center"/>
        </w:trPr>
        <w:tc>
          <w:tcPr>
            <w:tcW w:w="1997" w:type="dxa"/>
            <w:vMerge w:val="continue"/>
            <w:tcBorders>
              <w:top w:val="nil"/>
            </w:tcBorders>
            <w:vAlign w:val="top"/>
          </w:tcPr>
          <w:p w14:paraId="173CE181">
            <w:pPr>
              <w:pStyle w:val="21"/>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eastAsia" w:ascii="宋体" w:hAnsi="宋体" w:eastAsia="宋体" w:cs="宋体"/>
                <w:color w:val="auto"/>
                <w:sz w:val="24"/>
                <w:szCs w:val="24"/>
                <w:highlight w:val="none"/>
              </w:rPr>
            </w:pPr>
          </w:p>
        </w:tc>
        <w:tc>
          <w:tcPr>
            <w:tcW w:w="975" w:type="dxa"/>
            <w:vAlign w:val="top"/>
          </w:tcPr>
          <w:p w14:paraId="42FC9B75">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7E63A544">
            <w:pPr>
              <w:pStyle w:val="21"/>
              <w:rPr>
                <w:rFonts w:hint="eastAsia" w:ascii="宋体" w:hAnsi="宋体" w:eastAsia="宋体" w:cs="宋体"/>
                <w:color w:val="auto"/>
                <w:sz w:val="24"/>
                <w:szCs w:val="24"/>
                <w:highlight w:val="none"/>
              </w:rPr>
            </w:pPr>
          </w:p>
        </w:tc>
        <w:tc>
          <w:tcPr>
            <w:tcW w:w="1354" w:type="dxa"/>
            <w:gridSpan w:val="2"/>
            <w:vAlign w:val="top"/>
          </w:tcPr>
          <w:p w14:paraId="6612B606">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F4345F5">
            <w:pPr>
              <w:pStyle w:val="21"/>
              <w:rPr>
                <w:rFonts w:hint="eastAsia" w:ascii="宋体" w:hAnsi="宋体" w:eastAsia="宋体" w:cs="宋体"/>
                <w:color w:val="auto"/>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1997" w:type="dxa"/>
            <w:vAlign w:val="top"/>
          </w:tcPr>
          <w:p w14:paraId="45F28E6B">
            <w:pPr>
              <w:keepNext w:val="0"/>
              <w:keepLines w:val="0"/>
              <w:pageBreakBefore w:val="0"/>
              <w:widowControl/>
              <w:kinsoku w:val="0"/>
              <w:wordWrap/>
              <w:overflowPunct/>
              <w:topLinePunct w:val="0"/>
              <w:autoSpaceDE w:val="0"/>
              <w:autoSpaceDN w:val="0"/>
              <w:bidi w:val="0"/>
              <w:adjustRightInd w:val="0"/>
              <w:snapToGrid w:val="0"/>
              <w:spacing w:line="229"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E0E32B6">
            <w:pPr>
              <w:pStyle w:val="21"/>
              <w:rPr>
                <w:rFonts w:hint="eastAsia" w:ascii="宋体" w:hAnsi="宋体" w:eastAsia="宋体" w:cs="宋体"/>
                <w:color w:val="auto"/>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997" w:type="dxa"/>
            <w:vAlign w:val="top"/>
          </w:tcPr>
          <w:p w14:paraId="183ED7E1">
            <w:pPr>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091073F5">
            <w:pPr>
              <w:pStyle w:val="21"/>
              <w:rPr>
                <w:rFonts w:hint="eastAsia" w:ascii="宋体" w:hAnsi="宋体" w:eastAsia="宋体" w:cs="宋体"/>
                <w:color w:val="auto"/>
                <w:sz w:val="24"/>
                <w:szCs w:val="24"/>
                <w:highlight w:val="none"/>
              </w:rPr>
            </w:pPr>
          </w:p>
        </w:tc>
        <w:tc>
          <w:tcPr>
            <w:tcW w:w="1183" w:type="dxa"/>
            <w:gridSpan w:val="2"/>
            <w:vAlign w:val="top"/>
          </w:tcPr>
          <w:p w14:paraId="4A11ACAE">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pStyle w:val="21"/>
              <w:rPr>
                <w:rFonts w:hint="eastAsia" w:ascii="宋体" w:hAnsi="宋体" w:eastAsia="宋体" w:cs="宋体"/>
                <w:color w:val="auto"/>
                <w:sz w:val="24"/>
                <w:szCs w:val="24"/>
                <w:highlight w:val="none"/>
              </w:rPr>
            </w:pPr>
          </w:p>
        </w:tc>
        <w:tc>
          <w:tcPr>
            <w:tcW w:w="770" w:type="dxa"/>
            <w:vAlign w:val="top"/>
          </w:tcPr>
          <w:p w14:paraId="5C8E96FC">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6AD0C2BC">
            <w:pPr>
              <w:pStyle w:val="21"/>
              <w:rPr>
                <w:rFonts w:hint="eastAsia" w:ascii="宋体" w:hAnsi="宋体" w:eastAsia="宋体" w:cs="宋体"/>
                <w:color w:val="auto"/>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997" w:type="dxa"/>
            <w:vAlign w:val="top"/>
          </w:tcPr>
          <w:p w14:paraId="5ADD1B28">
            <w:pPr>
              <w:keepNext w:val="0"/>
              <w:keepLines w:val="0"/>
              <w:pageBreakBefore w:val="0"/>
              <w:widowControl/>
              <w:kinsoku w:val="0"/>
              <w:wordWrap/>
              <w:overflowPunct/>
              <w:topLinePunct w:val="0"/>
              <w:autoSpaceDE w:val="0"/>
              <w:autoSpaceDN w:val="0"/>
              <w:bidi w:val="0"/>
              <w:adjustRightInd w:val="0"/>
              <w:snapToGrid w:val="0"/>
              <w:spacing w:line="230"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4BAD1642">
            <w:pPr>
              <w:pStyle w:val="21"/>
              <w:rPr>
                <w:rFonts w:hint="eastAsia" w:ascii="宋体" w:hAnsi="宋体" w:eastAsia="宋体" w:cs="宋体"/>
                <w:color w:val="auto"/>
                <w:sz w:val="24"/>
                <w:szCs w:val="24"/>
                <w:highlight w:val="none"/>
              </w:rPr>
            </w:pPr>
          </w:p>
        </w:tc>
        <w:tc>
          <w:tcPr>
            <w:tcW w:w="4827" w:type="dxa"/>
            <w:gridSpan w:val="6"/>
            <w:vAlign w:val="top"/>
          </w:tcPr>
          <w:p w14:paraId="30D24B75">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jc w:val="center"/>
        </w:trPr>
        <w:tc>
          <w:tcPr>
            <w:tcW w:w="1997" w:type="dxa"/>
            <w:vAlign w:val="top"/>
          </w:tcPr>
          <w:p w14:paraId="754966A2">
            <w:pPr>
              <w:keepNext w:val="0"/>
              <w:keepLines w:val="0"/>
              <w:pageBreakBefore w:val="0"/>
              <w:widowControl/>
              <w:kinsoku w:val="0"/>
              <w:wordWrap/>
              <w:overflowPunct/>
              <w:topLinePunct w:val="0"/>
              <w:autoSpaceDE w:val="0"/>
              <w:autoSpaceDN w:val="0"/>
              <w:bidi w:val="0"/>
              <w:adjustRightInd w:val="0"/>
              <w:snapToGrid w:val="0"/>
              <w:spacing w:line="262" w:lineRule="auto"/>
              <w:ind w:left="0" w:right="2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82B0B60">
            <w:pPr>
              <w:pStyle w:val="21"/>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7A69FEFC">
            <w:pPr>
              <w:pStyle w:val="21"/>
              <w:spacing w:line="254" w:lineRule="auto"/>
              <w:rPr>
                <w:rFonts w:hint="eastAsia" w:ascii="宋体" w:hAnsi="宋体" w:eastAsia="宋体" w:cs="宋体"/>
                <w:color w:val="auto"/>
                <w:sz w:val="24"/>
                <w:szCs w:val="24"/>
                <w:highlight w:val="none"/>
              </w:rPr>
            </w:pPr>
          </w:p>
          <w:p w14:paraId="02C0E7FA">
            <w:pPr>
              <w:pStyle w:val="21"/>
              <w:spacing w:line="254" w:lineRule="auto"/>
              <w:rPr>
                <w:rFonts w:hint="eastAsia" w:ascii="宋体" w:hAnsi="宋体" w:eastAsia="宋体" w:cs="宋体"/>
                <w:color w:val="auto"/>
                <w:sz w:val="24"/>
                <w:szCs w:val="24"/>
                <w:highlight w:val="none"/>
              </w:rPr>
            </w:pPr>
          </w:p>
          <w:p w14:paraId="1FBAEACC">
            <w:pPr>
              <w:pStyle w:val="21"/>
              <w:spacing w:line="254" w:lineRule="auto"/>
              <w:rPr>
                <w:rFonts w:hint="eastAsia" w:ascii="宋体" w:hAnsi="宋体" w:eastAsia="宋体" w:cs="宋体"/>
                <w:color w:val="auto"/>
                <w:sz w:val="24"/>
                <w:szCs w:val="24"/>
                <w:highlight w:val="none"/>
              </w:rPr>
            </w:pPr>
          </w:p>
          <w:p w14:paraId="64C94A08">
            <w:pPr>
              <w:pStyle w:val="21"/>
              <w:spacing w:line="254" w:lineRule="auto"/>
              <w:rPr>
                <w:rFonts w:hint="eastAsia" w:ascii="宋体" w:hAnsi="宋体" w:eastAsia="宋体" w:cs="宋体"/>
                <w:color w:val="auto"/>
                <w:sz w:val="24"/>
                <w:szCs w:val="24"/>
                <w:highlight w:val="none"/>
              </w:rPr>
            </w:pPr>
          </w:p>
          <w:p w14:paraId="69BBE9A7">
            <w:pPr>
              <w:pStyle w:val="21"/>
              <w:spacing w:line="255" w:lineRule="auto"/>
              <w:rPr>
                <w:rFonts w:hint="eastAsia" w:ascii="宋体" w:hAnsi="宋体" w:eastAsia="宋体" w:cs="宋体"/>
                <w:color w:val="auto"/>
                <w:sz w:val="24"/>
                <w:szCs w:val="24"/>
                <w:highlight w:val="none"/>
              </w:rPr>
            </w:pPr>
          </w:p>
          <w:p w14:paraId="7C094C19">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010F104F">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67C64A1C">
            <w:pPr>
              <w:pStyle w:val="21"/>
              <w:rPr>
                <w:rFonts w:hint="eastAsia" w:ascii="宋体" w:hAnsi="宋体" w:eastAsia="宋体" w:cs="宋体"/>
                <w:color w:val="auto"/>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jc w:val="center"/>
        </w:trPr>
        <w:tc>
          <w:tcPr>
            <w:tcW w:w="1997" w:type="dxa"/>
            <w:vAlign w:val="top"/>
          </w:tcPr>
          <w:p w14:paraId="6F14B77C">
            <w:pPr>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431F67B">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425F8241">
            <w:pPr>
              <w:pStyle w:val="21"/>
              <w:rPr>
                <w:rFonts w:hint="eastAsia" w:ascii="宋体" w:hAnsi="宋体" w:eastAsia="宋体" w:cs="宋体"/>
                <w:color w:val="auto"/>
                <w:sz w:val="24"/>
                <w:szCs w:val="24"/>
                <w:highlight w:val="none"/>
              </w:rPr>
            </w:pPr>
          </w:p>
        </w:tc>
        <w:tc>
          <w:tcPr>
            <w:tcW w:w="2096" w:type="dxa"/>
            <w:gridSpan w:val="3"/>
            <w:vAlign w:val="top"/>
          </w:tcPr>
          <w:p w14:paraId="52E9EE82">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pStyle w:val="21"/>
              <w:rPr>
                <w:rFonts w:hint="eastAsia" w:ascii="宋体" w:hAnsi="宋体" w:eastAsia="宋体" w:cs="宋体"/>
                <w:color w:val="auto"/>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jc w:val="center"/>
        </w:trPr>
        <w:tc>
          <w:tcPr>
            <w:tcW w:w="1997" w:type="dxa"/>
            <w:vAlign w:val="top"/>
          </w:tcPr>
          <w:p w14:paraId="2B0CF379">
            <w:pPr>
              <w:keepNext w:val="0"/>
              <w:keepLines w:val="0"/>
              <w:pageBreakBefore w:val="0"/>
              <w:widowControl/>
              <w:kinsoku w:val="0"/>
              <w:wordWrap/>
              <w:overflowPunct/>
              <w:topLinePunct w:val="0"/>
              <w:autoSpaceDE w:val="0"/>
              <w:autoSpaceDN w:val="0"/>
              <w:bidi w:val="0"/>
              <w:adjustRightInd w:val="0"/>
              <w:snapToGrid w:val="0"/>
              <w:spacing w:line="230"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C4A9705">
            <w:pPr>
              <w:pStyle w:val="21"/>
              <w:rPr>
                <w:rFonts w:hint="eastAsia" w:ascii="宋体" w:hAnsi="宋体" w:eastAsia="宋体" w:cs="宋体"/>
                <w:color w:val="auto"/>
                <w:sz w:val="24"/>
                <w:szCs w:val="24"/>
                <w:highlight w:val="none"/>
              </w:rPr>
            </w:pPr>
          </w:p>
        </w:tc>
        <w:tc>
          <w:tcPr>
            <w:tcW w:w="2096" w:type="dxa"/>
            <w:gridSpan w:val="3"/>
            <w:vAlign w:val="top"/>
          </w:tcPr>
          <w:p w14:paraId="4B26D2D4">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262A2EE0">
            <w:pPr>
              <w:pStyle w:val="21"/>
              <w:rPr>
                <w:rFonts w:hint="eastAsia" w:ascii="宋体" w:hAnsi="宋体" w:eastAsia="宋体" w:cs="宋体"/>
                <w:color w:val="auto"/>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jc w:val="center"/>
        </w:trPr>
        <w:tc>
          <w:tcPr>
            <w:tcW w:w="1997" w:type="dxa"/>
            <w:vAlign w:val="top"/>
          </w:tcPr>
          <w:p w14:paraId="2688AE8B">
            <w:pPr>
              <w:keepNext w:val="0"/>
              <w:keepLines w:val="0"/>
              <w:pageBreakBefore w:val="0"/>
              <w:widowControl/>
              <w:kinsoku w:val="0"/>
              <w:wordWrap/>
              <w:overflowPunct/>
              <w:topLinePunct w:val="0"/>
              <w:autoSpaceDE w:val="0"/>
              <w:autoSpaceDN w:val="0"/>
              <w:bidi w:val="0"/>
              <w:adjustRightInd w:val="0"/>
              <w:snapToGrid w:val="0"/>
              <w:spacing w:line="241" w:lineRule="auto"/>
              <w:ind w:left="0" w:right="325"/>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基本账户开户银行</w:t>
            </w:r>
          </w:p>
        </w:tc>
        <w:tc>
          <w:tcPr>
            <w:tcW w:w="2812" w:type="dxa"/>
            <w:gridSpan w:val="2"/>
            <w:vAlign w:val="top"/>
          </w:tcPr>
          <w:p w14:paraId="45553C4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56532354">
            <w:pPr>
              <w:pStyle w:val="21"/>
              <w:rPr>
                <w:rFonts w:hint="eastAsia" w:ascii="宋体" w:hAnsi="宋体" w:eastAsia="宋体" w:cs="宋体"/>
                <w:color w:val="auto"/>
                <w:sz w:val="24"/>
                <w:szCs w:val="24"/>
                <w:highlight w:val="none"/>
              </w:rPr>
            </w:pPr>
          </w:p>
        </w:tc>
        <w:tc>
          <w:tcPr>
            <w:tcW w:w="2096" w:type="dxa"/>
            <w:gridSpan w:val="3"/>
            <w:vAlign w:val="top"/>
          </w:tcPr>
          <w:p w14:paraId="5A3DA22F">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184D3D43">
            <w:pPr>
              <w:pStyle w:val="21"/>
              <w:rPr>
                <w:rFonts w:hint="eastAsia" w:ascii="宋体" w:hAnsi="宋体" w:eastAsia="宋体" w:cs="宋体"/>
                <w:color w:val="auto"/>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jc w:val="center"/>
        </w:trPr>
        <w:tc>
          <w:tcPr>
            <w:tcW w:w="1997" w:type="dxa"/>
            <w:vAlign w:val="top"/>
          </w:tcPr>
          <w:p w14:paraId="301FBDE6">
            <w:pPr>
              <w:keepNext w:val="0"/>
              <w:keepLines w:val="0"/>
              <w:pageBreakBefore w:val="0"/>
              <w:widowControl/>
              <w:kinsoku w:val="0"/>
              <w:wordWrap/>
              <w:overflowPunct/>
              <w:topLinePunct w:val="0"/>
              <w:autoSpaceDE w:val="0"/>
              <w:autoSpaceDN w:val="0"/>
              <w:bidi w:val="0"/>
              <w:adjustRightInd w:val="0"/>
              <w:snapToGrid w:val="0"/>
              <w:spacing w:line="259" w:lineRule="auto"/>
              <w:ind w:left="0" w:right="325"/>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基本账户银行账号</w:t>
            </w:r>
          </w:p>
        </w:tc>
        <w:tc>
          <w:tcPr>
            <w:tcW w:w="2812" w:type="dxa"/>
            <w:gridSpan w:val="2"/>
            <w:vAlign w:val="top"/>
          </w:tcPr>
          <w:p w14:paraId="5B1DD5F7">
            <w:pPr>
              <w:pStyle w:val="21"/>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03520BE5">
            <w:pPr>
              <w:pStyle w:val="21"/>
              <w:rPr>
                <w:rFonts w:hint="eastAsia" w:ascii="宋体" w:hAnsi="宋体" w:eastAsia="宋体" w:cs="宋体"/>
                <w:color w:val="auto"/>
                <w:sz w:val="24"/>
                <w:szCs w:val="24"/>
                <w:highlight w:val="none"/>
              </w:rPr>
            </w:pPr>
          </w:p>
        </w:tc>
        <w:tc>
          <w:tcPr>
            <w:tcW w:w="2096" w:type="dxa"/>
            <w:gridSpan w:val="3"/>
            <w:vAlign w:val="top"/>
          </w:tcPr>
          <w:p w14:paraId="5C48DB8B">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773ECE69">
            <w:pPr>
              <w:pStyle w:val="21"/>
              <w:rPr>
                <w:rFonts w:hint="eastAsia" w:ascii="宋体" w:hAnsi="宋体" w:eastAsia="宋体" w:cs="宋体"/>
                <w:color w:val="auto"/>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1997" w:type="dxa"/>
            <w:vAlign w:val="top"/>
          </w:tcPr>
          <w:p w14:paraId="1C145867">
            <w:pPr>
              <w:keepNext w:val="0"/>
              <w:keepLines w:val="0"/>
              <w:pageBreakBefore w:val="0"/>
              <w:widowControl/>
              <w:kinsoku w:val="0"/>
              <w:wordWrap/>
              <w:overflowPunct/>
              <w:topLinePunct w:val="0"/>
              <w:autoSpaceDE w:val="0"/>
              <w:autoSpaceDN w:val="0"/>
              <w:bidi w:val="0"/>
              <w:adjustRightInd w:val="0"/>
              <w:snapToGrid w:val="0"/>
              <w:spacing w:line="229"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1"/>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jc w:val="center"/>
        </w:trPr>
        <w:tc>
          <w:tcPr>
            <w:tcW w:w="1997" w:type="dxa"/>
            <w:vAlign w:val="top"/>
          </w:tcPr>
          <w:p w14:paraId="3B43F663">
            <w:pPr>
              <w:pStyle w:val="21"/>
              <w:keepNext w:val="0"/>
              <w:keepLines w:val="0"/>
              <w:pageBreakBefore w:val="0"/>
              <w:widowControl/>
              <w:kinsoku w:val="0"/>
              <w:wordWrap/>
              <w:overflowPunct/>
              <w:topLinePunct w:val="0"/>
              <w:autoSpaceDE w:val="0"/>
              <w:autoSpaceDN w:val="0"/>
              <w:bidi w:val="0"/>
              <w:adjustRightInd w:val="0"/>
              <w:snapToGrid w:val="0"/>
              <w:spacing w:line="295" w:lineRule="auto"/>
              <w:ind w:left="0"/>
              <w:jc w:val="center"/>
              <w:textAlignment w:val="baseline"/>
              <w:rPr>
                <w:rFonts w:hint="eastAsia" w:ascii="宋体" w:hAnsi="宋体" w:eastAsia="宋体" w:cs="宋体"/>
                <w:color w:val="auto"/>
                <w:sz w:val="24"/>
                <w:szCs w:val="24"/>
                <w:highlight w:val="none"/>
              </w:rPr>
            </w:pPr>
          </w:p>
          <w:p w14:paraId="598814F5">
            <w:pPr>
              <w:pStyle w:val="21"/>
              <w:keepNext w:val="0"/>
              <w:keepLines w:val="0"/>
              <w:pageBreakBefore w:val="0"/>
              <w:widowControl/>
              <w:kinsoku w:val="0"/>
              <w:wordWrap/>
              <w:overflowPunct/>
              <w:topLinePunct w:val="0"/>
              <w:autoSpaceDE w:val="0"/>
              <w:autoSpaceDN w:val="0"/>
              <w:bidi w:val="0"/>
              <w:adjustRightInd w:val="0"/>
              <w:snapToGrid w:val="0"/>
              <w:spacing w:line="296" w:lineRule="auto"/>
              <w:ind w:left="0"/>
              <w:jc w:val="center"/>
              <w:textAlignment w:val="baseline"/>
              <w:rPr>
                <w:rFonts w:hint="eastAsia" w:ascii="宋体" w:hAnsi="宋体" w:eastAsia="宋体" w:cs="宋体"/>
                <w:color w:val="auto"/>
                <w:sz w:val="24"/>
                <w:szCs w:val="24"/>
                <w:highlight w:val="none"/>
              </w:rPr>
            </w:pPr>
          </w:p>
          <w:p w14:paraId="52A98BFF">
            <w:pPr>
              <w:keepNext w:val="0"/>
              <w:keepLines w:val="0"/>
              <w:pageBreakBefore w:val="0"/>
              <w:widowControl/>
              <w:kinsoku w:val="0"/>
              <w:wordWrap/>
              <w:overflowPunct/>
              <w:topLinePunct w:val="0"/>
              <w:autoSpaceDE w:val="0"/>
              <w:autoSpaceDN w:val="0"/>
              <w:bidi w:val="0"/>
              <w:adjustRightInd w:val="0"/>
              <w:snapToGrid w:val="0"/>
              <w:spacing w:line="229"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jc w:val="center"/>
        </w:trPr>
        <w:tc>
          <w:tcPr>
            <w:tcW w:w="1997" w:type="dxa"/>
            <w:vAlign w:val="top"/>
          </w:tcPr>
          <w:p w14:paraId="0B1A642B">
            <w:pPr>
              <w:keepNext w:val="0"/>
              <w:keepLines w:val="0"/>
              <w:pageBreakBefore w:val="0"/>
              <w:widowControl/>
              <w:kinsoku w:val="0"/>
              <w:wordWrap/>
              <w:overflowPunct/>
              <w:topLinePunct w:val="0"/>
              <w:autoSpaceDE w:val="0"/>
              <w:autoSpaceDN w:val="0"/>
              <w:bidi w:val="0"/>
              <w:adjustRightInd w:val="0"/>
              <w:snapToGrid w:val="0"/>
              <w:spacing w:line="230"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1"/>
              <w:rPr>
                <w:rFonts w:hint="eastAsia" w:ascii="宋体" w:hAnsi="宋体" w:eastAsia="宋体" w:cs="宋体"/>
                <w:color w:val="auto"/>
                <w:sz w:val="24"/>
                <w:szCs w:val="24"/>
                <w:highlight w:val="none"/>
              </w:rPr>
            </w:pPr>
          </w:p>
        </w:tc>
      </w:tr>
    </w:tbl>
    <w:p w14:paraId="608E648E">
      <w:pPr>
        <w:keepNext w:val="0"/>
        <w:keepLines w:val="0"/>
        <w:pageBreakBefore w:val="0"/>
        <w:widowControl/>
        <w:kinsoku w:val="0"/>
        <w:wordWrap/>
        <w:overflowPunct/>
        <w:topLinePunct w:val="0"/>
        <w:autoSpaceDE w:val="0"/>
        <w:autoSpaceDN w:val="0"/>
        <w:bidi w:val="0"/>
        <w:adjustRightInd w:val="0"/>
        <w:snapToGrid w:val="0"/>
        <w:spacing w:before="140" w:line="228" w:lineRule="auto"/>
        <w:ind w:firstLine="42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88" w:lineRule="auto"/>
        <w:ind w:firstLine="436" w:firstLineChars="200"/>
        <w:textAlignment w:val="baseline"/>
        <w:outlineLvl w:val="9"/>
        <w:rPr>
          <w:rFonts w:hint="eastAsia" w:ascii="宋体" w:hAnsi="宋体" w:eastAsia="宋体" w:cs="宋体"/>
          <w:color w:val="auto"/>
          <w:spacing w:val="4"/>
          <w:sz w:val="21"/>
          <w:szCs w:val="21"/>
          <w:highlight w:val="none"/>
        </w:rPr>
      </w:pPr>
      <w:bookmarkStart w:id="233" w:name="_Toc14048"/>
      <w:bookmarkStart w:id="234" w:name="_Toc5131"/>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4"/>
          <w:sz w:val="21"/>
          <w:szCs w:val="21"/>
          <w:highlight w:val="none"/>
          <w:lang w:val="en-US" w:eastAsia="zh-CN"/>
        </w:rPr>
        <w:t>.</w:t>
      </w:r>
      <w:r>
        <w:rPr>
          <w:rFonts w:hint="eastAsia" w:ascii="宋体" w:hAnsi="宋体" w:eastAsia="宋体" w:cs="宋体"/>
          <w:color w:val="auto"/>
          <w:spacing w:val="4"/>
          <w:sz w:val="21"/>
          <w:szCs w:val="21"/>
          <w:highlight w:val="none"/>
        </w:rPr>
        <w:t>《投标人基本情况表》后应附以下资料：</w:t>
      </w:r>
      <w:bookmarkEnd w:id="233"/>
      <w:bookmarkEnd w:id="234"/>
    </w:p>
    <w:p w14:paraId="56BD52AA">
      <w:pPr>
        <w:keepNext w:val="0"/>
        <w:keepLines w:val="0"/>
        <w:pageBreakBefore w:val="0"/>
        <w:widowControl/>
        <w:kinsoku w:val="0"/>
        <w:wordWrap/>
        <w:overflowPunct/>
        <w:topLinePunct w:val="0"/>
        <w:autoSpaceDE w:val="0"/>
        <w:autoSpaceDN w:val="0"/>
        <w:bidi w:val="0"/>
        <w:adjustRightInd w:val="0"/>
        <w:snapToGrid w:val="0"/>
        <w:spacing w:before="153" w:line="288" w:lineRule="auto"/>
        <w:ind w:firstLine="456" w:firstLineChars="200"/>
        <w:textAlignment w:val="baseline"/>
        <w:rPr>
          <w:rFonts w:hint="eastAsia" w:ascii="宋体" w:hAnsi="宋体" w:eastAsia="宋体" w:cs="宋体"/>
          <w:color w:val="auto"/>
          <w:spacing w:val="6"/>
          <w:sz w:val="21"/>
          <w:szCs w:val="21"/>
          <w:highlight w:val="none"/>
        </w:rPr>
      </w:pPr>
      <w:r>
        <w:rPr>
          <w:rFonts w:hint="eastAsia" w:ascii="宋体" w:hAnsi="宋体" w:eastAsia="宋体" w:cs="宋体"/>
          <w:color w:val="auto"/>
          <w:spacing w:val="9"/>
          <w:sz w:val="21"/>
          <w:szCs w:val="21"/>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88" w:lineRule="auto"/>
        <w:ind w:firstLine="45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lang w:eastAsia="zh-CN"/>
        </w:rPr>
        <w:t>（2）</w:t>
      </w:r>
      <w:r>
        <w:rPr>
          <w:rFonts w:hint="eastAsia" w:ascii="宋体" w:hAnsi="宋体" w:eastAsia="宋体" w:cs="宋体"/>
          <w:color w:val="auto"/>
          <w:spacing w:val="9"/>
          <w:sz w:val="21"/>
          <w:szCs w:val="21"/>
          <w:highlight w:val="none"/>
        </w:rPr>
        <w:t>“进粤企业和人员诚信信息登记平台</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8"/>
          <w:sz w:val="21"/>
          <w:szCs w:val="21"/>
          <w:highlight w:val="none"/>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88" w:lineRule="auto"/>
        <w:ind w:firstLine="452"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lang w:eastAsia="zh-CN"/>
        </w:rPr>
        <w:t>（3）</w:t>
      </w:r>
      <w:r>
        <w:rPr>
          <w:rFonts w:hint="eastAsia" w:ascii="宋体" w:hAnsi="宋体" w:eastAsia="宋体" w:cs="宋体"/>
          <w:color w:val="auto"/>
          <w:spacing w:val="8"/>
          <w:sz w:val="21"/>
          <w:szCs w:val="21"/>
          <w:highlight w:val="none"/>
        </w:rPr>
        <w:t>《法人和非法人组织公共信用信息报告》（在“信用中国</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”网站企业查询界面</w:t>
      </w:r>
      <w:r>
        <w:rPr>
          <w:rFonts w:hint="eastAsia" w:ascii="宋体" w:hAnsi="宋体" w:eastAsia="宋体" w:cs="宋体"/>
          <w:color w:val="auto"/>
          <w:spacing w:val="7"/>
          <w:sz w:val="21"/>
          <w:szCs w:val="21"/>
          <w:highlight w:val="none"/>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88" w:lineRule="auto"/>
        <w:ind w:firstLine="456" w:firstLineChars="200"/>
        <w:textAlignment w:val="baseline"/>
        <w:rPr>
          <w:rFonts w:hint="eastAsia" w:ascii="宋体" w:hAnsi="宋体" w:eastAsia="宋体" w:cs="宋体"/>
          <w:color w:val="auto"/>
          <w:spacing w:val="4"/>
          <w:sz w:val="21"/>
          <w:szCs w:val="21"/>
          <w:highlight w:val="none"/>
        </w:rPr>
      </w:pPr>
      <w:r>
        <w:rPr>
          <w:rFonts w:hint="eastAsia" w:ascii="宋体" w:hAnsi="宋体" w:eastAsia="宋体" w:cs="宋体"/>
          <w:color w:val="auto"/>
          <w:spacing w:val="9"/>
          <w:sz w:val="21"/>
          <w:szCs w:val="21"/>
          <w:highlight w:val="none"/>
        </w:rPr>
        <w:t>2</w:t>
      </w:r>
      <w:r>
        <w:rPr>
          <w:rFonts w:hint="eastAsia" w:ascii="宋体" w:hAnsi="宋体" w:eastAsia="宋体" w:cs="宋体"/>
          <w:color w:val="auto"/>
          <w:spacing w:val="-21"/>
          <w:sz w:val="21"/>
          <w:szCs w:val="21"/>
          <w:highlight w:val="none"/>
          <w:lang w:val="en-US" w:eastAsia="zh-CN"/>
        </w:rPr>
        <w:t>.</w:t>
      </w:r>
      <w:r>
        <w:rPr>
          <w:rFonts w:hint="eastAsia" w:ascii="宋体" w:hAnsi="宋体" w:eastAsia="宋体" w:cs="宋体"/>
          <w:color w:val="auto"/>
          <w:spacing w:val="9"/>
          <w:sz w:val="21"/>
          <w:szCs w:val="21"/>
          <w:highlight w:val="none"/>
        </w:rPr>
        <w:t>联合体投标的，联合体成员单位均应填写《投标人基本情况</w:t>
      </w:r>
      <w:r>
        <w:rPr>
          <w:rFonts w:hint="eastAsia" w:ascii="宋体" w:hAnsi="宋体" w:eastAsia="宋体" w:cs="宋体"/>
          <w:color w:val="auto"/>
          <w:spacing w:val="8"/>
          <w:sz w:val="21"/>
          <w:szCs w:val="21"/>
          <w:highlight w:val="none"/>
        </w:rPr>
        <w:t>表》并提供以上所需资料。</w:t>
      </w:r>
    </w:p>
    <w:p w14:paraId="1DBA7B98">
      <w:pPr>
        <w:spacing w:before="78" w:line="220" w:lineRule="auto"/>
        <w:outlineLvl w:val="2"/>
        <w:rPr>
          <w:rFonts w:hint="eastAsia" w:ascii="宋体" w:hAnsi="宋体" w:eastAsia="宋体" w:cs="宋体"/>
          <w:color w:val="auto"/>
          <w:highlight w:val="none"/>
        </w:rPr>
      </w:pPr>
      <w:bookmarkStart w:id="235" w:name="_Toc19699"/>
      <w:r>
        <w:rPr>
          <w:rFonts w:hint="eastAsia" w:ascii="宋体" w:hAnsi="宋体" w:eastAsia="宋体" w:cs="宋体"/>
          <w:b/>
          <w:bCs/>
          <w:color w:val="auto"/>
          <w:spacing w:val="-4"/>
          <w:sz w:val="24"/>
          <w:szCs w:val="24"/>
          <w:highlight w:val="none"/>
        </w:rPr>
        <w:t>格式八 项目经理简历表</w:t>
      </w:r>
      <w:bookmarkEnd w:id="235"/>
    </w:p>
    <w:p w14:paraId="0CAE90B5">
      <w:pPr>
        <w:spacing w:before="97" w:line="219" w:lineRule="auto"/>
        <w:ind w:left="3538"/>
        <w:outlineLvl w:val="9"/>
        <w:rPr>
          <w:rFonts w:hint="eastAsia" w:ascii="宋体" w:hAnsi="宋体" w:eastAsia="宋体" w:cs="宋体"/>
          <w:color w:val="auto"/>
          <w:sz w:val="30"/>
          <w:szCs w:val="30"/>
          <w:highlight w:val="none"/>
        </w:rPr>
      </w:pPr>
      <w:bookmarkStart w:id="236" w:name="bookmark156"/>
      <w:bookmarkEnd w:id="236"/>
      <w:bookmarkStart w:id="237" w:name="bookmark89"/>
      <w:bookmarkEnd w:id="237"/>
      <w:bookmarkStart w:id="238" w:name="_Toc31533"/>
      <w:bookmarkStart w:id="239" w:name="_Toc24489"/>
      <w:r>
        <w:rPr>
          <w:rFonts w:hint="eastAsia" w:ascii="宋体" w:hAnsi="宋体" w:eastAsia="宋体" w:cs="宋体"/>
          <w:b/>
          <w:bCs/>
          <w:color w:val="auto"/>
          <w:spacing w:val="-5"/>
          <w:sz w:val="30"/>
          <w:szCs w:val="30"/>
          <w:highlight w:val="none"/>
        </w:rPr>
        <w:t>项目经理简历表</w:t>
      </w:r>
      <w:bookmarkEnd w:id="238"/>
      <w:bookmarkEnd w:id="239"/>
    </w:p>
    <w:p w14:paraId="59593258">
      <w:pPr>
        <w:spacing w:line="240" w:lineRule="exact"/>
        <w:rPr>
          <w:rFonts w:hint="eastAsia" w:ascii="宋体" w:hAnsi="宋体" w:eastAsia="宋体" w:cs="宋体"/>
          <w:color w:val="auto"/>
          <w:highlight w:val="none"/>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1"/>
              <w:rPr>
                <w:rFonts w:hint="eastAsia" w:ascii="宋体" w:hAnsi="宋体" w:eastAsia="宋体" w:cs="宋体"/>
                <w:color w:val="auto"/>
                <w:sz w:val="24"/>
                <w:szCs w:val="24"/>
                <w:highlight w:val="none"/>
              </w:rPr>
            </w:pPr>
          </w:p>
        </w:tc>
        <w:tc>
          <w:tcPr>
            <w:tcW w:w="1357" w:type="dxa"/>
            <w:vAlign w:val="top"/>
          </w:tcPr>
          <w:p w14:paraId="5E6403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1"/>
              <w:rPr>
                <w:rFonts w:hint="eastAsia" w:ascii="宋体" w:hAnsi="宋体" w:eastAsia="宋体" w:cs="宋体"/>
                <w:color w:val="auto"/>
                <w:sz w:val="24"/>
                <w:szCs w:val="24"/>
                <w:highlight w:val="none"/>
              </w:rPr>
            </w:pPr>
          </w:p>
        </w:tc>
        <w:tc>
          <w:tcPr>
            <w:tcW w:w="1798" w:type="dxa"/>
            <w:vAlign w:val="top"/>
          </w:tcPr>
          <w:p w14:paraId="3FC87041">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1"/>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1"/>
              <w:rPr>
                <w:rFonts w:hint="eastAsia" w:ascii="宋体" w:hAnsi="宋体" w:eastAsia="宋体" w:cs="宋体"/>
                <w:color w:val="auto"/>
                <w:sz w:val="24"/>
                <w:szCs w:val="24"/>
                <w:highlight w:val="none"/>
              </w:rPr>
            </w:pPr>
          </w:p>
        </w:tc>
        <w:tc>
          <w:tcPr>
            <w:tcW w:w="1357" w:type="dxa"/>
            <w:vAlign w:val="top"/>
          </w:tcPr>
          <w:p w14:paraId="5913F49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1"/>
              <w:rPr>
                <w:rFonts w:hint="eastAsia" w:ascii="宋体" w:hAnsi="宋体" w:eastAsia="宋体" w:cs="宋体"/>
                <w:color w:val="auto"/>
                <w:sz w:val="24"/>
                <w:szCs w:val="24"/>
                <w:highlight w:val="none"/>
              </w:rPr>
            </w:pPr>
          </w:p>
        </w:tc>
        <w:tc>
          <w:tcPr>
            <w:tcW w:w="1798" w:type="dxa"/>
            <w:vAlign w:val="top"/>
          </w:tcPr>
          <w:p w14:paraId="3C4F5945">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1"/>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1"/>
              <w:rPr>
                <w:rFonts w:hint="eastAsia" w:ascii="宋体" w:hAnsi="宋体" w:eastAsia="宋体" w:cs="宋体"/>
                <w:color w:val="auto"/>
                <w:sz w:val="24"/>
                <w:szCs w:val="24"/>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1"/>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1"/>
              <w:rPr>
                <w:rFonts w:hint="eastAsia" w:ascii="宋体" w:hAnsi="宋体" w:eastAsia="宋体" w:cs="宋体"/>
                <w:color w:val="auto"/>
                <w:sz w:val="24"/>
                <w:szCs w:val="24"/>
                <w:highlight w:val="none"/>
              </w:rPr>
            </w:pPr>
          </w:p>
        </w:tc>
        <w:tc>
          <w:tcPr>
            <w:tcW w:w="2037" w:type="dxa"/>
            <w:gridSpan w:val="2"/>
            <w:vAlign w:val="top"/>
          </w:tcPr>
          <w:p w14:paraId="78888A3B">
            <w:pPr>
              <w:pStyle w:val="21"/>
              <w:rPr>
                <w:rFonts w:hint="eastAsia" w:ascii="宋体" w:hAnsi="宋体" w:eastAsia="宋体" w:cs="宋体"/>
                <w:color w:val="auto"/>
                <w:sz w:val="24"/>
                <w:szCs w:val="24"/>
                <w:highlight w:val="none"/>
              </w:rPr>
            </w:pPr>
          </w:p>
        </w:tc>
        <w:tc>
          <w:tcPr>
            <w:tcW w:w="2062" w:type="dxa"/>
            <w:vAlign w:val="top"/>
          </w:tcPr>
          <w:p w14:paraId="74289F65">
            <w:pPr>
              <w:pStyle w:val="21"/>
              <w:rPr>
                <w:rFonts w:hint="eastAsia" w:ascii="宋体" w:hAnsi="宋体" w:eastAsia="宋体" w:cs="宋体"/>
                <w:color w:val="auto"/>
                <w:sz w:val="24"/>
                <w:szCs w:val="24"/>
                <w:highlight w:val="none"/>
              </w:rPr>
            </w:pPr>
          </w:p>
        </w:tc>
        <w:tc>
          <w:tcPr>
            <w:tcW w:w="1798" w:type="dxa"/>
            <w:vAlign w:val="top"/>
          </w:tcPr>
          <w:p w14:paraId="22429141">
            <w:pPr>
              <w:pStyle w:val="21"/>
              <w:rPr>
                <w:rFonts w:hint="eastAsia" w:ascii="宋体" w:hAnsi="宋体" w:eastAsia="宋体" w:cs="宋体"/>
                <w:color w:val="auto"/>
                <w:sz w:val="24"/>
                <w:szCs w:val="24"/>
                <w:highlight w:val="none"/>
              </w:rPr>
            </w:pPr>
          </w:p>
        </w:tc>
        <w:tc>
          <w:tcPr>
            <w:tcW w:w="1398" w:type="dxa"/>
            <w:vAlign w:val="top"/>
          </w:tcPr>
          <w:p w14:paraId="0CCA428D">
            <w:pPr>
              <w:pStyle w:val="21"/>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1"/>
              <w:rPr>
                <w:rFonts w:hint="eastAsia" w:ascii="宋体" w:hAnsi="宋体" w:eastAsia="宋体" w:cs="宋体"/>
                <w:color w:val="auto"/>
                <w:sz w:val="24"/>
                <w:szCs w:val="24"/>
                <w:highlight w:val="none"/>
              </w:rPr>
            </w:pPr>
          </w:p>
        </w:tc>
        <w:tc>
          <w:tcPr>
            <w:tcW w:w="2037" w:type="dxa"/>
            <w:gridSpan w:val="2"/>
            <w:vAlign w:val="top"/>
          </w:tcPr>
          <w:p w14:paraId="6061C8EF">
            <w:pPr>
              <w:pStyle w:val="21"/>
              <w:rPr>
                <w:rFonts w:hint="eastAsia" w:ascii="宋体" w:hAnsi="宋体" w:eastAsia="宋体" w:cs="宋体"/>
                <w:color w:val="auto"/>
                <w:sz w:val="24"/>
                <w:szCs w:val="24"/>
                <w:highlight w:val="none"/>
              </w:rPr>
            </w:pPr>
          </w:p>
        </w:tc>
        <w:tc>
          <w:tcPr>
            <w:tcW w:w="2062" w:type="dxa"/>
            <w:vAlign w:val="top"/>
          </w:tcPr>
          <w:p w14:paraId="37C2C8FD">
            <w:pPr>
              <w:pStyle w:val="21"/>
              <w:rPr>
                <w:rFonts w:hint="eastAsia" w:ascii="宋体" w:hAnsi="宋体" w:eastAsia="宋体" w:cs="宋体"/>
                <w:color w:val="auto"/>
                <w:sz w:val="24"/>
                <w:szCs w:val="24"/>
                <w:highlight w:val="none"/>
              </w:rPr>
            </w:pPr>
          </w:p>
        </w:tc>
        <w:tc>
          <w:tcPr>
            <w:tcW w:w="1798" w:type="dxa"/>
            <w:vAlign w:val="top"/>
          </w:tcPr>
          <w:p w14:paraId="35838BEB">
            <w:pPr>
              <w:pStyle w:val="21"/>
              <w:rPr>
                <w:rFonts w:hint="eastAsia" w:ascii="宋体" w:hAnsi="宋体" w:eastAsia="宋体" w:cs="宋体"/>
                <w:color w:val="auto"/>
                <w:sz w:val="24"/>
                <w:szCs w:val="24"/>
                <w:highlight w:val="none"/>
              </w:rPr>
            </w:pPr>
          </w:p>
        </w:tc>
        <w:tc>
          <w:tcPr>
            <w:tcW w:w="1398" w:type="dxa"/>
            <w:vAlign w:val="top"/>
          </w:tcPr>
          <w:p w14:paraId="1A7FF52A">
            <w:pPr>
              <w:pStyle w:val="21"/>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1"/>
              <w:rPr>
                <w:rFonts w:hint="eastAsia" w:ascii="宋体" w:hAnsi="宋体" w:eastAsia="宋体" w:cs="宋体"/>
                <w:color w:val="auto"/>
                <w:sz w:val="24"/>
                <w:szCs w:val="24"/>
                <w:highlight w:val="none"/>
              </w:rPr>
            </w:pPr>
          </w:p>
        </w:tc>
        <w:tc>
          <w:tcPr>
            <w:tcW w:w="2037" w:type="dxa"/>
            <w:gridSpan w:val="2"/>
            <w:vAlign w:val="top"/>
          </w:tcPr>
          <w:p w14:paraId="49395E10">
            <w:pPr>
              <w:pStyle w:val="21"/>
              <w:rPr>
                <w:rFonts w:hint="eastAsia" w:ascii="宋体" w:hAnsi="宋体" w:eastAsia="宋体" w:cs="宋体"/>
                <w:color w:val="auto"/>
                <w:sz w:val="24"/>
                <w:szCs w:val="24"/>
                <w:highlight w:val="none"/>
              </w:rPr>
            </w:pPr>
          </w:p>
        </w:tc>
        <w:tc>
          <w:tcPr>
            <w:tcW w:w="2062" w:type="dxa"/>
            <w:vAlign w:val="top"/>
          </w:tcPr>
          <w:p w14:paraId="38C89432">
            <w:pPr>
              <w:pStyle w:val="21"/>
              <w:rPr>
                <w:rFonts w:hint="eastAsia" w:ascii="宋体" w:hAnsi="宋体" w:eastAsia="宋体" w:cs="宋体"/>
                <w:color w:val="auto"/>
                <w:sz w:val="24"/>
                <w:szCs w:val="24"/>
                <w:highlight w:val="none"/>
              </w:rPr>
            </w:pPr>
          </w:p>
        </w:tc>
        <w:tc>
          <w:tcPr>
            <w:tcW w:w="1798" w:type="dxa"/>
            <w:vAlign w:val="top"/>
          </w:tcPr>
          <w:p w14:paraId="5214B6C3">
            <w:pPr>
              <w:pStyle w:val="21"/>
              <w:rPr>
                <w:rFonts w:hint="eastAsia" w:ascii="宋体" w:hAnsi="宋体" w:eastAsia="宋体" w:cs="宋体"/>
                <w:color w:val="auto"/>
                <w:sz w:val="24"/>
                <w:szCs w:val="24"/>
                <w:highlight w:val="none"/>
              </w:rPr>
            </w:pPr>
          </w:p>
        </w:tc>
        <w:tc>
          <w:tcPr>
            <w:tcW w:w="1398" w:type="dxa"/>
            <w:vAlign w:val="top"/>
          </w:tcPr>
          <w:p w14:paraId="359AD966">
            <w:pPr>
              <w:pStyle w:val="21"/>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1"/>
              <w:rPr>
                <w:rFonts w:hint="eastAsia" w:ascii="宋体" w:hAnsi="宋体" w:eastAsia="宋体" w:cs="宋体"/>
                <w:color w:val="auto"/>
                <w:sz w:val="24"/>
                <w:szCs w:val="24"/>
                <w:highlight w:val="none"/>
              </w:rPr>
            </w:pPr>
          </w:p>
        </w:tc>
        <w:tc>
          <w:tcPr>
            <w:tcW w:w="2037" w:type="dxa"/>
            <w:gridSpan w:val="2"/>
            <w:vAlign w:val="top"/>
          </w:tcPr>
          <w:p w14:paraId="13591C1A">
            <w:pPr>
              <w:pStyle w:val="21"/>
              <w:rPr>
                <w:rFonts w:hint="eastAsia" w:ascii="宋体" w:hAnsi="宋体" w:eastAsia="宋体" w:cs="宋体"/>
                <w:color w:val="auto"/>
                <w:sz w:val="24"/>
                <w:szCs w:val="24"/>
                <w:highlight w:val="none"/>
              </w:rPr>
            </w:pPr>
          </w:p>
        </w:tc>
        <w:tc>
          <w:tcPr>
            <w:tcW w:w="2062" w:type="dxa"/>
            <w:vAlign w:val="top"/>
          </w:tcPr>
          <w:p w14:paraId="7E190888">
            <w:pPr>
              <w:pStyle w:val="21"/>
              <w:rPr>
                <w:rFonts w:hint="eastAsia" w:ascii="宋体" w:hAnsi="宋体" w:eastAsia="宋体" w:cs="宋体"/>
                <w:color w:val="auto"/>
                <w:sz w:val="24"/>
                <w:szCs w:val="24"/>
                <w:highlight w:val="none"/>
              </w:rPr>
            </w:pPr>
          </w:p>
        </w:tc>
        <w:tc>
          <w:tcPr>
            <w:tcW w:w="1798" w:type="dxa"/>
            <w:vAlign w:val="top"/>
          </w:tcPr>
          <w:p w14:paraId="465A33C8">
            <w:pPr>
              <w:pStyle w:val="21"/>
              <w:rPr>
                <w:rFonts w:hint="eastAsia" w:ascii="宋体" w:hAnsi="宋体" w:eastAsia="宋体" w:cs="宋体"/>
                <w:color w:val="auto"/>
                <w:sz w:val="24"/>
                <w:szCs w:val="24"/>
                <w:highlight w:val="none"/>
              </w:rPr>
            </w:pPr>
          </w:p>
        </w:tc>
        <w:tc>
          <w:tcPr>
            <w:tcW w:w="1398" w:type="dxa"/>
            <w:vAlign w:val="top"/>
          </w:tcPr>
          <w:p w14:paraId="3E8CFEF8">
            <w:pPr>
              <w:pStyle w:val="21"/>
              <w:rPr>
                <w:rFonts w:hint="eastAsia" w:ascii="宋体" w:hAnsi="宋体" w:eastAsia="宋体" w:cs="宋体"/>
                <w:color w:val="auto"/>
                <w:sz w:val="24"/>
                <w:szCs w:val="24"/>
                <w:highlight w:val="none"/>
              </w:rPr>
            </w:pPr>
          </w:p>
        </w:tc>
      </w:tr>
    </w:tbl>
    <w:p w14:paraId="31E2A55D">
      <w:pPr>
        <w:pStyle w:val="5"/>
        <w:spacing w:line="315" w:lineRule="auto"/>
        <w:rPr>
          <w:rFonts w:hint="eastAsia" w:ascii="宋体" w:hAnsi="宋体" w:eastAsia="宋体" w:cs="宋体"/>
          <w:color w:val="auto"/>
          <w:highlight w:val="none"/>
        </w:rPr>
      </w:pPr>
    </w:p>
    <w:p w14:paraId="4A488FFC">
      <w:pPr>
        <w:spacing w:before="78"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5"/>
        <w:spacing w:line="256" w:lineRule="auto"/>
        <w:rPr>
          <w:rFonts w:hint="eastAsia" w:ascii="宋体" w:hAnsi="宋体" w:eastAsia="宋体" w:cs="宋体"/>
          <w:color w:val="auto"/>
          <w:highlight w:val="none"/>
        </w:rPr>
      </w:pPr>
    </w:p>
    <w:p w14:paraId="04095A12">
      <w:pPr>
        <w:pStyle w:val="5"/>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9040016">
      <w:pPr>
        <w:spacing w:before="78" w:line="220" w:lineRule="auto"/>
        <w:ind w:left="4226"/>
        <w:jc w:val="center"/>
        <w:rPr>
          <w:rFonts w:hint="eastAsia" w:ascii="宋体" w:hAnsi="宋体" w:eastAsia="宋体" w:cs="宋体"/>
          <w:color w:val="auto"/>
          <w:highlight w:val="none"/>
        </w:rPr>
      </w:pPr>
    </w:p>
    <w:p w14:paraId="09DFFC47">
      <w:pPr>
        <w:pStyle w:val="5"/>
        <w:spacing w:line="241" w:lineRule="auto"/>
        <w:rPr>
          <w:rFonts w:hint="eastAsia" w:ascii="宋体" w:hAnsi="宋体" w:eastAsia="宋体" w:cs="宋体"/>
          <w:color w:val="auto"/>
          <w:highlight w:val="none"/>
        </w:rPr>
      </w:pPr>
    </w:p>
    <w:p w14:paraId="19347D26">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4"/>
          <w:szCs w:val="24"/>
          <w:highlight w:val="none"/>
        </w:rPr>
      </w:pPr>
      <w:bookmarkStart w:id="240" w:name="_Toc1942"/>
      <w:bookmarkStart w:id="241" w:name="_Toc25271"/>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lang w:val="en-US" w:eastAsia="zh-CN"/>
        </w:rPr>
        <w:t>.</w:t>
      </w:r>
      <w:r>
        <w:rPr>
          <w:rFonts w:hint="eastAsia" w:ascii="宋体" w:hAnsi="宋体" w:eastAsia="宋体" w:cs="宋体"/>
          <w:color w:val="auto"/>
          <w:spacing w:val="3"/>
          <w:sz w:val="24"/>
          <w:szCs w:val="24"/>
          <w:highlight w:val="none"/>
        </w:rPr>
        <w:t>身份证彩色扫描件；</w:t>
      </w:r>
      <w:bookmarkEnd w:id="240"/>
      <w:bookmarkEnd w:id="241"/>
    </w:p>
    <w:p w14:paraId="4FCFE8D7">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lang w:val="en-US" w:eastAsia="zh-CN"/>
        </w:rPr>
        <w:t>.</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540AD7C6">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4.</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的证明（至少1个月，其中必须有2026年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lang w:val="en-US" w:eastAsia="zh-CN"/>
        </w:rPr>
        <w:t>.</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pacing w:line="300" w:lineRule="auto"/>
        <w:rPr>
          <w:rFonts w:hint="eastAsia" w:ascii="宋体" w:hAnsi="宋体" w:eastAsia="宋体" w:cs="宋体"/>
          <w:color w:val="auto"/>
          <w:sz w:val="20"/>
          <w:szCs w:val="20"/>
          <w:highlight w:val="none"/>
        </w:rPr>
        <w:sectPr>
          <w:footerReference r:id="rId19" w:type="default"/>
          <w:pgSz w:w="11906" w:h="16839"/>
          <w:pgMar w:top="1134" w:right="1134" w:bottom="1134" w:left="1134" w:header="567" w:footer="567"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242" w:name="_Toc30661"/>
      <w:r>
        <w:rPr>
          <w:rFonts w:hint="eastAsia" w:ascii="宋体" w:hAnsi="宋体" w:eastAsia="宋体" w:cs="宋体"/>
          <w:b/>
          <w:bCs/>
          <w:color w:val="auto"/>
          <w:spacing w:val="-4"/>
          <w:sz w:val="24"/>
          <w:szCs w:val="24"/>
          <w:highlight w:val="none"/>
        </w:rPr>
        <w:t>格式九 项目经理任职声明</w:t>
      </w:r>
      <w:bookmarkEnd w:id="242"/>
    </w:p>
    <w:p w14:paraId="2CD81D3B">
      <w:pPr>
        <w:spacing w:before="98" w:line="220" w:lineRule="auto"/>
        <w:ind w:left="3338"/>
        <w:rPr>
          <w:rFonts w:hint="eastAsia" w:ascii="宋体" w:hAnsi="宋体" w:eastAsia="宋体" w:cs="宋体"/>
          <w:color w:val="auto"/>
          <w:sz w:val="30"/>
          <w:szCs w:val="30"/>
          <w:highlight w:val="none"/>
        </w:rPr>
      </w:pPr>
      <w:bookmarkStart w:id="243" w:name="bookmark157"/>
      <w:bookmarkEnd w:id="243"/>
      <w:r>
        <w:rPr>
          <w:rFonts w:hint="eastAsia" w:ascii="宋体" w:hAnsi="宋体" w:eastAsia="宋体" w:cs="宋体"/>
          <w:b/>
          <w:bCs/>
          <w:color w:val="auto"/>
          <w:spacing w:val="-5"/>
          <w:sz w:val="30"/>
          <w:szCs w:val="30"/>
          <w:highlight w:val="none"/>
        </w:rPr>
        <w:t>项目经理任职声明</w:t>
      </w:r>
    </w:p>
    <w:p w14:paraId="5E27ED4C">
      <w:pPr>
        <w:pStyle w:val="5"/>
        <w:spacing w:line="250" w:lineRule="auto"/>
        <w:rPr>
          <w:rFonts w:hint="eastAsia" w:ascii="宋体" w:hAnsi="宋体" w:eastAsia="宋体" w:cs="宋体"/>
          <w:color w:val="auto"/>
          <w:highlight w:val="none"/>
        </w:rPr>
      </w:pPr>
    </w:p>
    <w:p w14:paraId="2F282189">
      <w:pPr>
        <w:pStyle w:val="5"/>
        <w:spacing w:line="250" w:lineRule="auto"/>
        <w:rPr>
          <w:rFonts w:hint="eastAsia" w:ascii="宋体" w:hAnsi="宋体" w:eastAsia="宋体" w:cs="宋体"/>
          <w:color w:val="auto"/>
          <w:highlight w:val="none"/>
        </w:rPr>
      </w:pPr>
    </w:p>
    <w:p w14:paraId="5C8AA10A">
      <w:pPr>
        <w:pStyle w:val="5"/>
        <w:spacing w:line="251" w:lineRule="auto"/>
        <w:rPr>
          <w:rFonts w:hint="eastAsia" w:ascii="宋体" w:hAnsi="宋体" w:eastAsia="宋体" w:cs="宋体"/>
          <w:color w:val="auto"/>
          <w:highlight w:val="none"/>
        </w:rPr>
      </w:pPr>
    </w:p>
    <w:p w14:paraId="482F2F4D">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904F3EC">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5"/>
        <w:spacing w:line="391" w:lineRule="auto"/>
        <w:rPr>
          <w:rFonts w:hint="eastAsia" w:ascii="宋体" w:hAnsi="宋体" w:eastAsia="宋体" w:cs="宋体"/>
          <w:color w:val="auto"/>
          <w:highlight w:val="none"/>
        </w:rPr>
      </w:pPr>
    </w:p>
    <w:p w14:paraId="7EA0A4E9">
      <w:pPr>
        <w:spacing w:before="78" w:line="220" w:lineRule="auto"/>
        <w:ind w:left="48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特此承诺</w:t>
      </w:r>
      <w:r>
        <w:rPr>
          <w:rFonts w:hint="eastAsia" w:ascii="宋体" w:hAnsi="宋体" w:eastAsia="宋体" w:cs="宋体"/>
          <w:color w:val="auto"/>
          <w:spacing w:val="-3"/>
          <w:sz w:val="24"/>
          <w:szCs w:val="24"/>
          <w:highlight w:val="none"/>
          <w:lang w:eastAsia="zh-CN"/>
        </w:rPr>
        <w:t>！</w:t>
      </w:r>
    </w:p>
    <w:p w14:paraId="47C7F522">
      <w:pPr>
        <w:pStyle w:val="5"/>
        <w:spacing w:line="316" w:lineRule="auto"/>
        <w:rPr>
          <w:rFonts w:hint="eastAsia" w:ascii="宋体" w:hAnsi="宋体" w:eastAsia="宋体" w:cs="宋体"/>
          <w:color w:val="auto"/>
          <w:highlight w:val="none"/>
        </w:rPr>
      </w:pPr>
    </w:p>
    <w:p w14:paraId="166EE9AC">
      <w:pPr>
        <w:pStyle w:val="5"/>
        <w:spacing w:line="317" w:lineRule="auto"/>
        <w:rPr>
          <w:rFonts w:hint="eastAsia" w:ascii="宋体" w:hAnsi="宋体" w:eastAsia="宋体" w:cs="宋体"/>
          <w:color w:val="auto"/>
          <w:highlight w:val="none"/>
        </w:rPr>
      </w:pPr>
    </w:p>
    <w:p w14:paraId="708846AD">
      <w:pPr>
        <w:pStyle w:val="5"/>
        <w:spacing w:line="317" w:lineRule="auto"/>
        <w:rPr>
          <w:rFonts w:hint="eastAsia" w:ascii="宋体" w:hAnsi="宋体" w:eastAsia="宋体" w:cs="宋体"/>
          <w:color w:val="auto"/>
          <w:highlight w:val="none"/>
        </w:rPr>
      </w:pPr>
    </w:p>
    <w:p w14:paraId="07D0B97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4F711471">
      <w:pPr>
        <w:pStyle w:val="5"/>
        <w:spacing w:line="317" w:lineRule="auto"/>
        <w:rPr>
          <w:rFonts w:hint="eastAsia" w:ascii="宋体" w:hAnsi="宋体" w:eastAsia="宋体" w:cs="宋体"/>
          <w:color w:val="auto"/>
          <w:highlight w:val="none"/>
        </w:rPr>
      </w:pPr>
    </w:p>
    <w:p w14:paraId="38491E5D">
      <w:pPr>
        <w:pStyle w:val="5"/>
        <w:spacing w:line="317" w:lineRule="auto"/>
        <w:rPr>
          <w:rFonts w:hint="eastAsia" w:ascii="宋体" w:hAnsi="宋体" w:eastAsia="宋体" w:cs="宋体"/>
          <w:color w:val="auto"/>
          <w:highlight w:val="none"/>
        </w:rPr>
      </w:pPr>
    </w:p>
    <w:p w14:paraId="2845CC21">
      <w:pPr>
        <w:pStyle w:val="5"/>
        <w:spacing w:line="317" w:lineRule="auto"/>
        <w:rPr>
          <w:rFonts w:hint="eastAsia" w:ascii="宋体" w:hAnsi="宋体" w:eastAsia="宋体" w:cs="宋体"/>
          <w:color w:val="auto"/>
          <w:highlight w:val="none"/>
        </w:rPr>
      </w:pPr>
    </w:p>
    <w:p w14:paraId="270F977A">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5"/>
        <w:spacing w:line="257" w:lineRule="auto"/>
        <w:rPr>
          <w:rFonts w:hint="eastAsia" w:ascii="宋体" w:hAnsi="宋体" w:eastAsia="宋体" w:cs="宋体"/>
          <w:color w:val="auto"/>
          <w:highlight w:val="none"/>
        </w:rPr>
      </w:pPr>
    </w:p>
    <w:p w14:paraId="24BB67B8">
      <w:pPr>
        <w:pStyle w:val="5"/>
        <w:spacing w:line="257" w:lineRule="auto"/>
        <w:rPr>
          <w:rFonts w:hint="eastAsia" w:ascii="宋体" w:hAnsi="宋体" w:eastAsia="宋体" w:cs="宋体"/>
          <w:color w:val="auto"/>
          <w:highlight w:val="none"/>
        </w:rPr>
      </w:pPr>
    </w:p>
    <w:p w14:paraId="1DEB93F9">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C55D77">
      <w:pPr>
        <w:spacing w:line="220" w:lineRule="auto"/>
        <w:rPr>
          <w:rFonts w:hint="eastAsia" w:ascii="宋体" w:hAnsi="宋体" w:eastAsia="宋体" w:cs="宋体"/>
          <w:color w:val="auto"/>
          <w:sz w:val="24"/>
          <w:szCs w:val="24"/>
          <w:highlight w:val="none"/>
        </w:rPr>
        <w:sectPr>
          <w:footerReference r:id="rId20" w:type="default"/>
          <w:pgSz w:w="11906" w:h="16839"/>
          <w:pgMar w:top="1134" w:right="1134" w:bottom="1134" w:left="1134" w:header="567" w:footer="567"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244" w:name="_Toc31071"/>
      <w:r>
        <w:rPr>
          <w:rFonts w:hint="eastAsia" w:ascii="宋体" w:hAnsi="宋体" w:eastAsia="宋体" w:cs="宋体"/>
          <w:b/>
          <w:bCs/>
          <w:color w:val="auto"/>
          <w:spacing w:val="-4"/>
          <w:sz w:val="24"/>
          <w:szCs w:val="24"/>
          <w:highlight w:val="none"/>
        </w:rPr>
        <w:t>格式十 项目技术负责人简历表</w:t>
      </w:r>
      <w:bookmarkEnd w:id="244"/>
    </w:p>
    <w:p w14:paraId="675D0539">
      <w:pPr>
        <w:pStyle w:val="5"/>
        <w:spacing w:line="444" w:lineRule="auto"/>
        <w:rPr>
          <w:rFonts w:hint="eastAsia" w:ascii="宋体" w:hAnsi="宋体" w:eastAsia="宋体" w:cs="宋体"/>
          <w:color w:val="auto"/>
          <w:highlight w:val="none"/>
        </w:rPr>
      </w:pPr>
    </w:p>
    <w:p w14:paraId="0EE5F1FB">
      <w:pPr>
        <w:spacing w:before="97" w:line="219" w:lineRule="auto"/>
        <w:ind w:left="3087"/>
        <w:outlineLvl w:val="9"/>
        <w:rPr>
          <w:rFonts w:hint="eastAsia" w:ascii="宋体" w:hAnsi="宋体" w:eastAsia="宋体" w:cs="宋体"/>
          <w:color w:val="auto"/>
          <w:sz w:val="30"/>
          <w:szCs w:val="30"/>
          <w:highlight w:val="none"/>
        </w:rPr>
      </w:pPr>
      <w:bookmarkStart w:id="245" w:name="_Toc1553"/>
      <w:bookmarkStart w:id="246" w:name="_Toc25712"/>
      <w:r>
        <w:rPr>
          <w:rFonts w:hint="eastAsia" w:ascii="宋体" w:hAnsi="宋体" w:eastAsia="宋体" w:cs="宋体"/>
          <w:b/>
          <w:bCs/>
          <w:color w:val="auto"/>
          <w:spacing w:val="-4"/>
          <w:sz w:val="30"/>
          <w:szCs w:val="30"/>
          <w:highlight w:val="none"/>
        </w:rPr>
        <w:t>项目技术负责人简历表</w:t>
      </w:r>
      <w:bookmarkEnd w:id="245"/>
      <w:bookmarkEnd w:id="246"/>
    </w:p>
    <w:p w14:paraId="0C4EC7B8">
      <w:pPr>
        <w:spacing w:line="240" w:lineRule="exact"/>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1"/>
              <w:rPr>
                <w:rFonts w:hint="eastAsia" w:ascii="宋体" w:hAnsi="宋体" w:eastAsia="宋体" w:cs="宋体"/>
                <w:color w:val="auto"/>
                <w:sz w:val="24"/>
                <w:szCs w:val="24"/>
                <w:highlight w:val="none"/>
              </w:rPr>
            </w:pPr>
          </w:p>
        </w:tc>
        <w:tc>
          <w:tcPr>
            <w:tcW w:w="1346" w:type="dxa"/>
            <w:vAlign w:val="top"/>
          </w:tcPr>
          <w:p w14:paraId="3A00E866">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1"/>
              <w:rPr>
                <w:rFonts w:hint="eastAsia" w:ascii="宋体" w:hAnsi="宋体" w:eastAsia="宋体" w:cs="宋体"/>
                <w:color w:val="auto"/>
                <w:sz w:val="24"/>
                <w:szCs w:val="24"/>
                <w:highlight w:val="none"/>
              </w:rPr>
            </w:pPr>
          </w:p>
        </w:tc>
        <w:tc>
          <w:tcPr>
            <w:tcW w:w="1783" w:type="dxa"/>
            <w:vAlign w:val="top"/>
          </w:tcPr>
          <w:p w14:paraId="7B35F84B">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1"/>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1"/>
              <w:rPr>
                <w:rFonts w:hint="eastAsia" w:ascii="宋体" w:hAnsi="宋体" w:eastAsia="宋体" w:cs="宋体"/>
                <w:color w:val="auto"/>
                <w:sz w:val="24"/>
                <w:szCs w:val="24"/>
                <w:highlight w:val="none"/>
              </w:rPr>
            </w:pPr>
          </w:p>
        </w:tc>
        <w:tc>
          <w:tcPr>
            <w:tcW w:w="1346" w:type="dxa"/>
            <w:vAlign w:val="top"/>
          </w:tcPr>
          <w:p w14:paraId="1732E3C0">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1"/>
              <w:rPr>
                <w:rFonts w:hint="eastAsia" w:ascii="宋体" w:hAnsi="宋体" w:eastAsia="宋体" w:cs="宋体"/>
                <w:color w:val="auto"/>
                <w:sz w:val="24"/>
                <w:szCs w:val="24"/>
                <w:highlight w:val="none"/>
              </w:rPr>
            </w:pPr>
          </w:p>
        </w:tc>
        <w:tc>
          <w:tcPr>
            <w:tcW w:w="1783" w:type="dxa"/>
            <w:vAlign w:val="top"/>
          </w:tcPr>
          <w:p w14:paraId="56AB3CDE">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1"/>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1"/>
              <w:rPr>
                <w:rFonts w:hint="eastAsia" w:ascii="宋体" w:hAnsi="宋体" w:eastAsia="宋体" w:cs="宋体"/>
                <w:color w:val="auto"/>
                <w:sz w:val="24"/>
                <w:szCs w:val="24"/>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1"/>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1"/>
              <w:rPr>
                <w:rFonts w:hint="eastAsia" w:ascii="宋体" w:hAnsi="宋体" w:eastAsia="宋体" w:cs="宋体"/>
                <w:color w:val="auto"/>
                <w:sz w:val="24"/>
                <w:szCs w:val="24"/>
                <w:highlight w:val="none"/>
              </w:rPr>
            </w:pPr>
          </w:p>
        </w:tc>
        <w:tc>
          <w:tcPr>
            <w:tcW w:w="2021" w:type="dxa"/>
            <w:gridSpan w:val="2"/>
            <w:vAlign w:val="top"/>
          </w:tcPr>
          <w:p w14:paraId="270436EC">
            <w:pPr>
              <w:pStyle w:val="21"/>
              <w:rPr>
                <w:rFonts w:hint="eastAsia" w:ascii="宋体" w:hAnsi="宋体" w:eastAsia="宋体" w:cs="宋体"/>
                <w:color w:val="auto"/>
                <w:sz w:val="24"/>
                <w:szCs w:val="24"/>
                <w:highlight w:val="none"/>
              </w:rPr>
            </w:pPr>
          </w:p>
        </w:tc>
        <w:tc>
          <w:tcPr>
            <w:tcW w:w="2047" w:type="dxa"/>
            <w:vAlign w:val="top"/>
          </w:tcPr>
          <w:p w14:paraId="254FE938">
            <w:pPr>
              <w:pStyle w:val="21"/>
              <w:rPr>
                <w:rFonts w:hint="eastAsia" w:ascii="宋体" w:hAnsi="宋体" w:eastAsia="宋体" w:cs="宋体"/>
                <w:color w:val="auto"/>
                <w:sz w:val="24"/>
                <w:szCs w:val="24"/>
                <w:highlight w:val="none"/>
              </w:rPr>
            </w:pPr>
          </w:p>
        </w:tc>
        <w:tc>
          <w:tcPr>
            <w:tcW w:w="1783" w:type="dxa"/>
            <w:vAlign w:val="top"/>
          </w:tcPr>
          <w:p w14:paraId="355EA15C">
            <w:pPr>
              <w:pStyle w:val="21"/>
              <w:rPr>
                <w:rFonts w:hint="eastAsia" w:ascii="宋体" w:hAnsi="宋体" w:eastAsia="宋体" w:cs="宋体"/>
                <w:color w:val="auto"/>
                <w:sz w:val="24"/>
                <w:szCs w:val="24"/>
                <w:highlight w:val="none"/>
              </w:rPr>
            </w:pPr>
          </w:p>
        </w:tc>
        <w:tc>
          <w:tcPr>
            <w:tcW w:w="1386" w:type="dxa"/>
            <w:vAlign w:val="top"/>
          </w:tcPr>
          <w:p w14:paraId="3A063067">
            <w:pPr>
              <w:pStyle w:val="21"/>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1"/>
              <w:rPr>
                <w:rFonts w:hint="eastAsia" w:ascii="宋体" w:hAnsi="宋体" w:eastAsia="宋体" w:cs="宋体"/>
                <w:color w:val="auto"/>
                <w:sz w:val="24"/>
                <w:szCs w:val="24"/>
                <w:highlight w:val="none"/>
              </w:rPr>
            </w:pPr>
          </w:p>
        </w:tc>
        <w:tc>
          <w:tcPr>
            <w:tcW w:w="2021" w:type="dxa"/>
            <w:gridSpan w:val="2"/>
            <w:vAlign w:val="top"/>
          </w:tcPr>
          <w:p w14:paraId="4FF33181">
            <w:pPr>
              <w:pStyle w:val="21"/>
              <w:rPr>
                <w:rFonts w:hint="eastAsia" w:ascii="宋体" w:hAnsi="宋体" w:eastAsia="宋体" w:cs="宋体"/>
                <w:color w:val="auto"/>
                <w:sz w:val="24"/>
                <w:szCs w:val="24"/>
                <w:highlight w:val="none"/>
              </w:rPr>
            </w:pPr>
          </w:p>
        </w:tc>
        <w:tc>
          <w:tcPr>
            <w:tcW w:w="2047" w:type="dxa"/>
            <w:vAlign w:val="top"/>
          </w:tcPr>
          <w:p w14:paraId="7DB0E2CE">
            <w:pPr>
              <w:pStyle w:val="21"/>
              <w:rPr>
                <w:rFonts w:hint="eastAsia" w:ascii="宋体" w:hAnsi="宋体" w:eastAsia="宋体" w:cs="宋体"/>
                <w:color w:val="auto"/>
                <w:sz w:val="24"/>
                <w:szCs w:val="24"/>
                <w:highlight w:val="none"/>
              </w:rPr>
            </w:pPr>
          </w:p>
        </w:tc>
        <w:tc>
          <w:tcPr>
            <w:tcW w:w="1783" w:type="dxa"/>
            <w:vAlign w:val="top"/>
          </w:tcPr>
          <w:p w14:paraId="026AE2C4">
            <w:pPr>
              <w:pStyle w:val="21"/>
              <w:rPr>
                <w:rFonts w:hint="eastAsia" w:ascii="宋体" w:hAnsi="宋体" w:eastAsia="宋体" w:cs="宋体"/>
                <w:color w:val="auto"/>
                <w:sz w:val="24"/>
                <w:szCs w:val="24"/>
                <w:highlight w:val="none"/>
              </w:rPr>
            </w:pPr>
          </w:p>
        </w:tc>
        <w:tc>
          <w:tcPr>
            <w:tcW w:w="1386" w:type="dxa"/>
            <w:vAlign w:val="top"/>
          </w:tcPr>
          <w:p w14:paraId="371023C5">
            <w:pPr>
              <w:pStyle w:val="21"/>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1"/>
              <w:rPr>
                <w:rFonts w:hint="eastAsia" w:ascii="宋体" w:hAnsi="宋体" w:eastAsia="宋体" w:cs="宋体"/>
                <w:color w:val="auto"/>
                <w:sz w:val="24"/>
                <w:szCs w:val="24"/>
                <w:highlight w:val="none"/>
              </w:rPr>
            </w:pPr>
          </w:p>
        </w:tc>
        <w:tc>
          <w:tcPr>
            <w:tcW w:w="2021" w:type="dxa"/>
            <w:gridSpan w:val="2"/>
            <w:vAlign w:val="top"/>
          </w:tcPr>
          <w:p w14:paraId="5DC4416F">
            <w:pPr>
              <w:pStyle w:val="21"/>
              <w:rPr>
                <w:rFonts w:hint="eastAsia" w:ascii="宋体" w:hAnsi="宋体" w:eastAsia="宋体" w:cs="宋体"/>
                <w:color w:val="auto"/>
                <w:sz w:val="24"/>
                <w:szCs w:val="24"/>
                <w:highlight w:val="none"/>
              </w:rPr>
            </w:pPr>
          </w:p>
        </w:tc>
        <w:tc>
          <w:tcPr>
            <w:tcW w:w="2047" w:type="dxa"/>
            <w:vAlign w:val="top"/>
          </w:tcPr>
          <w:p w14:paraId="2AF0F04E">
            <w:pPr>
              <w:pStyle w:val="21"/>
              <w:rPr>
                <w:rFonts w:hint="eastAsia" w:ascii="宋体" w:hAnsi="宋体" w:eastAsia="宋体" w:cs="宋体"/>
                <w:color w:val="auto"/>
                <w:sz w:val="24"/>
                <w:szCs w:val="24"/>
                <w:highlight w:val="none"/>
              </w:rPr>
            </w:pPr>
          </w:p>
        </w:tc>
        <w:tc>
          <w:tcPr>
            <w:tcW w:w="1783" w:type="dxa"/>
            <w:vAlign w:val="top"/>
          </w:tcPr>
          <w:p w14:paraId="400EE5B7">
            <w:pPr>
              <w:pStyle w:val="21"/>
              <w:rPr>
                <w:rFonts w:hint="eastAsia" w:ascii="宋体" w:hAnsi="宋体" w:eastAsia="宋体" w:cs="宋体"/>
                <w:color w:val="auto"/>
                <w:sz w:val="24"/>
                <w:szCs w:val="24"/>
                <w:highlight w:val="none"/>
              </w:rPr>
            </w:pPr>
          </w:p>
        </w:tc>
        <w:tc>
          <w:tcPr>
            <w:tcW w:w="1386" w:type="dxa"/>
            <w:vAlign w:val="top"/>
          </w:tcPr>
          <w:p w14:paraId="1734BD0B">
            <w:pPr>
              <w:pStyle w:val="21"/>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1"/>
              <w:rPr>
                <w:rFonts w:hint="eastAsia" w:ascii="宋体" w:hAnsi="宋体" w:eastAsia="宋体" w:cs="宋体"/>
                <w:color w:val="auto"/>
                <w:sz w:val="24"/>
                <w:szCs w:val="24"/>
                <w:highlight w:val="none"/>
              </w:rPr>
            </w:pPr>
          </w:p>
        </w:tc>
        <w:tc>
          <w:tcPr>
            <w:tcW w:w="1610" w:type="dxa"/>
            <w:gridSpan w:val="2"/>
            <w:vAlign w:val="top"/>
          </w:tcPr>
          <w:p w14:paraId="698F5787">
            <w:pPr>
              <w:pStyle w:val="21"/>
              <w:rPr>
                <w:rFonts w:hint="eastAsia" w:ascii="宋体" w:hAnsi="宋体" w:eastAsia="宋体" w:cs="宋体"/>
                <w:color w:val="auto"/>
                <w:sz w:val="24"/>
                <w:szCs w:val="24"/>
                <w:highlight w:val="none"/>
              </w:rPr>
            </w:pPr>
          </w:p>
        </w:tc>
        <w:tc>
          <w:tcPr>
            <w:tcW w:w="2021" w:type="dxa"/>
            <w:gridSpan w:val="2"/>
            <w:vAlign w:val="top"/>
          </w:tcPr>
          <w:p w14:paraId="69858A0D">
            <w:pPr>
              <w:pStyle w:val="21"/>
              <w:rPr>
                <w:rFonts w:hint="eastAsia" w:ascii="宋体" w:hAnsi="宋体" w:eastAsia="宋体" w:cs="宋体"/>
                <w:color w:val="auto"/>
                <w:sz w:val="24"/>
                <w:szCs w:val="24"/>
                <w:highlight w:val="none"/>
              </w:rPr>
            </w:pPr>
          </w:p>
        </w:tc>
        <w:tc>
          <w:tcPr>
            <w:tcW w:w="2047" w:type="dxa"/>
            <w:vAlign w:val="top"/>
          </w:tcPr>
          <w:p w14:paraId="2BD7DCDB">
            <w:pPr>
              <w:pStyle w:val="21"/>
              <w:rPr>
                <w:rFonts w:hint="eastAsia" w:ascii="宋体" w:hAnsi="宋体" w:eastAsia="宋体" w:cs="宋体"/>
                <w:color w:val="auto"/>
                <w:sz w:val="24"/>
                <w:szCs w:val="24"/>
                <w:highlight w:val="none"/>
              </w:rPr>
            </w:pPr>
          </w:p>
        </w:tc>
        <w:tc>
          <w:tcPr>
            <w:tcW w:w="1783" w:type="dxa"/>
            <w:vAlign w:val="top"/>
          </w:tcPr>
          <w:p w14:paraId="4D125A3E">
            <w:pPr>
              <w:pStyle w:val="21"/>
              <w:rPr>
                <w:rFonts w:hint="eastAsia" w:ascii="宋体" w:hAnsi="宋体" w:eastAsia="宋体" w:cs="宋体"/>
                <w:color w:val="auto"/>
                <w:sz w:val="24"/>
                <w:szCs w:val="24"/>
                <w:highlight w:val="none"/>
              </w:rPr>
            </w:pPr>
          </w:p>
        </w:tc>
        <w:tc>
          <w:tcPr>
            <w:tcW w:w="1386" w:type="dxa"/>
            <w:vAlign w:val="top"/>
          </w:tcPr>
          <w:p w14:paraId="39C6E406">
            <w:pPr>
              <w:pStyle w:val="21"/>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1"/>
              <w:rPr>
                <w:rFonts w:hint="eastAsia" w:ascii="宋体" w:hAnsi="宋体" w:eastAsia="宋体" w:cs="宋体"/>
                <w:color w:val="auto"/>
                <w:sz w:val="24"/>
                <w:szCs w:val="24"/>
                <w:highlight w:val="none"/>
              </w:rPr>
            </w:pPr>
          </w:p>
        </w:tc>
        <w:tc>
          <w:tcPr>
            <w:tcW w:w="1610" w:type="dxa"/>
            <w:gridSpan w:val="2"/>
            <w:vAlign w:val="top"/>
          </w:tcPr>
          <w:p w14:paraId="51FAB6E2">
            <w:pPr>
              <w:pStyle w:val="21"/>
              <w:rPr>
                <w:rFonts w:hint="eastAsia" w:ascii="宋体" w:hAnsi="宋体" w:eastAsia="宋体" w:cs="宋体"/>
                <w:color w:val="auto"/>
                <w:sz w:val="24"/>
                <w:szCs w:val="24"/>
                <w:highlight w:val="none"/>
              </w:rPr>
            </w:pPr>
          </w:p>
        </w:tc>
        <w:tc>
          <w:tcPr>
            <w:tcW w:w="2021" w:type="dxa"/>
            <w:gridSpan w:val="2"/>
            <w:vAlign w:val="top"/>
          </w:tcPr>
          <w:p w14:paraId="61875FD1">
            <w:pPr>
              <w:pStyle w:val="21"/>
              <w:rPr>
                <w:rFonts w:hint="eastAsia" w:ascii="宋体" w:hAnsi="宋体" w:eastAsia="宋体" w:cs="宋体"/>
                <w:color w:val="auto"/>
                <w:sz w:val="24"/>
                <w:szCs w:val="24"/>
                <w:highlight w:val="none"/>
              </w:rPr>
            </w:pPr>
          </w:p>
        </w:tc>
        <w:tc>
          <w:tcPr>
            <w:tcW w:w="2047" w:type="dxa"/>
            <w:vAlign w:val="top"/>
          </w:tcPr>
          <w:p w14:paraId="404E5FF7">
            <w:pPr>
              <w:pStyle w:val="21"/>
              <w:rPr>
                <w:rFonts w:hint="eastAsia" w:ascii="宋体" w:hAnsi="宋体" w:eastAsia="宋体" w:cs="宋体"/>
                <w:color w:val="auto"/>
                <w:sz w:val="24"/>
                <w:szCs w:val="24"/>
                <w:highlight w:val="none"/>
              </w:rPr>
            </w:pPr>
          </w:p>
        </w:tc>
        <w:tc>
          <w:tcPr>
            <w:tcW w:w="1783" w:type="dxa"/>
            <w:vAlign w:val="top"/>
          </w:tcPr>
          <w:p w14:paraId="6ADD1E7F">
            <w:pPr>
              <w:pStyle w:val="21"/>
              <w:rPr>
                <w:rFonts w:hint="eastAsia" w:ascii="宋体" w:hAnsi="宋体" w:eastAsia="宋体" w:cs="宋体"/>
                <w:color w:val="auto"/>
                <w:sz w:val="24"/>
                <w:szCs w:val="24"/>
                <w:highlight w:val="none"/>
              </w:rPr>
            </w:pPr>
          </w:p>
        </w:tc>
        <w:tc>
          <w:tcPr>
            <w:tcW w:w="1386" w:type="dxa"/>
            <w:vAlign w:val="top"/>
          </w:tcPr>
          <w:p w14:paraId="384217C7">
            <w:pPr>
              <w:pStyle w:val="21"/>
              <w:rPr>
                <w:rFonts w:hint="eastAsia" w:ascii="宋体" w:hAnsi="宋体" w:eastAsia="宋体" w:cs="宋体"/>
                <w:color w:val="auto"/>
                <w:sz w:val="24"/>
                <w:szCs w:val="24"/>
                <w:highlight w:val="none"/>
              </w:rPr>
            </w:pPr>
          </w:p>
        </w:tc>
      </w:tr>
    </w:tbl>
    <w:p w14:paraId="45EB821D">
      <w:pPr>
        <w:pStyle w:val="5"/>
        <w:spacing w:line="314" w:lineRule="auto"/>
        <w:rPr>
          <w:rFonts w:hint="eastAsia" w:ascii="宋体" w:hAnsi="宋体" w:eastAsia="宋体" w:cs="宋体"/>
          <w:color w:val="auto"/>
          <w:sz w:val="24"/>
          <w:szCs w:val="24"/>
          <w:highlight w:val="none"/>
        </w:rPr>
      </w:pPr>
    </w:p>
    <w:p w14:paraId="02839B71">
      <w:pPr>
        <w:pStyle w:val="5"/>
        <w:spacing w:line="315" w:lineRule="auto"/>
        <w:rPr>
          <w:rFonts w:hint="eastAsia" w:ascii="宋体" w:hAnsi="宋体" w:eastAsia="宋体" w:cs="宋体"/>
          <w:color w:val="auto"/>
          <w:sz w:val="24"/>
          <w:szCs w:val="24"/>
          <w:highlight w:val="none"/>
        </w:rPr>
      </w:pPr>
    </w:p>
    <w:p w14:paraId="75FEC917">
      <w:pPr>
        <w:pStyle w:val="5"/>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5"/>
        <w:spacing w:line="256" w:lineRule="auto"/>
        <w:jc w:val="right"/>
        <w:rPr>
          <w:rFonts w:hint="eastAsia" w:ascii="宋体" w:hAnsi="宋体" w:eastAsia="宋体" w:cs="宋体"/>
          <w:color w:val="auto"/>
          <w:sz w:val="24"/>
          <w:szCs w:val="24"/>
          <w:highlight w:val="none"/>
        </w:rPr>
      </w:pPr>
    </w:p>
    <w:p w14:paraId="48AD0385">
      <w:pPr>
        <w:pStyle w:val="5"/>
        <w:spacing w:line="257" w:lineRule="auto"/>
        <w:jc w:val="right"/>
        <w:rPr>
          <w:rFonts w:hint="eastAsia" w:ascii="宋体" w:hAnsi="宋体" w:eastAsia="宋体" w:cs="宋体"/>
          <w:color w:val="auto"/>
          <w:sz w:val="24"/>
          <w:szCs w:val="24"/>
          <w:highlight w:val="none"/>
        </w:rPr>
      </w:pPr>
    </w:p>
    <w:p w14:paraId="50CB5F37">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1408BD7">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lang w:val="en-US" w:eastAsia="zh-CN"/>
        </w:rPr>
        <w:t>.</w:t>
      </w:r>
      <w:r>
        <w:rPr>
          <w:rFonts w:hint="eastAsia" w:ascii="宋体" w:hAnsi="宋体" w:eastAsia="宋体" w:cs="宋体"/>
          <w:color w:val="auto"/>
          <w:spacing w:val="3"/>
          <w:sz w:val="24"/>
          <w:szCs w:val="24"/>
          <w:highlight w:val="none"/>
        </w:rPr>
        <w:t>身份证彩色扫描件；</w:t>
      </w:r>
    </w:p>
    <w:p w14:paraId="2AC7099F">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lang w:val="en-US" w:eastAsia="zh-CN"/>
        </w:rPr>
        <w:t>.</w:t>
      </w:r>
      <w:r>
        <w:rPr>
          <w:rFonts w:hint="eastAsia" w:ascii="宋体" w:hAnsi="宋体" w:eastAsia="宋体" w:cs="宋体"/>
          <w:color w:val="auto"/>
          <w:spacing w:val="5"/>
          <w:sz w:val="24"/>
          <w:szCs w:val="24"/>
          <w:highlight w:val="none"/>
        </w:rPr>
        <w:t>职称证彩色扫描件；</w:t>
      </w:r>
    </w:p>
    <w:p w14:paraId="531EC1B5">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lang w:val="en-US" w:eastAsia="zh-CN"/>
        </w:rPr>
        <w:t>.</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 2026年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lang w:val="en-US" w:eastAsia="zh-CN"/>
        </w:rPr>
        <w:t>.</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pacing w:line="228" w:lineRule="auto"/>
        <w:rPr>
          <w:rFonts w:hint="eastAsia" w:ascii="宋体" w:hAnsi="宋体" w:eastAsia="宋体" w:cs="宋体"/>
          <w:color w:val="auto"/>
          <w:sz w:val="20"/>
          <w:szCs w:val="20"/>
          <w:highlight w:val="none"/>
        </w:rPr>
        <w:sectPr>
          <w:footerReference r:id="rId21" w:type="default"/>
          <w:pgSz w:w="11906" w:h="16839"/>
          <w:pgMar w:top="1134" w:right="1134" w:bottom="1134" w:left="1134" w:header="567" w:footer="567"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247" w:name="_Toc25235"/>
      <w:r>
        <w:rPr>
          <w:rFonts w:hint="eastAsia" w:ascii="宋体" w:hAnsi="宋体" w:eastAsia="宋体" w:cs="宋体"/>
          <w:b/>
          <w:bCs/>
          <w:color w:val="auto"/>
          <w:spacing w:val="-4"/>
          <w:sz w:val="24"/>
          <w:szCs w:val="24"/>
          <w:highlight w:val="none"/>
        </w:rPr>
        <w:t>格式十一 项目管理机构组成表</w:t>
      </w:r>
      <w:bookmarkEnd w:id="247"/>
    </w:p>
    <w:p w14:paraId="3C7DD617">
      <w:pPr>
        <w:spacing w:before="97" w:line="219" w:lineRule="auto"/>
        <w:ind w:left="3200"/>
        <w:outlineLvl w:val="9"/>
        <w:rPr>
          <w:rFonts w:hint="eastAsia" w:ascii="宋体" w:hAnsi="宋体" w:eastAsia="宋体" w:cs="宋体"/>
          <w:color w:val="auto"/>
          <w:sz w:val="30"/>
          <w:szCs w:val="30"/>
          <w:highlight w:val="none"/>
        </w:rPr>
      </w:pPr>
      <w:bookmarkStart w:id="248" w:name="bookmark158"/>
      <w:bookmarkEnd w:id="248"/>
      <w:bookmarkStart w:id="249" w:name="_Toc19973"/>
      <w:bookmarkStart w:id="250" w:name="_Toc28765"/>
      <w:r>
        <w:rPr>
          <w:rFonts w:hint="eastAsia" w:ascii="宋体" w:hAnsi="宋体" w:eastAsia="宋体" w:cs="宋体"/>
          <w:b/>
          <w:bCs/>
          <w:color w:val="auto"/>
          <w:spacing w:val="-4"/>
          <w:sz w:val="30"/>
          <w:szCs w:val="30"/>
          <w:highlight w:val="none"/>
        </w:rPr>
        <w:t>项目管理机构组成表</w:t>
      </w:r>
      <w:bookmarkEnd w:id="249"/>
      <w:bookmarkEnd w:id="250"/>
    </w:p>
    <w:p w14:paraId="1EDDD763">
      <w:pPr>
        <w:spacing w:before="7"/>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1"/>
              <w:rPr>
                <w:rFonts w:hint="eastAsia" w:ascii="宋体" w:hAnsi="宋体" w:eastAsia="宋体" w:cs="宋体"/>
                <w:color w:val="auto"/>
                <w:sz w:val="24"/>
                <w:szCs w:val="24"/>
                <w:highlight w:val="none"/>
              </w:rPr>
            </w:pPr>
          </w:p>
        </w:tc>
        <w:tc>
          <w:tcPr>
            <w:tcW w:w="1017" w:type="dxa"/>
            <w:vAlign w:val="top"/>
          </w:tcPr>
          <w:p w14:paraId="4EA01CAF">
            <w:pPr>
              <w:pStyle w:val="21"/>
              <w:rPr>
                <w:rFonts w:hint="eastAsia" w:ascii="宋体" w:hAnsi="宋体" w:eastAsia="宋体" w:cs="宋体"/>
                <w:color w:val="auto"/>
                <w:sz w:val="24"/>
                <w:szCs w:val="24"/>
                <w:highlight w:val="none"/>
              </w:rPr>
            </w:pPr>
          </w:p>
        </w:tc>
        <w:tc>
          <w:tcPr>
            <w:tcW w:w="1002" w:type="dxa"/>
            <w:vAlign w:val="top"/>
          </w:tcPr>
          <w:p w14:paraId="784E4E86">
            <w:pPr>
              <w:pStyle w:val="21"/>
              <w:rPr>
                <w:rFonts w:hint="eastAsia" w:ascii="宋体" w:hAnsi="宋体" w:eastAsia="宋体" w:cs="宋体"/>
                <w:color w:val="auto"/>
                <w:sz w:val="24"/>
                <w:szCs w:val="24"/>
                <w:highlight w:val="none"/>
              </w:rPr>
            </w:pPr>
          </w:p>
        </w:tc>
        <w:tc>
          <w:tcPr>
            <w:tcW w:w="1551" w:type="dxa"/>
            <w:vAlign w:val="top"/>
          </w:tcPr>
          <w:p w14:paraId="5F4F3964">
            <w:pPr>
              <w:pStyle w:val="21"/>
              <w:rPr>
                <w:rFonts w:hint="eastAsia" w:ascii="宋体" w:hAnsi="宋体" w:eastAsia="宋体" w:cs="宋体"/>
                <w:color w:val="auto"/>
                <w:sz w:val="24"/>
                <w:szCs w:val="24"/>
                <w:highlight w:val="none"/>
              </w:rPr>
            </w:pPr>
          </w:p>
        </w:tc>
        <w:tc>
          <w:tcPr>
            <w:tcW w:w="1926" w:type="dxa"/>
            <w:vAlign w:val="top"/>
          </w:tcPr>
          <w:p w14:paraId="7E0A4FFA">
            <w:pPr>
              <w:pStyle w:val="21"/>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3B30217">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1"/>
              <w:rPr>
                <w:rFonts w:hint="eastAsia" w:ascii="宋体" w:hAnsi="宋体" w:eastAsia="宋体" w:cs="宋体"/>
                <w:color w:val="auto"/>
                <w:sz w:val="24"/>
                <w:szCs w:val="24"/>
                <w:highlight w:val="none"/>
              </w:rPr>
            </w:pPr>
          </w:p>
        </w:tc>
        <w:tc>
          <w:tcPr>
            <w:tcW w:w="1017" w:type="dxa"/>
            <w:vAlign w:val="top"/>
          </w:tcPr>
          <w:p w14:paraId="13CFB6FB">
            <w:pPr>
              <w:pStyle w:val="21"/>
              <w:rPr>
                <w:rFonts w:hint="eastAsia" w:ascii="宋体" w:hAnsi="宋体" w:eastAsia="宋体" w:cs="宋体"/>
                <w:color w:val="auto"/>
                <w:sz w:val="24"/>
                <w:szCs w:val="24"/>
                <w:highlight w:val="none"/>
              </w:rPr>
            </w:pPr>
          </w:p>
        </w:tc>
        <w:tc>
          <w:tcPr>
            <w:tcW w:w="1002" w:type="dxa"/>
            <w:vAlign w:val="top"/>
          </w:tcPr>
          <w:p w14:paraId="01708B9A">
            <w:pPr>
              <w:pStyle w:val="21"/>
              <w:rPr>
                <w:rFonts w:hint="eastAsia" w:ascii="宋体" w:hAnsi="宋体" w:eastAsia="宋体" w:cs="宋体"/>
                <w:color w:val="auto"/>
                <w:sz w:val="24"/>
                <w:szCs w:val="24"/>
                <w:highlight w:val="none"/>
              </w:rPr>
            </w:pPr>
          </w:p>
        </w:tc>
        <w:tc>
          <w:tcPr>
            <w:tcW w:w="1551" w:type="dxa"/>
            <w:vAlign w:val="top"/>
          </w:tcPr>
          <w:p w14:paraId="2DA12024">
            <w:pPr>
              <w:pStyle w:val="21"/>
              <w:rPr>
                <w:rFonts w:hint="eastAsia" w:ascii="宋体" w:hAnsi="宋体" w:eastAsia="宋体" w:cs="宋体"/>
                <w:color w:val="auto"/>
                <w:sz w:val="24"/>
                <w:szCs w:val="24"/>
                <w:highlight w:val="none"/>
              </w:rPr>
            </w:pPr>
          </w:p>
        </w:tc>
        <w:tc>
          <w:tcPr>
            <w:tcW w:w="1926" w:type="dxa"/>
            <w:vAlign w:val="top"/>
          </w:tcPr>
          <w:p w14:paraId="7E36E9CF">
            <w:pPr>
              <w:pStyle w:val="21"/>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1"/>
              <w:rPr>
                <w:rFonts w:hint="eastAsia" w:ascii="宋体" w:hAnsi="宋体" w:eastAsia="宋体" w:cs="宋体"/>
                <w:color w:val="auto"/>
                <w:sz w:val="24"/>
                <w:szCs w:val="24"/>
                <w:highlight w:val="none"/>
              </w:rPr>
            </w:pPr>
          </w:p>
        </w:tc>
        <w:tc>
          <w:tcPr>
            <w:tcW w:w="1017" w:type="dxa"/>
            <w:vAlign w:val="top"/>
          </w:tcPr>
          <w:p w14:paraId="7B9FA270">
            <w:pPr>
              <w:pStyle w:val="21"/>
              <w:rPr>
                <w:rFonts w:hint="eastAsia" w:ascii="宋体" w:hAnsi="宋体" w:eastAsia="宋体" w:cs="宋体"/>
                <w:color w:val="auto"/>
                <w:sz w:val="24"/>
                <w:szCs w:val="24"/>
                <w:highlight w:val="none"/>
              </w:rPr>
            </w:pPr>
          </w:p>
        </w:tc>
        <w:tc>
          <w:tcPr>
            <w:tcW w:w="1002" w:type="dxa"/>
            <w:vAlign w:val="top"/>
          </w:tcPr>
          <w:p w14:paraId="1060A9BD">
            <w:pPr>
              <w:pStyle w:val="21"/>
              <w:rPr>
                <w:rFonts w:hint="eastAsia" w:ascii="宋体" w:hAnsi="宋体" w:eastAsia="宋体" w:cs="宋体"/>
                <w:color w:val="auto"/>
                <w:sz w:val="24"/>
                <w:szCs w:val="24"/>
                <w:highlight w:val="none"/>
              </w:rPr>
            </w:pPr>
          </w:p>
        </w:tc>
        <w:tc>
          <w:tcPr>
            <w:tcW w:w="1551" w:type="dxa"/>
            <w:vAlign w:val="top"/>
          </w:tcPr>
          <w:p w14:paraId="5301968F">
            <w:pPr>
              <w:pStyle w:val="21"/>
              <w:rPr>
                <w:rFonts w:hint="eastAsia" w:ascii="宋体" w:hAnsi="宋体" w:eastAsia="宋体" w:cs="宋体"/>
                <w:color w:val="auto"/>
                <w:sz w:val="24"/>
                <w:szCs w:val="24"/>
                <w:highlight w:val="none"/>
              </w:rPr>
            </w:pPr>
          </w:p>
        </w:tc>
        <w:tc>
          <w:tcPr>
            <w:tcW w:w="1926" w:type="dxa"/>
            <w:vAlign w:val="top"/>
          </w:tcPr>
          <w:p w14:paraId="6D41F555">
            <w:pPr>
              <w:pStyle w:val="21"/>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1"/>
              <w:rPr>
                <w:rFonts w:hint="eastAsia" w:ascii="宋体" w:hAnsi="宋体" w:eastAsia="宋体" w:cs="宋体"/>
                <w:color w:val="auto"/>
                <w:sz w:val="24"/>
                <w:szCs w:val="24"/>
                <w:highlight w:val="none"/>
              </w:rPr>
            </w:pPr>
          </w:p>
        </w:tc>
        <w:tc>
          <w:tcPr>
            <w:tcW w:w="1017" w:type="dxa"/>
            <w:vAlign w:val="top"/>
          </w:tcPr>
          <w:p w14:paraId="34BD54A5">
            <w:pPr>
              <w:pStyle w:val="21"/>
              <w:rPr>
                <w:rFonts w:hint="eastAsia" w:ascii="宋体" w:hAnsi="宋体" w:eastAsia="宋体" w:cs="宋体"/>
                <w:color w:val="auto"/>
                <w:sz w:val="24"/>
                <w:szCs w:val="24"/>
                <w:highlight w:val="none"/>
              </w:rPr>
            </w:pPr>
          </w:p>
        </w:tc>
        <w:tc>
          <w:tcPr>
            <w:tcW w:w="1002" w:type="dxa"/>
            <w:vAlign w:val="top"/>
          </w:tcPr>
          <w:p w14:paraId="35F0DD07">
            <w:pPr>
              <w:pStyle w:val="21"/>
              <w:rPr>
                <w:rFonts w:hint="eastAsia" w:ascii="宋体" w:hAnsi="宋体" w:eastAsia="宋体" w:cs="宋体"/>
                <w:color w:val="auto"/>
                <w:sz w:val="24"/>
                <w:szCs w:val="24"/>
                <w:highlight w:val="none"/>
              </w:rPr>
            </w:pPr>
          </w:p>
        </w:tc>
        <w:tc>
          <w:tcPr>
            <w:tcW w:w="1551" w:type="dxa"/>
            <w:vAlign w:val="top"/>
          </w:tcPr>
          <w:p w14:paraId="267F23C7">
            <w:pPr>
              <w:pStyle w:val="21"/>
              <w:rPr>
                <w:rFonts w:hint="eastAsia" w:ascii="宋体" w:hAnsi="宋体" w:eastAsia="宋体" w:cs="宋体"/>
                <w:color w:val="auto"/>
                <w:sz w:val="24"/>
                <w:szCs w:val="24"/>
                <w:highlight w:val="none"/>
              </w:rPr>
            </w:pPr>
          </w:p>
        </w:tc>
        <w:tc>
          <w:tcPr>
            <w:tcW w:w="1926" w:type="dxa"/>
            <w:vAlign w:val="top"/>
          </w:tcPr>
          <w:p w14:paraId="20919564">
            <w:pPr>
              <w:pStyle w:val="21"/>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1"/>
              <w:rPr>
                <w:rFonts w:hint="eastAsia" w:ascii="宋体" w:hAnsi="宋体" w:eastAsia="宋体" w:cs="宋体"/>
                <w:color w:val="auto"/>
                <w:sz w:val="24"/>
                <w:szCs w:val="24"/>
                <w:highlight w:val="none"/>
              </w:rPr>
            </w:pPr>
          </w:p>
        </w:tc>
        <w:tc>
          <w:tcPr>
            <w:tcW w:w="1017" w:type="dxa"/>
            <w:vAlign w:val="top"/>
          </w:tcPr>
          <w:p w14:paraId="28C0AB4F">
            <w:pPr>
              <w:pStyle w:val="21"/>
              <w:rPr>
                <w:rFonts w:hint="eastAsia" w:ascii="宋体" w:hAnsi="宋体" w:eastAsia="宋体" w:cs="宋体"/>
                <w:color w:val="auto"/>
                <w:sz w:val="24"/>
                <w:szCs w:val="24"/>
                <w:highlight w:val="none"/>
              </w:rPr>
            </w:pPr>
          </w:p>
        </w:tc>
        <w:tc>
          <w:tcPr>
            <w:tcW w:w="1002" w:type="dxa"/>
            <w:vAlign w:val="top"/>
          </w:tcPr>
          <w:p w14:paraId="4F2CE8AB">
            <w:pPr>
              <w:pStyle w:val="21"/>
              <w:rPr>
                <w:rFonts w:hint="eastAsia" w:ascii="宋体" w:hAnsi="宋体" w:eastAsia="宋体" w:cs="宋体"/>
                <w:color w:val="auto"/>
                <w:sz w:val="24"/>
                <w:szCs w:val="24"/>
                <w:highlight w:val="none"/>
              </w:rPr>
            </w:pPr>
          </w:p>
        </w:tc>
        <w:tc>
          <w:tcPr>
            <w:tcW w:w="1551" w:type="dxa"/>
            <w:vAlign w:val="top"/>
          </w:tcPr>
          <w:p w14:paraId="0E48A750">
            <w:pPr>
              <w:pStyle w:val="21"/>
              <w:rPr>
                <w:rFonts w:hint="eastAsia" w:ascii="宋体" w:hAnsi="宋体" w:eastAsia="宋体" w:cs="宋体"/>
                <w:color w:val="auto"/>
                <w:sz w:val="24"/>
                <w:szCs w:val="24"/>
                <w:highlight w:val="none"/>
              </w:rPr>
            </w:pPr>
          </w:p>
        </w:tc>
        <w:tc>
          <w:tcPr>
            <w:tcW w:w="1926" w:type="dxa"/>
            <w:vAlign w:val="top"/>
          </w:tcPr>
          <w:p w14:paraId="23F7D129">
            <w:pPr>
              <w:pStyle w:val="21"/>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1"/>
              <w:rPr>
                <w:rFonts w:hint="eastAsia" w:ascii="宋体" w:hAnsi="宋体" w:eastAsia="宋体" w:cs="宋体"/>
                <w:color w:val="auto"/>
                <w:sz w:val="24"/>
                <w:szCs w:val="24"/>
                <w:highlight w:val="none"/>
              </w:rPr>
            </w:pPr>
          </w:p>
        </w:tc>
        <w:tc>
          <w:tcPr>
            <w:tcW w:w="1017" w:type="dxa"/>
            <w:vAlign w:val="top"/>
          </w:tcPr>
          <w:p w14:paraId="22CBD8CF">
            <w:pPr>
              <w:pStyle w:val="21"/>
              <w:rPr>
                <w:rFonts w:hint="eastAsia" w:ascii="宋体" w:hAnsi="宋体" w:eastAsia="宋体" w:cs="宋体"/>
                <w:color w:val="auto"/>
                <w:sz w:val="24"/>
                <w:szCs w:val="24"/>
                <w:highlight w:val="none"/>
              </w:rPr>
            </w:pPr>
          </w:p>
        </w:tc>
        <w:tc>
          <w:tcPr>
            <w:tcW w:w="1002" w:type="dxa"/>
            <w:vAlign w:val="top"/>
          </w:tcPr>
          <w:p w14:paraId="215EF28A">
            <w:pPr>
              <w:pStyle w:val="21"/>
              <w:rPr>
                <w:rFonts w:hint="eastAsia" w:ascii="宋体" w:hAnsi="宋体" w:eastAsia="宋体" w:cs="宋体"/>
                <w:color w:val="auto"/>
                <w:sz w:val="24"/>
                <w:szCs w:val="24"/>
                <w:highlight w:val="none"/>
              </w:rPr>
            </w:pPr>
          </w:p>
        </w:tc>
        <w:tc>
          <w:tcPr>
            <w:tcW w:w="1551" w:type="dxa"/>
            <w:vAlign w:val="top"/>
          </w:tcPr>
          <w:p w14:paraId="4B59D5A3">
            <w:pPr>
              <w:pStyle w:val="21"/>
              <w:rPr>
                <w:rFonts w:hint="eastAsia" w:ascii="宋体" w:hAnsi="宋体" w:eastAsia="宋体" w:cs="宋体"/>
                <w:color w:val="auto"/>
                <w:sz w:val="24"/>
                <w:szCs w:val="24"/>
                <w:highlight w:val="none"/>
              </w:rPr>
            </w:pPr>
          </w:p>
        </w:tc>
        <w:tc>
          <w:tcPr>
            <w:tcW w:w="1926" w:type="dxa"/>
            <w:vAlign w:val="top"/>
          </w:tcPr>
          <w:p w14:paraId="6D3A902C">
            <w:pPr>
              <w:pStyle w:val="21"/>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1"/>
              <w:rPr>
                <w:rFonts w:hint="eastAsia" w:ascii="宋体" w:hAnsi="宋体" w:eastAsia="宋体" w:cs="宋体"/>
                <w:color w:val="auto"/>
                <w:sz w:val="24"/>
                <w:szCs w:val="24"/>
                <w:highlight w:val="none"/>
              </w:rPr>
            </w:pPr>
          </w:p>
        </w:tc>
        <w:tc>
          <w:tcPr>
            <w:tcW w:w="1017" w:type="dxa"/>
            <w:vAlign w:val="top"/>
          </w:tcPr>
          <w:p w14:paraId="6F5A3CD1">
            <w:pPr>
              <w:pStyle w:val="21"/>
              <w:rPr>
                <w:rFonts w:hint="eastAsia" w:ascii="宋体" w:hAnsi="宋体" w:eastAsia="宋体" w:cs="宋体"/>
                <w:color w:val="auto"/>
                <w:sz w:val="24"/>
                <w:szCs w:val="24"/>
                <w:highlight w:val="none"/>
              </w:rPr>
            </w:pPr>
          </w:p>
        </w:tc>
        <w:tc>
          <w:tcPr>
            <w:tcW w:w="1002" w:type="dxa"/>
            <w:vAlign w:val="top"/>
          </w:tcPr>
          <w:p w14:paraId="0A3F0696">
            <w:pPr>
              <w:pStyle w:val="21"/>
              <w:rPr>
                <w:rFonts w:hint="eastAsia" w:ascii="宋体" w:hAnsi="宋体" w:eastAsia="宋体" w:cs="宋体"/>
                <w:color w:val="auto"/>
                <w:sz w:val="24"/>
                <w:szCs w:val="24"/>
                <w:highlight w:val="none"/>
              </w:rPr>
            </w:pPr>
          </w:p>
        </w:tc>
        <w:tc>
          <w:tcPr>
            <w:tcW w:w="1551" w:type="dxa"/>
            <w:vAlign w:val="top"/>
          </w:tcPr>
          <w:p w14:paraId="33CF7C3A">
            <w:pPr>
              <w:pStyle w:val="21"/>
              <w:rPr>
                <w:rFonts w:hint="eastAsia" w:ascii="宋体" w:hAnsi="宋体" w:eastAsia="宋体" w:cs="宋体"/>
                <w:color w:val="auto"/>
                <w:sz w:val="24"/>
                <w:szCs w:val="24"/>
                <w:highlight w:val="none"/>
              </w:rPr>
            </w:pPr>
          </w:p>
        </w:tc>
        <w:tc>
          <w:tcPr>
            <w:tcW w:w="1926" w:type="dxa"/>
            <w:vAlign w:val="top"/>
          </w:tcPr>
          <w:p w14:paraId="2FDF9A49">
            <w:pPr>
              <w:pStyle w:val="21"/>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1"/>
              <w:rPr>
                <w:rFonts w:hint="eastAsia" w:ascii="宋体" w:hAnsi="宋体" w:eastAsia="宋体" w:cs="宋体"/>
                <w:color w:val="auto"/>
                <w:sz w:val="24"/>
                <w:szCs w:val="24"/>
                <w:highlight w:val="none"/>
              </w:rPr>
            </w:pPr>
          </w:p>
        </w:tc>
        <w:tc>
          <w:tcPr>
            <w:tcW w:w="1567" w:type="dxa"/>
            <w:vAlign w:val="top"/>
          </w:tcPr>
          <w:p w14:paraId="6B481C93">
            <w:pPr>
              <w:pStyle w:val="21"/>
              <w:rPr>
                <w:rFonts w:hint="eastAsia" w:ascii="宋体" w:hAnsi="宋体" w:eastAsia="宋体" w:cs="宋体"/>
                <w:color w:val="auto"/>
                <w:sz w:val="24"/>
                <w:szCs w:val="24"/>
                <w:highlight w:val="none"/>
              </w:rPr>
            </w:pPr>
          </w:p>
        </w:tc>
        <w:tc>
          <w:tcPr>
            <w:tcW w:w="1017" w:type="dxa"/>
            <w:vAlign w:val="top"/>
          </w:tcPr>
          <w:p w14:paraId="2186C8F6">
            <w:pPr>
              <w:pStyle w:val="21"/>
              <w:rPr>
                <w:rFonts w:hint="eastAsia" w:ascii="宋体" w:hAnsi="宋体" w:eastAsia="宋体" w:cs="宋体"/>
                <w:color w:val="auto"/>
                <w:sz w:val="24"/>
                <w:szCs w:val="24"/>
                <w:highlight w:val="none"/>
              </w:rPr>
            </w:pPr>
          </w:p>
        </w:tc>
        <w:tc>
          <w:tcPr>
            <w:tcW w:w="1002" w:type="dxa"/>
            <w:vAlign w:val="top"/>
          </w:tcPr>
          <w:p w14:paraId="458500AA">
            <w:pPr>
              <w:pStyle w:val="21"/>
              <w:rPr>
                <w:rFonts w:hint="eastAsia" w:ascii="宋体" w:hAnsi="宋体" w:eastAsia="宋体" w:cs="宋体"/>
                <w:color w:val="auto"/>
                <w:sz w:val="24"/>
                <w:szCs w:val="24"/>
                <w:highlight w:val="none"/>
              </w:rPr>
            </w:pPr>
          </w:p>
        </w:tc>
        <w:tc>
          <w:tcPr>
            <w:tcW w:w="1551" w:type="dxa"/>
            <w:vAlign w:val="top"/>
          </w:tcPr>
          <w:p w14:paraId="69CC634F">
            <w:pPr>
              <w:pStyle w:val="21"/>
              <w:rPr>
                <w:rFonts w:hint="eastAsia" w:ascii="宋体" w:hAnsi="宋体" w:eastAsia="宋体" w:cs="宋体"/>
                <w:color w:val="auto"/>
                <w:sz w:val="24"/>
                <w:szCs w:val="24"/>
                <w:highlight w:val="none"/>
              </w:rPr>
            </w:pPr>
          </w:p>
        </w:tc>
        <w:tc>
          <w:tcPr>
            <w:tcW w:w="1926" w:type="dxa"/>
            <w:vAlign w:val="top"/>
          </w:tcPr>
          <w:p w14:paraId="0E3F8717">
            <w:pPr>
              <w:pStyle w:val="21"/>
              <w:rPr>
                <w:rFonts w:hint="eastAsia" w:ascii="宋体" w:hAnsi="宋体" w:eastAsia="宋体" w:cs="宋体"/>
                <w:color w:val="auto"/>
                <w:sz w:val="24"/>
                <w:szCs w:val="24"/>
                <w:highlight w:val="none"/>
              </w:rPr>
            </w:pPr>
          </w:p>
        </w:tc>
      </w:tr>
    </w:tbl>
    <w:p w14:paraId="2C506F4A">
      <w:pPr>
        <w:pStyle w:val="5"/>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p>
    <w:p w14:paraId="48D3ED7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lang w:val="en-US" w:eastAsia="zh-CN"/>
        </w:rPr>
        <w:t>.</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5D1DDFC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2"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53B8EA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至少1个月，其中必须有2026年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512" w:firstLineChars="200"/>
        <w:textAlignment w:val="baseline"/>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7D04B8D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5"/>
        <w:spacing w:line="248" w:lineRule="auto"/>
        <w:rPr>
          <w:rFonts w:hint="eastAsia" w:ascii="宋体" w:hAnsi="宋体" w:eastAsia="宋体" w:cs="宋体"/>
          <w:color w:val="auto"/>
          <w:sz w:val="24"/>
          <w:szCs w:val="24"/>
          <w:highlight w:val="none"/>
        </w:rPr>
      </w:pPr>
    </w:p>
    <w:p w14:paraId="67BB345D">
      <w:pPr>
        <w:pStyle w:val="5"/>
        <w:spacing w:line="248" w:lineRule="auto"/>
        <w:rPr>
          <w:rFonts w:hint="eastAsia" w:ascii="宋体" w:hAnsi="宋体" w:eastAsia="宋体" w:cs="宋体"/>
          <w:color w:val="auto"/>
          <w:sz w:val="24"/>
          <w:szCs w:val="24"/>
          <w:highlight w:val="none"/>
        </w:rPr>
      </w:pP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251" w:name="_Toc16480"/>
      <w:r>
        <w:rPr>
          <w:rFonts w:hint="eastAsia" w:ascii="宋体" w:hAnsi="宋体" w:eastAsia="宋体" w:cs="宋体"/>
          <w:b/>
          <w:bCs/>
          <w:color w:val="auto"/>
          <w:spacing w:val="-4"/>
          <w:sz w:val="24"/>
          <w:szCs w:val="24"/>
          <w:highlight w:val="none"/>
        </w:rPr>
        <w:t>格式十二 建造师查询页（有效期+建造师签字）</w:t>
      </w:r>
      <w:bookmarkEnd w:id="251"/>
    </w:p>
    <w:p w14:paraId="4BF78307">
      <w:pPr>
        <w:rPr>
          <w:rFonts w:hint="eastAsia"/>
        </w:rPr>
      </w:pPr>
    </w:p>
    <w:p w14:paraId="135EB9FF">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1"/>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auto"/>
          <w:highlight w:val="none"/>
        </w:rPr>
        <w:sectPr>
          <w:footerReference r:id="rId22" w:type="default"/>
          <w:pgSz w:w="11906" w:h="16839"/>
          <w:pgMar w:top="1440" w:right="1080" w:bottom="1440" w:left="1080" w:header="567" w:footer="567" w:gutter="0"/>
          <w:pgBorders>
            <w:top w:val="none" w:sz="0" w:space="0"/>
            <w:left w:val="none" w:sz="0" w:space="0"/>
            <w:bottom w:val="none" w:sz="0" w:space="0"/>
            <w:right w:val="none" w:sz="0" w:space="0"/>
          </w:pgBorders>
          <w:cols w:space="720" w:num="1"/>
        </w:sectPr>
      </w:pPr>
    </w:p>
    <w:p w14:paraId="6807325D">
      <w:pPr>
        <w:spacing w:before="78" w:line="220" w:lineRule="auto"/>
        <w:outlineLvl w:val="2"/>
        <w:rPr>
          <w:rFonts w:hint="eastAsia" w:ascii="宋体" w:hAnsi="宋体" w:eastAsia="宋体" w:cs="宋体"/>
          <w:b/>
          <w:bCs/>
          <w:color w:val="auto"/>
          <w:spacing w:val="-4"/>
          <w:sz w:val="24"/>
          <w:szCs w:val="24"/>
          <w:highlight w:val="none"/>
        </w:rPr>
      </w:pPr>
      <w:bookmarkStart w:id="252" w:name="_Toc28779"/>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52"/>
    </w:p>
    <w:p w14:paraId="4A8056AD">
      <w:pPr>
        <w:pStyle w:val="5"/>
        <w:spacing w:line="269" w:lineRule="auto"/>
        <w:rPr>
          <w:rFonts w:hint="eastAsia" w:ascii="宋体" w:hAnsi="宋体" w:eastAsia="宋体" w:cs="宋体"/>
          <w:color w:val="auto"/>
          <w:highlight w:val="none"/>
        </w:rPr>
      </w:pPr>
    </w:p>
    <w:p w14:paraId="6BF95D02">
      <w:pPr>
        <w:keepNext w:val="0"/>
        <w:keepLines w:val="0"/>
        <w:pageBreakBefore w:val="0"/>
        <w:widowControl/>
        <w:tabs>
          <w:tab w:val="left" w:pos="2940"/>
        </w:tabs>
        <w:kinsoku w:val="0"/>
        <w:wordWrap/>
        <w:overflowPunct/>
        <w:topLinePunct w:val="0"/>
        <w:autoSpaceDE w:val="0"/>
        <w:autoSpaceDN w:val="0"/>
        <w:bidi w:val="0"/>
        <w:adjustRightInd w:val="0"/>
        <w:snapToGrid w:val="0"/>
        <w:spacing w:line="360" w:lineRule="auto"/>
        <w:ind w:left="0" w:leftChars="0" w:right="0" w:firstLine="510" w:firstLineChars="200"/>
        <w:jc w:val="center"/>
        <w:textAlignment w:val="baseline"/>
        <w:rPr>
          <w:rFonts w:hint="eastAsia" w:ascii="宋体" w:hAnsi="宋体" w:eastAsia="宋体" w:cs="宋体"/>
          <w:color w:val="auto"/>
          <w:sz w:val="24"/>
          <w:szCs w:val="24"/>
          <w:highlight w:val="none"/>
        </w:rPr>
      </w:pPr>
      <w:bookmarkStart w:id="253" w:name="bookmark160"/>
      <w:bookmarkEnd w:id="253"/>
      <w:bookmarkStart w:id="254" w:name="OLE_LINK41"/>
      <w:r>
        <w:rPr>
          <w:rFonts w:hint="eastAsia" w:ascii="宋体" w:hAnsi="宋体" w:eastAsia="宋体" w:cs="宋体"/>
          <w:b/>
          <w:bCs/>
          <w:color w:val="auto"/>
          <w:spacing w:val="7"/>
          <w:sz w:val="24"/>
          <w:szCs w:val="24"/>
          <w:highlight w:val="none"/>
        </w:rPr>
        <w:t>危险性较大的分部分项工程清单及超过一定规模的危险性较大的</w:t>
      </w:r>
      <w:r>
        <w:rPr>
          <w:rFonts w:hint="eastAsia" w:ascii="宋体" w:hAnsi="宋体" w:eastAsia="宋体" w:cs="宋体"/>
          <w:b/>
          <w:bCs/>
          <w:color w:val="auto"/>
          <w:spacing w:val="5"/>
          <w:sz w:val="24"/>
          <w:szCs w:val="24"/>
          <w:highlight w:val="none"/>
        </w:rPr>
        <w:t>分部分项工程清单</w:t>
      </w:r>
    </w:p>
    <w:bookmarkEnd w:id="254"/>
    <w:p w14:paraId="73F326B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1DC88D3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360030D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4935E08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47CE10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34A6CA4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6"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24405FA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6259503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8" w:firstLineChars="200"/>
        <w:textAlignment w:val="baseline"/>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p w14:paraId="3E4BB257">
      <w:pPr>
        <w:spacing w:before="40"/>
        <w:rPr>
          <w:rFonts w:hint="eastAsia" w:ascii="宋体" w:hAnsi="宋体" w:eastAsia="宋体" w:cs="宋体"/>
          <w:color w:val="auto"/>
          <w:highlight w:val="none"/>
        </w:rPr>
      </w:pPr>
    </w:p>
    <w:tbl>
      <w:tblPr>
        <w:tblStyle w:val="14"/>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27FF4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B26D5DC">
            <w:pPr>
              <w:spacing w:before="133" w:line="220" w:lineRule="auto"/>
              <w:ind w:firstLine="235" w:firstLineChars="1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7FABA18C">
            <w:pPr>
              <w:spacing w:before="133" w:line="221" w:lineRule="auto"/>
              <w:ind w:left="20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350FCB31">
            <w:pPr>
              <w:spacing w:before="133" w:line="221" w:lineRule="auto"/>
              <w:ind w:left="205" w:leftChars="0"/>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3E269D90">
            <w:pPr>
              <w:spacing w:before="133" w:line="222" w:lineRule="auto"/>
              <w:ind w:left="360" w:leftChars="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791A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A01D90">
            <w:pPr>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13602047">
            <w:pP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55" w:name="OLE_LINK39"/>
            <w:r>
              <w:rPr>
                <w:rFonts w:hint="eastAsia" w:ascii="宋体" w:hAnsi="宋体" w:eastAsia="宋体" w:cs="宋体"/>
                <w:color w:val="auto"/>
                <w:spacing w:val="5"/>
                <w:sz w:val="24"/>
                <w:szCs w:val="24"/>
                <w:highlight w:val="none"/>
              </w:rPr>
              <w:t xml:space="preserve">  </w:t>
            </w:r>
            <w:bookmarkEnd w:id="255"/>
            <w:r>
              <w:rPr>
                <w:rFonts w:hint="eastAsia" w:ascii="宋体" w:hAnsi="宋体" w:eastAsia="宋体" w:cs="宋体"/>
                <w:color w:val="auto"/>
                <w:spacing w:val="-19"/>
                <w:w w:val="94"/>
                <w:sz w:val="24"/>
                <w:szCs w:val="24"/>
                <w:highlight w:val="none"/>
              </w:rPr>
              <w:t>)</w:t>
            </w:r>
          </w:p>
        </w:tc>
        <w:tc>
          <w:tcPr>
            <w:tcW w:w="1294" w:type="dxa"/>
            <w:vAlign w:val="top"/>
          </w:tcPr>
          <w:p w14:paraId="6590122D">
            <w:pPr>
              <w:spacing w:before="12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7C5177">
            <w:pPr>
              <w:pStyle w:val="21"/>
              <w:rPr>
                <w:rFonts w:hint="eastAsia" w:ascii="宋体" w:hAnsi="宋体" w:eastAsia="宋体" w:cs="宋体"/>
                <w:color w:val="auto"/>
                <w:highlight w:val="none"/>
              </w:rPr>
            </w:pPr>
          </w:p>
        </w:tc>
      </w:tr>
      <w:tr w14:paraId="5B4AB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2AFB183">
            <w:pPr>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5EEDD4FC">
            <w:pPr>
              <w:pStyle w:val="21"/>
              <w:spacing w:line="297" w:lineRule="auto"/>
              <w:rPr>
                <w:rFonts w:hint="eastAsia" w:ascii="宋体" w:hAnsi="宋体" w:eastAsia="宋体" w:cs="宋体"/>
                <w:color w:val="auto"/>
                <w:highlight w:val="none"/>
              </w:rPr>
            </w:pPr>
          </w:p>
          <w:p w14:paraId="0E5A3F62">
            <w:pPr>
              <w:spacing w:before="78" w:line="223" w:lineRule="auto"/>
              <w:ind w:left="39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3A8ADC1">
            <w:pPr>
              <w:pStyle w:val="21"/>
              <w:spacing w:line="297" w:lineRule="auto"/>
              <w:rPr>
                <w:rFonts w:hint="eastAsia" w:ascii="宋体" w:hAnsi="宋体" w:eastAsia="宋体" w:cs="宋体"/>
                <w:color w:val="auto"/>
                <w:highlight w:val="none"/>
              </w:rPr>
            </w:pPr>
          </w:p>
          <w:p w14:paraId="3ED7F037">
            <w:pPr>
              <w:spacing w:before="7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844507">
            <w:pPr>
              <w:pStyle w:val="21"/>
              <w:rPr>
                <w:rFonts w:hint="eastAsia" w:ascii="宋体" w:hAnsi="宋体" w:eastAsia="宋体" w:cs="宋体"/>
                <w:color w:val="auto"/>
                <w:highlight w:val="none"/>
              </w:rPr>
            </w:pPr>
          </w:p>
        </w:tc>
      </w:tr>
      <w:tr w14:paraId="798E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253A00">
            <w:pPr>
              <w:spacing w:before="132" w:line="354" w:lineRule="auto"/>
              <w:ind w:left="116" w:right="108" w:firstLine="11"/>
              <w:jc w:val="both"/>
              <w:rPr>
                <w:rFonts w:hint="eastAsia" w:ascii="宋体" w:hAnsi="宋体" w:eastAsia="宋体" w:cs="宋体"/>
                <w:color w:val="auto"/>
                <w:sz w:val="24"/>
                <w:szCs w:val="24"/>
                <w:highlight w:val="none"/>
              </w:rPr>
            </w:pPr>
            <w:bookmarkStart w:id="256" w:name="bookmark161"/>
            <w:bookmarkEnd w:id="256"/>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092F9FFB">
            <w:pPr>
              <w:pStyle w:val="21"/>
              <w:spacing w:line="263" w:lineRule="auto"/>
              <w:rPr>
                <w:rFonts w:hint="eastAsia" w:ascii="宋体" w:hAnsi="宋体" w:eastAsia="宋体" w:cs="宋体"/>
                <w:color w:val="auto"/>
                <w:highlight w:val="none"/>
              </w:rPr>
            </w:pPr>
          </w:p>
          <w:p w14:paraId="1C25F382">
            <w:pPr>
              <w:pStyle w:val="21"/>
              <w:spacing w:line="263" w:lineRule="auto"/>
              <w:rPr>
                <w:rFonts w:hint="eastAsia" w:ascii="宋体" w:hAnsi="宋体" w:eastAsia="宋体" w:cs="宋体"/>
                <w:color w:val="auto"/>
                <w:highlight w:val="none"/>
              </w:rPr>
            </w:pPr>
          </w:p>
          <w:p w14:paraId="6C433F14">
            <w:pPr>
              <w:pStyle w:val="21"/>
              <w:spacing w:line="264" w:lineRule="auto"/>
              <w:rPr>
                <w:rFonts w:hint="eastAsia" w:ascii="宋体" w:hAnsi="宋体" w:eastAsia="宋体" w:cs="宋体"/>
                <w:color w:val="auto"/>
                <w:highlight w:val="none"/>
              </w:rPr>
            </w:pPr>
          </w:p>
          <w:p w14:paraId="1703ABF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57" w:name="OLE_LINK40"/>
            <w:r>
              <w:rPr>
                <w:rFonts w:hint="eastAsia" w:ascii="宋体" w:hAnsi="宋体" w:eastAsia="宋体" w:cs="宋体"/>
                <w:color w:val="auto"/>
                <w:spacing w:val="2"/>
                <w:sz w:val="24"/>
                <w:szCs w:val="24"/>
                <w:highlight w:val="none"/>
              </w:rPr>
              <w:t xml:space="preserve">     </w:t>
            </w:r>
            <w:bookmarkEnd w:id="257"/>
            <w:r>
              <w:rPr>
                <w:rFonts w:hint="eastAsia" w:ascii="宋体" w:hAnsi="宋体" w:eastAsia="宋体" w:cs="宋体"/>
                <w:color w:val="auto"/>
                <w:spacing w:val="-19"/>
                <w:w w:val="94"/>
                <w:sz w:val="24"/>
                <w:szCs w:val="24"/>
                <w:highlight w:val="none"/>
              </w:rPr>
              <w:t>)</w:t>
            </w:r>
          </w:p>
        </w:tc>
        <w:tc>
          <w:tcPr>
            <w:tcW w:w="1294" w:type="dxa"/>
            <w:vAlign w:val="top"/>
          </w:tcPr>
          <w:p w14:paraId="27A5AB03">
            <w:pPr>
              <w:pStyle w:val="21"/>
              <w:spacing w:line="263" w:lineRule="auto"/>
              <w:rPr>
                <w:rFonts w:hint="eastAsia" w:ascii="宋体" w:hAnsi="宋体" w:eastAsia="宋体" w:cs="宋体"/>
                <w:color w:val="auto"/>
                <w:highlight w:val="none"/>
              </w:rPr>
            </w:pPr>
          </w:p>
          <w:p w14:paraId="2C8EDC97">
            <w:pPr>
              <w:pStyle w:val="21"/>
              <w:spacing w:line="263" w:lineRule="auto"/>
              <w:rPr>
                <w:rFonts w:hint="eastAsia" w:ascii="宋体" w:hAnsi="宋体" w:eastAsia="宋体" w:cs="宋体"/>
                <w:color w:val="auto"/>
                <w:highlight w:val="none"/>
              </w:rPr>
            </w:pPr>
          </w:p>
          <w:p w14:paraId="1A88AF32">
            <w:pPr>
              <w:pStyle w:val="21"/>
              <w:spacing w:line="264" w:lineRule="auto"/>
              <w:rPr>
                <w:rFonts w:hint="eastAsia" w:ascii="宋体" w:hAnsi="宋体" w:eastAsia="宋体" w:cs="宋体"/>
                <w:color w:val="auto"/>
                <w:highlight w:val="none"/>
              </w:rPr>
            </w:pPr>
          </w:p>
          <w:p w14:paraId="7BCE62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CE42E4">
            <w:pPr>
              <w:pStyle w:val="21"/>
              <w:rPr>
                <w:rFonts w:hint="eastAsia" w:ascii="宋体" w:hAnsi="宋体" w:eastAsia="宋体" w:cs="宋体"/>
                <w:color w:val="auto"/>
                <w:highlight w:val="none"/>
              </w:rPr>
            </w:pPr>
          </w:p>
        </w:tc>
      </w:tr>
      <w:tr w14:paraId="13D60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1ACA2D">
            <w:pPr>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013D7C49">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E30F9F">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BFA85A5">
            <w:pPr>
              <w:pStyle w:val="21"/>
              <w:rPr>
                <w:rFonts w:hint="eastAsia" w:ascii="宋体" w:hAnsi="宋体" w:eastAsia="宋体" w:cs="宋体"/>
                <w:color w:val="auto"/>
                <w:highlight w:val="none"/>
              </w:rPr>
            </w:pPr>
          </w:p>
        </w:tc>
      </w:tr>
      <w:tr w14:paraId="21CEA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886AEA5">
            <w:pPr>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1F482D0">
            <w:pPr>
              <w:pStyle w:val="21"/>
              <w:spacing w:line="293" w:lineRule="auto"/>
              <w:rPr>
                <w:rFonts w:hint="eastAsia" w:ascii="宋体" w:hAnsi="宋体" w:eastAsia="宋体" w:cs="宋体"/>
                <w:color w:val="auto"/>
                <w:highlight w:val="none"/>
              </w:rPr>
            </w:pPr>
          </w:p>
          <w:p w14:paraId="7F64793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D856E2E">
            <w:pPr>
              <w:pStyle w:val="21"/>
              <w:spacing w:line="293" w:lineRule="auto"/>
              <w:rPr>
                <w:rFonts w:hint="eastAsia" w:ascii="宋体" w:hAnsi="宋体" w:eastAsia="宋体" w:cs="宋体"/>
                <w:color w:val="auto"/>
                <w:highlight w:val="none"/>
              </w:rPr>
            </w:pPr>
          </w:p>
          <w:p w14:paraId="1BBC59B1">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2A8AE3">
            <w:pPr>
              <w:pStyle w:val="21"/>
              <w:rPr>
                <w:rFonts w:hint="eastAsia" w:ascii="宋体" w:hAnsi="宋体" w:eastAsia="宋体" w:cs="宋体"/>
                <w:color w:val="auto"/>
                <w:highlight w:val="none"/>
              </w:rPr>
            </w:pPr>
          </w:p>
        </w:tc>
      </w:tr>
      <w:tr w14:paraId="7A255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FBDC893">
            <w:pPr>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vAlign w:val="top"/>
          </w:tcPr>
          <w:p w14:paraId="0AC76692">
            <w:pPr>
              <w:pStyle w:val="21"/>
              <w:spacing w:line="255" w:lineRule="auto"/>
              <w:rPr>
                <w:rFonts w:hint="eastAsia" w:ascii="宋体" w:hAnsi="宋体" w:eastAsia="宋体" w:cs="宋体"/>
                <w:color w:val="auto"/>
                <w:highlight w:val="none"/>
              </w:rPr>
            </w:pPr>
          </w:p>
          <w:p w14:paraId="06A69DBD">
            <w:pPr>
              <w:pStyle w:val="21"/>
              <w:spacing w:line="255" w:lineRule="auto"/>
              <w:rPr>
                <w:rFonts w:hint="eastAsia" w:ascii="宋体" w:hAnsi="宋体" w:eastAsia="宋体" w:cs="宋体"/>
                <w:color w:val="auto"/>
                <w:highlight w:val="none"/>
              </w:rPr>
            </w:pPr>
          </w:p>
          <w:p w14:paraId="5F44AC94">
            <w:pPr>
              <w:pStyle w:val="21"/>
              <w:spacing w:line="255" w:lineRule="auto"/>
              <w:rPr>
                <w:rFonts w:hint="eastAsia" w:ascii="宋体" w:hAnsi="宋体" w:eastAsia="宋体" w:cs="宋体"/>
                <w:color w:val="auto"/>
                <w:highlight w:val="none"/>
              </w:rPr>
            </w:pPr>
          </w:p>
          <w:p w14:paraId="117E02D8">
            <w:pPr>
              <w:pStyle w:val="21"/>
              <w:spacing w:line="255" w:lineRule="auto"/>
              <w:rPr>
                <w:rFonts w:hint="eastAsia" w:ascii="宋体" w:hAnsi="宋体" w:eastAsia="宋体" w:cs="宋体"/>
                <w:color w:val="auto"/>
                <w:highlight w:val="none"/>
              </w:rPr>
            </w:pPr>
          </w:p>
          <w:p w14:paraId="58924DBB">
            <w:pPr>
              <w:pStyle w:val="21"/>
              <w:spacing w:line="256" w:lineRule="auto"/>
              <w:rPr>
                <w:rFonts w:hint="eastAsia" w:ascii="宋体" w:hAnsi="宋体" w:eastAsia="宋体" w:cs="宋体"/>
                <w:color w:val="auto"/>
                <w:highlight w:val="none"/>
              </w:rPr>
            </w:pPr>
          </w:p>
          <w:p w14:paraId="7CC727ED">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8C34081">
            <w:pPr>
              <w:pStyle w:val="21"/>
              <w:spacing w:line="255" w:lineRule="auto"/>
              <w:rPr>
                <w:rFonts w:hint="eastAsia" w:ascii="宋体" w:hAnsi="宋体" w:eastAsia="宋体" w:cs="宋体"/>
                <w:color w:val="auto"/>
                <w:highlight w:val="none"/>
              </w:rPr>
            </w:pPr>
          </w:p>
          <w:p w14:paraId="44D32487">
            <w:pPr>
              <w:pStyle w:val="21"/>
              <w:spacing w:line="255" w:lineRule="auto"/>
              <w:rPr>
                <w:rFonts w:hint="eastAsia" w:ascii="宋体" w:hAnsi="宋体" w:eastAsia="宋体" w:cs="宋体"/>
                <w:color w:val="auto"/>
                <w:highlight w:val="none"/>
              </w:rPr>
            </w:pPr>
          </w:p>
          <w:p w14:paraId="2FB6EB74">
            <w:pPr>
              <w:pStyle w:val="21"/>
              <w:spacing w:line="255" w:lineRule="auto"/>
              <w:rPr>
                <w:rFonts w:hint="eastAsia" w:ascii="宋体" w:hAnsi="宋体" w:eastAsia="宋体" w:cs="宋体"/>
                <w:color w:val="auto"/>
                <w:highlight w:val="none"/>
              </w:rPr>
            </w:pPr>
          </w:p>
          <w:p w14:paraId="2532C873">
            <w:pPr>
              <w:pStyle w:val="21"/>
              <w:spacing w:line="255" w:lineRule="auto"/>
              <w:rPr>
                <w:rFonts w:hint="eastAsia" w:ascii="宋体" w:hAnsi="宋体" w:eastAsia="宋体" w:cs="宋体"/>
                <w:color w:val="auto"/>
                <w:highlight w:val="none"/>
              </w:rPr>
            </w:pPr>
          </w:p>
          <w:p w14:paraId="6EA29091">
            <w:pPr>
              <w:pStyle w:val="21"/>
              <w:spacing w:line="256" w:lineRule="auto"/>
              <w:rPr>
                <w:rFonts w:hint="eastAsia" w:ascii="宋体" w:hAnsi="宋体" w:eastAsia="宋体" w:cs="宋体"/>
                <w:color w:val="auto"/>
                <w:highlight w:val="none"/>
              </w:rPr>
            </w:pPr>
          </w:p>
          <w:p w14:paraId="4FFEF356">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88735">
            <w:pPr>
              <w:pStyle w:val="21"/>
              <w:rPr>
                <w:rFonts w:hint="eastAsia" w:ascii="宋体" w:hAnsi="宋体" w:eastAsia="宋体" w:cs="宋体"/>
                <w:color w:val="auto"/>
                <w:highlight w:val="none"/>
              </w:rPr>
            </w:pPr>
          </w:p>
        </w:tc>
      </w:tr>
      <w:tr w14:paraId="55FE4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DB8DF3D">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08B49BEC">
            <w:pPr>
              <w:pStyle w:val="21"/>
              <w:spacing w:line="296" w:lineRule="auto"/>
              <w:rPr>
                <w:rFonts w:hint="eastAsia" w:ascii="宋体" w:hAnsi="宋体" w:eastAsia="宋体" w:cs="宋体"/>
                <w:color w:val="auto"/>
                <w:highlight w:val="none"/>
              </w:rPr>
            </w:pPr>
          </w:p>
          <w:p w14:paraId="62113AAF">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1AA738">
            <w:pPr>
              <w:pStyle w:val="21"/>
              <w:spacing w:line="296" w:lineRule="auto"/>
              <w:rPr>
                <w:rFonts w:hint="eastAsia" w:ascii="宋体" w:hAnsi="宋体" w:eastAsia="宋体" w:cs="宋体"/>
                <w:color w:val="auto"/>
                <w:highlight w:val="none"/>
              </w:rPr>
            </w:pPr>
          </w:p>
          <w:p w14:paraId="2247851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28C2275">
            <w:pPr>
              <w:pStyle w:val="21"/>
              <w:rPr>
                <w:rFonts w:hint="eastAsia" w:ascii="宋体" w:hAnsi="宋体" w:eastAsia="宋体" w:cs="宋体"/>
                <w:color w:val="auto"/>
                <w:highlight w:val="none"/>
              </w:rPr>
            </w:pPr>
          </w:p>
        </w:tc>
      </w:tr>
      <w:tr w14:paraId="22C01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CD7B1B3">
            <w:pPr>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0C4B19D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007119F">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778356F">
            <w:pPr>
              <w:pStyle w:val="21"/>
              <w:rPr>
                <w:rFonts w:hint="eastAsia" w:ascii="宋体" w:hAnsi="宋体" w:eastAsia="宋体" w:cs="宋体"/>
                <w:color w:val="auto"/>
                <w:highlight w:val="none"/>
              </w:rPr>
            </w:pPr>
          </w:p>
        </w:tc>
      </w:tr>
      <w:tr w14:paraId="54B4C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40879D">
            <w:pPr>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42DC5BCC">
            <w:pPr>
              <w:pStyle w:val="21"/>
              <w:spacing w:line="297" w:lineRule="auto"/>
              <w:rPr>
                <w:rFonts w:hint="eastAsia" w:ascii="宋体" w:hAnsi="宋体" w:eastAsia="宋体" w:cs="宋体"/>
                <w:color w:val="auto"/>
                <w:highlight w:val="none"/>
              </w:rPr>
            </w:pPr>
          </w:p>
          <w:p w14:paraId="25E8B5B3">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7E69931">
            <w:pPr>
              <w:pStyle w:val="21"/>
              <w:spacing w:line="297" w:lineRule="auto"/>
              <w:rPr>
                <w:rFonts w:hint="eastAsia" w:ascii="宋体" w:hAnsi="宋体" w:eastAsia="宋体" w:cs="宋体"/>
                <w:color w:val="auto"/>
                <w:highlight w:val="none"/>
              </w:rPr>
            </w:pPr>
          </w:p>
          <w:p w14:paraId="0DECF4E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F10A58D">
            <w:pPr>
              <w:pStyle w:val="21"/>
              <w:rPr>
                <w:rFonts w:hint="eastAsia" w:ascii="宋体" w:hAnsi="宋体" w:eastAsia="宋体" w:cs="宋体"/>
                <w:color w:val="auto"/>
                <w:highlight w:val="none"/>
              </w:rPr>
            </w:pPr>
          </w:p>
        </w:tc>
      </w:tr>
      <w:tr w14:paraId="30F9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61E26F">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26A8715D">
            <w:pP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D48700">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FDBB930">
            <w:pPr>
              <w:pStyle w:val="21"/>
              <w:rPr>
                <w:rFonts w:hint="eastAsia" w:ascii="宋体" w:hAnsi="宋体" w:eastAsia="宋体" w:cs="宋体"/>
                <w:color w:val="auto"/>
                <w:highlight w:val="none"/>
              </w:rPr>
            </w:pPr>
          </w:p>
        </w:tc>
      </w:tr>
      <w:tr w14:paraId="1EB3F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D746302">
            <w:pPr>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5BA7A2F9">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655D6">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17E93BE">
            <w:pPr>
              <w:pStyle w:val="21"/>
              <w:rPr>
                <w:rFonts w:hint="eastAsia" w:ascii="宋体" w:hAnsi="宋体" w:eastAsia="宋体" w:cs="宋体"/>
                <w:color w:val="auto"/>
                <w:highlight w:val="none"/>
              </w:rPr>
            </w:pPr>
          </w:p>
        </w:tc>
      </w:tr>
      <w:tr w14:paraId="0E7C6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3F3AA51">
            <w:pP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2C09298F">
            <w:pP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C25E0F8">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0A186D6">
            <w:pPr>
              <w:pStyle w:val="21"/>
              <w:rPr>
                <w:rFonts w:hint="eastAsia" w:ascii="宋体" w:hAnsi="宋体" w:eastAsia="宋体" w:cs="宋体"/>
                <w:color w:val="auto"/>
                <w:highlight w:val="none"/>
              </w:rPr>
            </w:pPr>
          </w:p>
        </w:tc>
      </w:tr>
      <w:tr w14:paraId="749B5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EE02938">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5F252975">
            <w:pPr>
              <w:pStyle w:val="21"/>
              <w:spacing w:line="297" w:lineRule="auto"/>
              <w:rPr>
                <w:rFonts w:hint="eastAsia" w:ascii="宋体" w:hAnsi="宋体" w:eastAsia="宋体" w:cs="宋体"/>
                <w:color w:val="auto"/>
                <w:highlight w:val="none"/>
              </w:rPr>
            </w:pPr>
          </w:p>
          <w:p w14:paraId="274F49B0">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F3E3EC">
            <w:pPr>
              <w:pStyle w:val="21"/>
              <w:spacing w:line="297" w:lineRule="auto"/>
              <w:rPr>
                <w:rFonts w:hint="eastAsia" w:ascii="宋体" w:hAnsi="宋体" w:eastAsia="宋体" w:cs="宋体"/>
                <w:color w:val="auto"/>
                <w:highlight w:val="none"/>
              </w:rPr>
            </w:pPr>
          </w:p>
          <w:p w14:paraId="382FDB0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593D3CB">
            <w:pPr>
              <w:pStyle w:val="21"/>
              <w:rPr>
                <w:rFonts w:hint="eastAsia" w:ascii="宋体" w:hAnsi="宋体" w:eastAsia="宋体" w:cs="宋体"/>
                <w:color w:val="auto"/>
                <w:highlight w:val="none"/>
              </w:rPr>
            </w:pPr>
          </w:p>
        </w:tc>
      </w:tr>
      <w:tr w14:paraId="6AD17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711E1F">
            <w:pPr>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46BCB016">
            <w:pP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7577F1C">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9FAE20">
            <w:pPr>
              <w:pStyle w:val="21"/>
              <w:rPr>
                <w:rFonts w:hint="eastAsia" w:ascii="宋体" w:hAnsi="宋体" w:eastAsia="宋体" w:cs="宋体"/>
                <w:color w:val="auto"/>
                <w:highlight w:val="none"/>
              </w:rPr>
            </w:pPr>
          </w:p>
        </w:tc>
      </w:tr>
      <w:tr w14:paraId="0A02A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48C6DC8">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46C95298">
            <w:pP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243FF5">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6B0F2">
            <w:pPr>
              <w:pStyle w:val="21"/>
              <w:rPr>
                <w:rFonts w:hint="eastAsia" w:ascii="宋体" w:hAnsi="宋体" w:eastAsia="宋体" w:cs="宋体"/>
                <w:color w:val="auto"/>
                <w:highlight w:val="none"/>
              </w:rPr>
            </w:pPr>
          </w:p>
        </w:tc>
      </w:tr>
      <w:tr w14:paraId="4D8E0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3025F46">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30F61595">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23E52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598EC26">
            <w:pPr>
              <w:pStyle w:val="21"/>
              <w:rPr>
                <w:rFonts w:hint="eastAsia" w:ascii="宋体" w:hAnsi="宋体" w:eastAsia="宋体" w:cs="宋体"/>
                <w:color w:val="auto"/>
                <w:highlight w:val="none"/>
              </w:rPr>
            </w:pPr>
          </w:p>
        </w:tc>
      </w:tr>
      <w:tr w14:paraId="2D320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0EF757">
            <w:pP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0C7B65F3">
            <w:pP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A95D6B">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878476">
            <w:pPr>
              <w:pStyle w:val="21"/>
              <w:rPr>
                <w:rFonts w:hint="eastAsia" w:ascii="宋体" w:hAnsi="宋体" w:eastAsia="宋体" w:cs="宋体"/>
                <w:color w:val="auto"/>
                <w:highlight w:val="none"/>
              </w:rPr>
            </w:pPr>
          </w:p>
        </w:tc>
      </w:tr>
      <w:tr w14:paraId="30655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E5297D0">
            <w:pPr>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486B9887">
            <w:pP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1E5988F">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235BD7D">
            <w:pPr>
              <w:pStyle w:val="21"/>
              <w:rPr>
                <w:rFonts w:hint="eastAsia" w:ascii="宋体" w:hAnsi="宋体" w:eastAsia="宋体" w:cs="宋体"/>
                <w:color w:val="auto"/>
                <w:highlight w:val="none"/>
              </w:rPr>
            </w:pPr>
          </w:p>
        </w:tc>
      </w:tr>
      <w:tr w14:paraId="0D44A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A6B7C50">
            <w:pPr>
              <w:spacing w:before="131" w:line="220" w:lineRule="auto"/>
              <w:ind w:left="120"/>
              <w:rPr>
                <w:rFonts w:hint="eastAsia" w:ascii="宋体" w:hAnsi="宋体" w:eastAsia="宋体" w:cs="宋体"/>
                <w:color w:val="auto"/>
                <w:sz w:val="24"/>
                <w:szCs w:val="24"/>
                <w:highlight w:val="none"/>
              </w:rPr>
            </w:pPr>
            <w:bookmarkStart w:id="258" w:name="bookmark162"/>
            <w:bookmarkEnd w:id="258"/>
            <w:r>
              <w:rPr>
                <w:rFonts w:hint="eastAsia" w:ascii="宋体" w:hAnsi="宋体" w:eastAsia="宋体" w:cs="宋体"/>
                <w:color w:val="auto"/>
                <w:spacing w:val="-3"/>
                <w:sz w:val="24"/>
                <w:szCs w:val="24"/>
                <w:highlight w:val="none"/>
              </w:rPr>
              <w:t>五、拆除工程</w:t>
            </w:r>
          </w:p>
        </w:tc>
        <w:tc>
          <w:tcPr>
            <w:tcW w:w="1294" w:type="dxa"/>
            <w:vAlign w:val="top"/>
          </w:tcPr>
          <w:p w14:paraId="0F5EE650">
            <w:pP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6328EEA">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A24BEF">
            <w:pPr>
              <w:pStyle w:val="21"/>
              <w:rPr>
                <w:rFonts w:hint="eastAsia" w:ascii="宋体" w:hAnsi="宋体" w:eastAsia="宋体" w:cs="宋体"/>
                <w:color w:val="auto"/>
                <w:highlight w:val="none"/>
              </w:rPr>
            </w:pPr>
          </w:p>
        </w:tc>
      </w:tr>
      <w:tr w14:paraId="42ACF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F6894BB">
            <w:pPr>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vAlign w:val="top"/>
          </w:tcPr>
          <w:p w14:paraId="53C1D06F">
            <w:pPr>
              <w:pStyle w:val="21"/>
              <w:spacing w:line="294" w:lineRule="auto"/>
              <w:rPr>
                <w:rFonts w:hint="eastAsia" w:ascii="宋体" w:hAnsi="宋体" w:eastAsia="宋体" w:cs="宋体"/>
                <w:color w:val="auto"/>
                <w:highlight w:val="none"/>
              </w:rPr>
            </w:pPr>
          </w:p>
          <w:p w14:paraId="76CB7DF5">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310AE40">
            <w:pPr>
              <w:pStyle w:val="21"/>
              <w:spacing w:line="294" w:lineRule="auto"/>
              <w:rPr>
                <w:rFonts w:hint="eastAsia" w:ascii="宋体" w:hAnsi="宋体" w:eastAsia="宋体" w:cs="宋体"/>
                <w:color w:val="auto"/>
                <w:highlight w:val="none"/>
              </w:rPr>
            </w:pPr>
          </w:p>
          <w:p w14:paraId="4D2EE23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4D942FE">
            <w:pPr>
              <w:pStyle w:val="21"/>
              <w:rPr>
                <w:rFonts w:hint="eastAsia" w:ascii="宋体" w:hAnsi="宋体" w:eastAsia="宋体" w:cs="宋体"/>
                <w:color w:val="auto"/>
                <w:highlight w:val="none"/>
              </w:rPr>
            </w:pPr>
          </w:p>
        </w:tc>
      </w:tr>
      <w:tr w14:paraId="15559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91FBFB">
            <w:pP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137FC89C">
            <w:pP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F652C1B">
            <w:pP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D8FEC99">
            <w:pPr>
              <w:pStyle w:val="21"/>
              <w:rPr>
                <w:rFonts w:hint="eastAsia" w:ascii="宋体" w:hAnsi="宋体" w:eastAsia="宋体" w:cs="宋体"/>
                <w:color w:val="auto"/>
                <w:highlight w:val="none"/>
              </w:rPr>
            </w:pPr>
          </w:p>
        </w:tc>
      </w:tr>
      <w:tr w14:paraId="4B886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89E82C2">
            <w:pPr>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69EA54F0">
            <w:pPr>
              <w:pStyle w:val="21"/>
              <w:spacing w:line="294" w:lineRule="auto"/>
              <w:rPr>
                <w:rFonts w:hint="eastAsia" w:ascii="宋体" w:hAnsi="宋体" w:eastAsia="宋体" w:cs="宋体"/>
                <w:color w:val="auto"/>
                <w:highlight w:val="none"/>
              </w:rPr>
            </w:pPr>
          </w:p>
          <w:p w14:paraId="2580604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7831483">
            <w:pPr>
              <w:pStyle w:val="21"/>
              <w:spacing w:line="294" w:lineRule="auto"/>
              <w:rPr>
                <w:rFonts w:hint="eastAsia" w:ascii="宋体" w:hAnsi="宋体" w:eastAsia="宋体" w:cs="宋体"/>
                <w:color w:val="auto"/>
                <w:highlight w:val="none"/>
              </w:rPr>
            </w:pPr>
          </w:p>
          <w:p w14:paraId="551C407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1DD324">
            <w:pPr>
              <w:pStyle w:val="21"/>
              <w:rPr>
                <w:rFonts w:hint="eastAsia" w:ascii="宋体" w:hAnsi="宋体" w:eastAsia="宋体" w:cs="宋体"/>
                <w:color w:val="auto"/>
                <w:highlight w:val="none"/>
              </w:rPr>
            </w:pPr>
          </w:p>
        </w:tc>
      </w:tr>
      <w:tr w14:paraId="512F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63B8B64">
            <w:pP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41AFA2A">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06F78AB">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8F38261">
            <w:pPr>
              <w:pStyle w:val="21"/>
              <w:rPr>
                <w:rFonts w:hint="eastAsia" w:ascii="宋体" w:hAnsi="宋体" w:eastAsia="宋体" w:cs="宋体"/>
                <w:color w:val="auto"/>
                <w:highlight w:val="none"/>
              </w:rPr>
            </w:pPr>
          </w:p>
        </w:tc>
      </w:tr>
      <w:tr w14:paraId="61044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BC9C24">
            <w:pPr>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6935FC1C">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275F3F">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153FAD5">
            <w:pPr>
              <w:pStyle w:val="21"/>
              <w:rPr>
                <w:rFonts w:hint="eastAsia" w:ascii="宋体" w:hAnsi="宋体" w:eastAsia="宋体" w:cs="宋体"/>
                <w:color w:val="auto"/>
                <w:highlight w:val="none"/>
              </w:rPr>
            </w:pPr>
          </w:p>
        </w:tc>
      </w:tr>
      <w:tr w14:paraId="1081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8649116">
            <w:pPr>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5B256D88">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02621C">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C7386C">
            <w:pPr>
              <w:pStyle w:val="21"/>
              <w:rPr>
                <w:rFonts w:hint="eastAsia" w:ascii="宋体" w:hAnsi="宋体" w:eastAsia="宋体" w:cs="宋体"/>
                <w:color w:val="auto"/>
                <w:highlight w:val="none"/>
              </w:rPr>
            </w:pPr>
          </w:p>
        </w:tc>
      </w:tr>
      <w:tr w14:paraId="6E0F4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7F48E3C">
            <w:pPr>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2B0443D0">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457DD8">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B54B549">
            <w:pPr>
              <w:pStyle w:val="21"/>
              <w:rPr>
                <w:rFonts w:hint="eastAsia" w:ascii="宋体" w:hAnsi="宋体" w:eastAsia="宋体" w:cs="宋体"/>
                <w:color w:val="auto"/>
                <w:highlight w:val="none"/>
              </w:rPr>
            </w:pPr>
          </w:p>
        </w:tc>
      </w:tr>
      <w:tr w14:paraId="1D87E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23A2A7">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7FF1CEBB">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19BA99D">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099C2E">
            <w:pPr>
              <w:pStyle w:val="21"/>
              <w:rPr>
                <w:rFonts w:hint="eastAsia" w:ascii="宋体" w:hAnsi="宋体" w:eastAsia="宋体" w:cs="宋体"/>
                <w:color w:val="auto"/>
                <w:highlight w:val="none"/>
              </w:rPr>
            </w:pPr>
          </w:p>
        </w:tc>
      </w:tr>
      <w:tr w14:paraId="0578E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2CFFC3">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65C993F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B18911">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EEB872">
            <w:pPr>
              <w:pStyle w:val="21"/>
              <w:rPr>
                <w:rFonts w:hint="eastAsia" w:ascii="宋体" w:hAnsi="宋体" w:eastAsia="宋体" w:cs="宋体"/>
                <w:color w:val="auto"/>
                <w:highlight w:val="none"/>
              </w:rPr>
            </w:pPr>
          </w:p>
        </w:tc>
      </w:tr>
      <w:tr w14:paraId="13F16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2E07234">
            <w:pPr>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173190AF">
            <w:pPr>
              <w:pStyle w:val="21"/>
              <w:spacing w:line="270" w:lineRule="auto"/>
              <w:rPr>
                <w:rFonts w:hint="eastAsia" w:ascii="宋体" w:hAnsi="宋体" w:eastAsia="宋体" w:cs="宋体"/>
                <w:color w:val="auto"/>
                <w:highlight w:val="none"/>
              </w:rPr>
            </w:pPr>
          </w:p>
          <w:p w14:paraId="25286718">
            <w:pPr>
              <w:pStyle w:val="21"/>
              <w:spacing w:line="271" w:lineRule="auto"/>
              <w:rPr>
                <w:rFonts w:hint="eastAsia" w:ascii="宋体" w:hAnsi="宋体" w:eastAsia="宋体" w:cs="宋体"/>
                <w:color w:val="auto"/>
                <w:highlight w:val="none"/>
              </w:rPr>
            </w:pPr>
          </w:p>
          <w:p w14:paraId="43C2B6E5">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8617CC">
            <w:pPr>
              <w:pStyle w:val="21"/>
              <w:spacing w:line="270" w:lineRule="auto"/>
              <w:rPr>
                <w:rFonts w:hint="eastAsia" w:ascii="宋体" w:hAnsi="宋体" w:eastAsia="宋体" w:cs="宋体"/>
                <w:color w:val="auto"/>
                <w:highlight w:val="none"/>
              </w:rPr>
            </w:pPr>
          </w:p>
          <w:p w14:paraId="178E42BF">
            <w:pPr>
              <w:pStyle w:val="21"/>
              <w:spacing w:line="271" w:lineRule="auto"/>
              <w:rPr>
                <w:rFonts w:hint="eastAsia" w:ascii="宋体" w:hAnsi="宋体" w:eastAsia="宋体" w:cs="宋体"/>
                <w:color w:val="auto"/>
                <w:highlight w:val="none"/>
              </w:rPr>
            </w:pPr>
          </w:p>
          <w:p w14:paraId="7C375C8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939D6">
            <w:pPr>
              <w:pStyle w:val="21"/>
              <w:rPr>
                <w:rFonts w:hint="eastAsia" w:ascii="宋体" w:hAnsi="宋体" w:eastAsia="宋体" w:cs="宋体"/>
                <w:color w:val="auto"/>
                <w:highlight w:val="none"/>
              </w:rPr>
            </w:pPr>
          </w:p>
        </w:tc>
      </w:tr>
      <w:tr w14:paraId="3B562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107AB9">
            <w:pPr>
              <w:spacing w:before="129" w:line="328" w:lineRule="auto"/>
              <w:ind w:left="115" w:right="108" w:firstLine="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5A67B5C5">
            <w:pPr>
              <w:pStyle w:val="21"/>
              <w:spacing w:line="295" w:lineRule="auto"/>
              <w:rPr>
                <w:rFonts w:hint="eastAsia" w:ascii="宋体" w:hAnsi="宋体" w:eastAsia="宋体" w:cs="宋体"/>
                <w:color w:val="auto"/>
                <w:highlight w:val="none"/>
              </w:rPr>
            </w:pPr>
          </w:p>
          <w:p w14:paraId="2D811006">
            <w:pP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24A69ECB">
            <w:pPr>
              <w:pStyle w:val="21"/>
              <w:spacing w:line="295" w:lineRule="auto"/>
              <w:rPr>
                <w:rFonts w:hint="eastAsia" w:ascii="宋体" w:hAnsi="宋体" w:eastAsia="宋体" w:cs="宋体"/>
                <w:color w:val="auto"/>
                <w:highlight w:val="none"/>
              </w:rPr>
            </w:pPr>
          </w:p>
          <w:p w14:paraId="26DB2221">
            <w:pP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7B1AFF26">
            <w:pPr>
              <w:pStyle w:val="21"/>
              <w:spacing w:line="295" w:lineRule="auto"/>
              <w:rPr>
                <w:rFonts w:hint="eastAsia" w:ascii="宋体" w:hAnsi="宋体" w:eastAsia="宋体" w:cs="宋体"/>
                <w:color w:val="auto"/>
                <w:highlight w:val="none"/>
              </w:rPr>
            </w:pPr>
          </w:p>
          <w:p w14:paraId="3584F90F">
            <w:pP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4B6EE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FFEC06F">
            <w:pP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0F1DCA38">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A99B878">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A826AFC">
            <w:pPr>
              <w:pStyle w:val="21"/>
              <w:rPr>
                <w:rFonts w:hint="eastAsia" w:ascii="宋体" w:hAnsi="宋体" w:eastAsia="宋体" w:cs="宋体"/>
                <w:color w:val="auto"/>
                <w:highlight w:val="none"/>
              </w:rPr>
            </w:pPr>
          </w:p>
        </w:tc>
      </w:tr>
      <w:tr w14:paraId="70408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7BBDEF">
            <w:pPr>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1796810E">
            <w:pPr>
              <w:pStyle w:val="21"/>
              <w:spacing w:line="295" w:lineRule="auto"/>
              <w:rPr>
                <w:rFonts w:hint="eastAsia" w:ascii="宋体" w:hAnsi="宋体" w:eastAsia="宋体" w:cs="宋体"/>
                <w:color w:val="auto"/>
                <w:highlight w:val="none"/>
              </w:rPr>
            </w:pPr>
          </w:p>
          <w:p w14:paraId="37F2E30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7F49D4">
            <w:pPr>
              <w:pStyle w:val="21"/>
              <w:spacing w:line="295" w:lineRule="auto"/>
              <w:rPr>
                <w:rFonts w:hint="eastAsia" w:ascii="宋体" w:hAnsi="宋体" w:eastAsia="宋体" w:cs="宋体"/>
                <w:color w:val="auto"/>
                <w:highlight w:val="none"/>
              </w:rPr>
            </w:pPr>
          </w:p>
          <w:p w14:paraId="005B6C9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B784C5">
            <w:pPr>
              <w:pStyle w:val="21"/>
              <w:rPr>
                <w:rFonts w:hint="eastAsia" w:ascii="宋体" w:hAnsi="宋体" w:eastAsia="宋体" w:cs="宋体"/>
                <w:color w:val="auto"/>
                <w:highlight w:val="none"/>
              </w:rPr>
            </w:pPr>
          </w:p>
        </w:tc>
      </w:tr>
      <w:tr w14:paraId="67E02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072E12A">
            <w:pPr>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695E6722">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D75F55">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BB9547">
            <w:pPr>
              <w:pStyle w:val="21"/>
              <w:rPr>
                <w:rFonts w:hint="eastAsia" w:ascii="宋体" w:hAnsi="宋体" w:eastAsia="宋体" w:cs="宋体"/>
                <w:color w:val="auto"/>
                <w:highlight w:val="none"/>
              </w:rPr>
            </w:pPr>
          </w:p>
        </w:tc>
      </w:tr>
      <w:tr w14:paraId="10065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25B4D44">
            <w:pPr>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33C7548">
            <w:pPr>
              <w:pStyle w:val="21"/>
              <w:spacing w:line="294" w:lineRule="auto"/>
              <w:rPr>
                <w:rFonts w:hint="eastAsia" w:ascii="宋体" w:hAnsi="宋体" w:eastAsia="宋体" w:cs="宋体"/>
                <w:color w:val="auto"/>
                <w:highlight w:val="none"/>
              </w:rPr>
            </w:pPr>
          </w:p>
          <w:p w14:paraId="40884F4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4BE3EB5">
            <w:pPr>
              <w:pStyle w:val="21"/>
              <w:spacing w:line="294" w:lineRule="auto"/>
              <w:rPr>
                <w:rFonts w:hint="eastAsia" w:ascii="宋体" w:hAnsi="宋体" w:eastAsia="宋体" w:cs="宋体"/>
                <w:color w:val="auto"/>
                <w:highlight w:val="none"/>
              </w:rPr>
            </w:pPr>
          </w:p>
          <w:p w14:paraId="424372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243DDE8">
            <w:pPr>
              <w:pStyle w:val="21"/>
              <w:rPr>
                <w:rFonts w:hint="eastAsia" w:ascii="宋体" w:hAnsi="宋体" w:eastAsia="宋体" w:cs="宋体"/>
                <w:color w:val="auto"/>
                <w:highlight w:val="none"/>
              </w:rPr>
            </w:pPr>
          </w:p>
        </w:tc>
      </w:tr>
      <w:tr w14:paraId="2F821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41265B">
            <w:pPr>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A659D94">
            <w:pPr>
              <w:pStyle w:val="21"/>
              <w:spacing w:line="262" w:lineRule="auto"/>
              <w:rPr>
                <w:rFonts w:hint="eastAsia" w:ascii="宋体" w:hAnsi="宋体" w:eastAsia="宋体" w:cs="宋体"/>
                <w:color w:val="auto"/>
                <w:highlight w:val="none"/>
              </w:rPr>
            </w:pPr>
          </w:p>
          <w:p w14:paraId="36D0E943">
            <w:pPr>
              <w:pStyle w:val="21"/>
              <w:spacing w:line="263" w:lineRule="auto"/>
              <w:rPr>
                <w:rFonts w:hint="eastAsia" w:ascii="宋体" w:hAnsi="宋体" w:eastAsia="宋体" w:cs="宋体"/>
                <w:color w:val="auto"/>
                <w:highlight w:val="none"/>
              </w:rPr>
            </w:pPr>
          </w:p>
          <w:p w14:paraId="36225E0A">
            <w:pPr>
              <w:pStyle w:val="21"/>
              <w:spacing w:line="263" w:lineRule="auto"/>
              <w:rPr>
                <w:rFonts w:hint="eastAsia" w:ascii="宋体" w:hAnsi="宋体" w:eastAsia="宋体" w:cs="宋体"/>
                <w:color w:val="auto"/>
                <w:highlight w:val="none"/>
              </w:rPr>
            </w:pPr>
          </w:p>
          <w:p w14:paraId="1B11D09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6F36B3E">
            <w:pPr>
              <w:pStyle w:val="21"/>
              <w:spacing w:line="262" w:lineRule="auto"/>
              <w:rPr>
                <w:rFonts w:hint="eastAsia" w:ascii="宋体" w:hAnsi="宋体" w:eastAsia="宋体" w:cs="宋体"/>
                <w:color w:val="auto"/>
                <w:highlight w:val="none"/>
              </w:rPr>
            </w:pPr>
          </w:p>
          <w:p w14:paraId="39B92A8D">
            <w:pPr>
              <w:pStyle w:val="21"/>
              <w:spacing w:line="263" w:lineRule="auto"/>
              <w:rPr>
                <w:rFonts w:hint="eastAsia" w:ascii="宋体" w:hAnsi="宋体" w:eastAsia="宋体" w:cs="宋体"/>
                <w:color w:val="auto"/>
                <w:highlight w:val="none"/>
              </w:rPr>
            </w:pPr>
          </w:p>
          <w:p w14:paraId="52E91544">
            <w:pPr>
              <w:pStyle w:val="21"/>
              <w:spacing w:line="263" w:lineRule="auto"/>
              <w:rPr>
                <w:rFonts w:hint="eastAsia" w:ascii="宋体" w:hAnsi="宋体" w:eastAsia="宋体" w:cs="宋体"/>
                <w:color w:val="auto"/>
                <w:highlight w:val="none"/>
              </w:rPr>
            </w:pPr>
          </w:p>
          <w:p w14:paraId="4010B8F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75310">
            <w:pPr>
              <w:pStyle w:val="21"/>
              <w:rPr>
                <w:rFonts w:hint="eastAsia" w:ascii="宋体" w:hAnsi="宋体" w:eastAsia="宋体" w:cs="宋体"/>
                <w:color w:val="auto"/>
                <w:highlight w:val="none"/>
              </w:rPr>
            </w:pPr>
          </w:p>
        </w:tc>
      </w:tr>
      <w:tr w14:paraId="31486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4038DE2">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7EA93CE0">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89782C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42B55B">
            <w:pPr>
              <w:pStyle w:val="21"/>
              <w:rPr>
                <w:rFonts w:hint="eastAsia" w:ascii="宋体" w:hAnsi="宋体" w:eastAsia="宋体" w:cs="宋体"/>
                <w:color w:val="auto"/>
                <w:highlight w:val="none"/>
              </w:rPr>
            </w:pPr>
          </w:p>
        </w:tc>
      </w:tr>
      <w:tr w14:paraId="0DCFC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4CD01D5">
            <w:pPr>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D707081">
            <w:pPr>
              <w:pStyle w:val="21"/>
              <w:rPr>
                <w:rFonts w:hint="eastAsia" w:ascii="宋体" w:hAnsi="宋体" w:eastAsia="宋体" w:cs="宋体"/>
                <w:color w:val="auto"/>
                <w:highlight w:val="none"/>
              </w:rPr>
            </w:pPr>
          </w:p>
        </w:tc>
        <w:tc>
          <w:tcPr>
            <w:tcW w:w="1294" w:type="dxa"/>
            <w:vAlign w:val="top"/>
          </w:tcPr>
          <w:p w14:paraId="53A736AF">
            <w:pPr>
              <w:pStyle w:val="21"/>
              <w:rPr>
                <w:rFonts w:hint="eastAsia" w:ascii="宋体" w:hAnsi="宋体" w:eastAsia="宋体" w:cs="宋体"/>
                <w:color w:val="auto"/>
                <w:highlight w:val="none"/>
              </w:rPr>
            </w:pPr>
          </w:p>
        </w:tc>
        <w:tc>
          <w:tcPr>
            <w:tcW w:w="2428" w:type="dxa"/>
            <w:vAlign w:val="top"/>
          </w:tcPr>
          <w:p w14:paraId="56059996">
            <w:pPr>
              <w:pStyle w:val="21"/>
              <w:rPr>
                <w:rFonts w:hint="eastAsia" w:ascii="宋体" w:hAnsi="宋体" w:eastAsia="宋体" w:cs="宋体"/>
                <w:color w:val="auto"/>
                <w:highlight w:val="none"/>
              </w:rPr>
            </w:pPr>
          </w:p>
        </w:tc>
      </w:tr>
      <w:tr w14:paraId="718D0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0C9181">
            <w:pPr>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5DAC60BF">
            <w:pP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4A1EBF1">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8A51EE5">
            <w:pPr>
              <w:pStyle w:val="21"/>
              <w:rPr>
                <w:rFonts w:hint="eastAsia" w:ascii="宋体" w:hAnsi="宋体" w:eastAsia="宋体" w:cs="宋体"/>
                <w:color w:val="auto"/>
                <w:highlight w:val="none"/>
              </w:rPr>
            </w:pPr>
          </w:p>
        </w:tc>
      </w:tr>
      <w:tr w14:paraId="723F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2A57479">
            <w:pPr>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2AF28C1D">
            <w:pPr>
              <w:pStyle w:val="21"/>
              <w:spacing w:line="295" w:lineRule="auto"/>
              <w:rPr>
                <w:rFonts w:hint="eastAsia" w:ascii="宋体" w:hAnsi="宋体" w:eastAsia="宋体" w:cs="宋体"/>
                <w:color w:val="auto"/>
                <w:highlight w:val="none"/>
              </w:rPr>
            </w:pPr>
          </w:p>
          <w:p w14:paraId="68D38AD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DBCC99">
            <w:pPr>
              <w:pStyle w:val="21"/>
              <w:spacing w:line="295" w:lineRule="auto"/>
              <w:rPr>
                <w:rFonts w:hint="eastAsia" w:ascii="宋体" w:hAnsi="宋体" w:eastAsia="宋体" w:cs="宋体"/>
                <w:color w:val="auto"/>
                <w:highlight w:val="none"/>
              </w:rPr>
            </w:pPr>
          </w:p>
          <w:p w14:paraId="26478C8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AC0590">
            <w:pPr>
              <w:pStyle w:val="21"/>
              <w:rPr>
                <w:rFonts w:hint="eastAsia" w:ascii="宋体" w:hAnsi="宋体" w:eastAsia="宋体" w:cs="宋体"/>
                <w:color w:val="auto"/>
                <w:highlight w:val="none"/>
              </w:rPr>
            </w:pPr>
          </w:p>
        </w:tc>
      </w:tr>
      <w:tr w14:paraId="7A49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5F7230">
            <w:pPr>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3C812803">
            <w:pPr>
              <w:pStyle w:val="21"/>
              <w:spacing w:line="270" w:lineRule="auto"/>
              <w:rPr>
                <w:rFonts w:hint="eastAsia" w:ascii="宋体" w:hAnsi="宋体" w:eastAsia="宋体" w:cs="宋体"/>
                <w:color w:val="auto"/>
                <w:highlight w:val="none"/>
              </w:rPr>
            </w:pPr>
          </w:p>
          <w:p w14:paraId="5121DDDA">
            <w:pPr>
              <w:pStyle w:val="21"/>
              <w:spacing w:line="270" w:lineRule="auto"/>
              <w:rPr>
                <w:rFonts w:hint="eastAsia" w:ascii="宋体" w:hAnsi="宋体" w:eastAsia="宋体" w:cs="宋体"/>
                <w:color w:val="auto"/>
                <w:highlight w:val="none"/>
              </w:rPr>
            </w:pPr>
          </w:p>
          <w:p w14:paraId="560FB69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2976141">
            <w:pPr>
              <w:pStyle w:val="21"/>
              <w:spacing w:line="270" w:lineRule="auto"/>
              <w:rPr>
                <w:rFonts w:hint="eastAsia" w:ascii="宋体" w:hAnsi="宋体" w:eastAsia="宋体" w:cs="宋体"/>
                <w:color w:val="auto"/>
                <w:highlight w:val="none"/>
              </w:rPr>
            </w:pPr>
          </w:p>
          <w:p w14:paraId="0F0AF9F1">
            <w:pPr>
              <w:pStyle w:val="21"/>
              <w:spacing w:line="270" w:lineRule="auto"/>
              <w:rPr>
                <w:rFonts w:hint="eastAsia" w:ascii="宋体" w:hAnsi="宋体" w:eastAsia="宋体" w:cs="宋体"/>
                <w:color w:val="auto"/>
                <w:highlight w:val="none"/>
              </w:rPr>
            </w:pPr>
          </w:p>
          <w:p w14:paraId="69309DD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436BC6D">
            <w:pPr>
              <w:pStyle w:val="21"/>
              <w:rPr>
                <w:rFonts w:hint="eastAsia" w:ascii="宋体" w:hAnsi="宋体" w:eastAsia="宋体" w:cs="宋体"/>
                <w:color w:val="auto"/>
                <w:highlight w:val="none"/>
              </w:rPr>
            </w:pPr>
          </w:p>
        </w:tc>
      </w:tr>
      <w:tr w14:paraId="0E46C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8645FA">
            <w:pP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67CC54F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0B7418">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E3407">
            <w:pPr>
              <w:pStyle w:val="21"/>
              <w:rPr>
                <w:rFonts w:hint="eastAsia" w:ascii="宋体" w:hAnsi="宋体" w:eastAsia="宋体" w:cs="宋体"/>
                <w:color w:val="auto"/>
                <w:highlight w:val="none"/>
              </w:rPr>
            </w:pPr>
          </w:p>
        </w:tc>
      </w:tr>
      <w:tr w14:paraId="20CD7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8FD09B2">
            <w:pPr>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30FE1B6D">
            <w:pPr>
              <w:pStyle w:val="21"/>
              <w:spacing w:line="296" w:lineRule="auto"/>
              <w:rPr>
                <w:rFonts w:hint="eastAsia" w:ascii="宋体" w:hAnsi="宋体" w:eastAsia="宋体" w:cs="宋体"/>
                <w:color w:val="auto"/>
                <w:highlight w:val="none"/>
              </w:rPr>
            </w:pPr>
          </w:p>
          <w:p w14:paraId="49A947C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45D770">
            <w:pPr>
              <w:pStyle w:val="21"/>
              <w:spacing w:line="296" w:lineRule="auto"/>
              <w:rPr>
                <w:rFonts w:hint="eastAsia" w:ascii="宋体" w:hAnsi="宋体" w:eastAsia="宋体" w:cs="宋体"/>
                <w:color w:val="auto"/>
                <w:highlight w:val="none"/>
              </w:rPr>
            </w:pPr>
          </w:p>
          <w:p w14:paraId="0046F70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5A45629">
            <w:pPr>
              <w:pStyle w:val="21"/>
              <w:rPr>
                <w:rFonts w:hint="eastAsia" w:ascii="宋体" w:hAnsi="宋体" w:eastAsia="宋体" w:cs="宋体"/>
                <w:color w:val="auto"/>
                <w:highlight w:val="none"/>
              </w:rPr>
            </w:pPr>
          </w:p>
        </w:tc>
      </w:tr>
      <w:tr w14:paraId="4C2B7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31197BD">
            <w:pPr>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26E4FDC5">
            <w:pPr>
              <w:pStyle w:val="21"/>
              <w:spacing w:line="296" w:lineRule="auto"/>
              <w:rPr>
                <w:rFonts w:hint="eastAsia" w:ascii="宋体" w:hAnsi="宋体" w:eastAsia="宋体" w:cs="宋体"/>
                <w:color w:val="auto"/>
                <w:highlight w:val="none"/>
              </w:rPr>
            </w:pPr>
          </w:p>
          <w:p w14:paraId="558431DE">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227112">
            <w:pPr>
              <w:pStyle w:val="21"/>
              <w:spacing w:line="296" w:lineRule="auto"/>
              <w:rPr>
                <w:rFonts w:hint="eastAsia" w:ascii="宋体" w:hAnsi="宋体" w:eastAsia="宋体" w:cs="宋体"/>
                <w:color w:val="auto"/>
                <w:highlight w:val="none"/>
              </w:rPr>
            </w:pPr>
          </w:p>
          <w:p w14:paraId="4D51D49D">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447CAF">
            <w:pPr>
              <w:pStyle w:val="21"/>
              <w:rPr>
                <w:rFonts w:hint="eastAsia" w:ascii="宋体" w:hAnsi="宋体" w:eastAsia="宋体" w:cs="宋体"/>
                <w:color w:val="auto"/>
                <w:highlight w:val="none"/>
              </w:rPr>
            </w:pPr>
          </w:p>
        </w:tc>
      </w:tr>
      <w:tr w14:paraId="4390B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02DA04D">
            <w:pPr>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1A4DC673">
            <w:pPr>
              <w:pStyle w:val="21"/>
              <w:spacing w:line="297" w:lineRule="auto"/>
              <w:rPr>
                <w:rFonts w:hint="eastAsia" w:ascii="宋体" w:hAnsi="宋体" w:eastAsia="宋体" w:cs="宋体"/>
                <w:color w:val="auto"/>
                <w:highlight w:val="none"/>
              </w:rPr>
            </w:pPr>
          </w:p>
          <w:p w14:paraId="13C8F70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8C3E33">
            <w:pPr>
              <w:pStyle w:val="21"/>
              <w:spacing w:line="297" w:lineRule="auto"/>
              <w:rPr>
                <w:rFonts w:hint="eastAsia" w:ascii="宋体" w:hAnsi="宋体" w:eastAsia="宋体" w:cs="宋体"/>
                <w:color w:val="auto"/>
                <w:highlight w:val="none"/>
              </w:rPr>
            </w:pPr>
          </w:p>
          <w:p w14:paraId="69F6EAB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36FB7CE">
            <w:pPr>
              <w:pStyle w:val="21"/>
              <w:rPr>
                <w:rFonts w:hint="eastAsia" w:ascii="宋体" w:hAnsi="宋体" w:eastAsia="宋体" w:cs="宋体"/>
                <w:color w:val="auto"/>
                <w:highlight w:val="none"/>
              </w:rPr>
            </w:pPr>
          </w:p>
        </w:tc>
      </w:tr>
      <w:tr w14:paraId="19A5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027364">
            <w:pP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252E8CF3">
            <w:pP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328A9">
            <w:pP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B214F7F">
            <w:pPr>
              <w:pStyle w:val="21"/>
              <w:rPr>
                <w:rFonts w:hint="eastAsia" w:ascii="宋体" w:hAnsi="宋体" w:eastAsia="宋体" w:cs="宋体"/>
                <w:color w:val="auto"/>
                <w:highlight w:val="none"/>
              </w:rPr>
            </w:pPr>
          </w:p>
        </w:tc>
      </w:tr>
      <w:tr w14:paraId="533AC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FD68D25">
            <w:pPr>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6E4383E">
            <w:pPr>
              <w:pStyle w:val="21"/>
              <w:spacing w:line="262" w:lineRule="auto"/>
              <w:rPr>
                <w:rFonts w:hint="eastAsia" w:ascii="宋体" w:hAnsi="宋体" w:eastAsia="宋体" w:cs="宋体"/>
                <w:color w:val="auto"/>
                <w:highlight w:val="none"/>
              </w:rPr>
            </w:pPr>
          </w:p>
          <w:p w14:paraId="7376B21D">
            <w:pPr>
              <w:pStyle w:val="21"/>
              <w:spacing w:line="262" w:lineRule="auto"/>
              <w:rPr>
                <w:rFonts w:hint="eastAsia" w:ascii="宋体" w:hAnsi="宋体" w:eastAsia="宋体" w:cs="宋体"/>
                <w:color w:val="auto"/>
                <w:highlight w:val="none"/>
              </w:rPr>
            </w:pPr>
          </w:p>
          <w:p w14:paraId="5707BFC6">
            <w:pPr>
              <w:pStyle w:val="21"/>
              <w:spacing w:line="262" w:lineRule="auto"/>
              <w:rPr>
                <w:rFonts w:hint="eastAsia" w:ascii="宋体" w:hAnsi="宋体" w:eastAsia="宋体" w:cs="宋体"/>
                <w:color w:val="auto"/>
                <w:highlight w:val="none"/>
              </w:rPr>
            </w:pPr>
          </w:p>
          <w:p w14:paraId="07A1B4B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AA7B904">
            <w:pPr>
              <w:pStyle w:val="21"/>
              <w:spacing w:line="262" w:lineRule="auto"/>
              <w:rPr>
                <w:rFonts w:hint="eastAsia" w:ascii="宋体" w:hAnsi="宋体" w:eastAsia="宋体" w:cs="宋体"/>
                <w:color w:val="auto"/>
                <w:highlight w:val="none"/>
              </w:rPr>
            </w:pPr>
          </w:p>
          <w:p w14:paraId="60B86E07">
            <w:pPr>
              <w:pStyle w:val="21"/>
              <w:spacing w:line="262" w:lineRule="auto"/>
              <w:rPr>
                <w:rFonts w:hint="eastAsia" w:ascii="宋体" w:hAnsi="宋体" w:eastAsia="宋体" w:cs="宋体"/>
                <w:color w:val="auto"/>
                <w:highlight w:val="none"/>
              </w:rPr>
            </w:pPr>
          </w:p>
          <w:p w14:paraId="069EBF28">
            <w:pPr>
              <w:pStyle w:val="21"/>
              <w:spacing w:line="262" w:lineRule="auto"/>
              <w:rPr>
                <w:rFonts w:hint="eastAsia" w:ascii="宋体" w:hAnsi="宋体" w:eastAsia="宋体" w:cs="宋体"/>
                <w:color w:val="auto"/>
                <w:highlight w:val="none"/>
              </w:rPr>
            </w:pPr>
          </w:p>
          <w:p w14:paraId="6B21D26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744C282">
            <w:pPr>
              <w:pStyle w:val="21"/>
              <w:rPr>
                <w:rFonts w:hint="eastAsia" w:ascii="宋体" w:hAnsi="宋体" w:eastAsia="宋体" w:cs="宋体"/>
                <w:color w:val="auto"/>
                <w:highlight w:val="none"/>
              </w:rPr>
            </w:pPr>
          </w:p>
        </w:tc>
      </w:tr>
      <w:tr w14:paraId="7A72A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3409FFD">
            <w:pPr>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4FDC9077">
            <w:pPr>
              <w:pStyle w:val="21"/>
              <w:spacing w:line="297" w:lineRule="auto"/>
              <w:rPr>
                <w:rFonts w:hint="eastAsia" w:ascii="宋体" w:hAnsi="宋体" w:eastAsia="宋体" w:cs="宋体"/>
                <w:color w:val="auto"/>
                <w:highlight w:val="none"/>
              </w:rPr>
            </w:pPr>
          </w:p>
          <w:p w14:paraId="557EC15C">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5B90DE">
            <w:pPr>
              <w:pStyle w:val="21"/>
              <w:spacing w:line="297" w:lineRule="auto"/>
              <w:rPr>
                <w:rFonts w:hint="eastAsia" w:ascii="宋体" w:hAnsi="宋体" w:eastAsia="宋体" w:cs="宋体"/>
                <w:color w:val="auto"/>
                <w:highlight w:val="none"/>
              </w:rPr>
            </w:pPr>
          </w:p>
          <w:p w14:paraId="4F686E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2BBBA6">
            <w:pPr>
              <w:pStyle w:val="21"/>
              <w:rPr>
                <w:rFonts w:hint="eastAsia" w:ascii="宋体" w:hAnsi="宋体" w:eastAsia="宋体" w:cs="宋体"/>
                <w:color w:val="auto"/>
                <w:highlight w:val="none"/>
              </w:rPr>
            </w:pPr>
          </w:p>
        </w:tc>
      </w:tr>
      <w:tr w14:paraId="13DCE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48FBF8E">
            <w:pP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655538CD">
            <w:pP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EC7D9AB">
            <w:pP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A7A96A4">
            <w:pPr>
              <w:pStyle w:val="21"/>
              <w:rPr>
                <w:rFonts w:hint="eastAsia" w:ascii="宋体" w:hAnsi="宋体" w:eastAsia="宋体" w:cs="宋体"/>
                <w:color w:val="auto"/>
                <w:highlight w:val="none"/>
              </w:rPr>
            </w:pPr>
          </w:p>
        </w:tc>
      </w:tr>
      <w:tr w14:paraId="3C44D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AE3583D">
            <w:pPr>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0D94965A">
            <w:pPr>
              <w:pStyle w:val="21"/>
              <w:spacing w:line="298" w:lineRule="auto"/>
              <w:rPr>
                <w:rFonts w:hint="eastAsia" w:ascii="宋体" w:hAnsi="宋体" w:eastAsia="宋体" w:cs="宋体"/>
                <w:color w:val="auto"/>
                <w:highlight w:val="none"/>
              </w:rPr>
            </w:pPr>
          </w:p>
          <w:p w14:paraId="107BA7A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9BE5B49">
            <w:pPr>
              <w:pStyle w:val="21"/>
              <w:spacing w:line="298" w:lineRule="auto"/>
              <w:rPr>
                <w:rFonts w:hint="eastAsia" w:ascii="宋体" w:hAnsi="宋体" w:eastAsia="宋体" w:cs="宋体"/>
                <w:color w:val="auto"/>
                <w:highlight w:val="none"/>
              </w:rPr>
            </w:pPr>
          </w:p>
          <w:p w14:paraId="5C719A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FC8E31C">
            <w:pPr>
              <w:pStyle w:val="21"/>
              <w:rPr>
                <w:rFonts w:hint="eastAsia" w:ascii="宋体" w:hAnsi="宋体" w:eastAsia="宋体" w:cs="宋体"/>
                <w:color w:val="auto"/>
                <w:highlight w:val="none"/>
              </w:rPr>
            </w:pPr>
          </w:p>
        </w:tc>
      </w:tr>
      <w:tr w14:paraId="532C0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1EE62D7">
            <w:pP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EBCA3B5">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E4A9485">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FFA8E9">
            <w:pPr>
              <w:pStyle w:val="21"/>
              <w:rPr>
                <w:rFonts w:hint="eastAsia" w:ascii="宋体" w:hAnsi="宋体" w:eastAsia="宋体" w:cs="宋体"/>
                <w:color w:val="auto"/>
                <w:highlight w:val="none"/>
              </w:rPr>
            </w:pPr>
          </w:p>
        </w:tc>
      </w:tr>
      <w:tr w14:paraId="2CEB3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320CB1">
            <w:pPr>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6875389F">
            <w:pPr>
              <w:pStyle w:val="21"/>
              <w:spacing w:line="297" w:lineRule="auto"/>
              <w:rPr>
                <w:rFonts w:hint="eastAsia" w:ascii="宋体" w:hAnsi="宋体" w:eastAsia="宋体" w:cs="宋体"/>
                <w:color w:val="auto"/>
                <w:highlight w:val="none"/>
              </w:rPr>
            </w:pPr>
          </w:p>
          <w:p w14:paraId="6D66284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AE4538">
            <w:pPr>
              <w:pStyle w:val="21"/>
              <w:spacing w:line="297" w:lineRule="auto"/>
              <w:rPr>
                <w:rFonts w:hint="eastAsia" w:ascii="宋体" w:hAnsi="宋体" w:eastAsia="宋体" w:cs="宋体"/>
                <w:color w:val="auto"/>
                <w:highlight w:val="none"/>
              </w:rPr>
            </w:pPr>
          </w:p>
          <w:p w14:paraId="42F57BE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D9A8755">
            <w:pPr>
              <w:pStyle w:val="21"/>
              <w:rPr>
                <w:rFonts w:hint="eastAsia" w:ascii="宋体" w:hAnsi="宋体" w:eastAsia="宋体" w:cs="宋体"/>
                <w:color w:val="auto"/>
                <w:highlight w:val="none"/>
              </w:rPr>
            </w:pPr>
          </w:p>
        </w:tc>
      </w:tr>
      <w:tr w14:paraId="6CB92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D73F987">
            <w:pPr>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58CC489C">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6EC6D0">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0D5DCE7">
            <w:pPr>
              <w:pStyle w:val="21"/>
              <w:rPr>
                <w:rFonts w:hint="eastAsia" w:ascii="宋体" w:hAnsi="宋体" w:eastAsia="宋体" w:cs="宋体"/>
                <w:color w:val="auto"/>
                <w:highlight w:val="none"/>
              </w:rPr>
            </w:pPr>
          </w:p>
        </w:tc>
      </w:tr>
      <w:tr w14:paraId="48386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A2E1211">
            <w:pPr>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605F2EF6">
            <w:pPr>
              <w:pStyle w:val="21"/>
              <w:rPr>
                <w:rFonts w:hint="eastAsia" w:ascii="宋体" w:hAnsi="宋体" w:eastAsia="宋体" w:cs="宋体"/>
                <w:color w:val="auto"/>
                <w:highlight w:val="none"/>
              </w:rPr>
            </w:pPr>
          </w:p>
        </w:tc>
        <w:tc>
          <w:tcPr>
            <w:tcW w:w="1294" w:type="dxa"/>
            <w:vAlign w:val="top"/>
          </w:tcPr>
          <w:p w14:paraId="5D1675CC">
            <w:pPr>
              <w:pStyle w:val="21"/>
              <w:rPr>
                <w:rFonts w:hint="eastAsia" w:ascii="宋体" w:hAnsi="宋体" w:eastAsia="宋体" w:cs="宋体"/>
                <w:color w:val="auto"/>
                <w:highlight w:val="none"/>
              </w:rPr>
            </w:pPr>
          </w:p>
        </w:tc>
        <w:tc>
          <w:tcPr>
            <w:tcW w:w="2428" w:type="dxa"/>
            <w:vAlign w:val="top"/>
          </w:tcPr>
          <w:p w14:paraId="0D243CC5">
            <w:pPr>
              <w:pStyle w:val="21"/>
              <w:rPr>
                <w:rFonts w:hint="eastAsia" w:ascii="宋体" w:hAnsi="宋体" w:eastAsia="宋体" w:cs="宋体"/>
                <w:color w:val="auto"/>
                <w:highlight w:val="none"/>
              </w:rPr>
            </w:pPr>
          </w:p>
        </w:tc>
      </w:tr>
      <w:tr w14:paraId="76966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3A897C1">
            <w:pPr>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1DFBD65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A4710CA">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8555BA1">
            <w:pPr>
              <w:pStyle w:val="21"/>
              <w:rPr>
                <w:rFonts w:hint="eastAsia" w:ascii="宋体" w:hAnsi="宋体" w:eastAsia="宋体" w:cs="宋体"/>
                <w:color w:val="auto"/>
                <w:highlight w:val="none"/>
              </w:rPr>
            </w:pPr>
          </w:p>
        </w:tc>
      </w:tr>
      <w:tr w14:paraId="2B8E7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F49CBC9">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23AC72B5">
            <w:pP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BDB79A">
            <w:pP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25C0773">
            <w:pPr>
              <w:pStyle w:val="21"/>
              <w:rPr>
                <w:rFonts w:hint="eastAsia" w:ascii="宋体" w:hAnsi="宋体" w:eastAsia="宋体" w:cs="宋体"/>
                <w:color w:val="auto"/>
                <w:highlight w:val="none"/>
              </w:rPr>
            </w:pPr>
          </w:p>
        </w:tc>
      </w:tr>
      <w:tr w14:paraId="71E56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065D67">
            <w:pPr>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2C9AAB19">
            <w:pPr>
              <w:pStyle w:val="21"/>
              <w:spacing w:line="296" w:lineRule="auto"/>
              <w:rPr>
                <w:rFonts w:hint="eastAsia" w:ascii="宋体" w:hAnsi="宋体" w:eastAsia="宋体" w:cs="宋体"/>
                <w:color w:val="auto"/>
                <w:highlight w:val="none"/>
              </w:rPr>
            </w:pPr>
          </w:p>
          <w:p w14:paraId="4876A57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76200BC">
            <w:pPr>
              <w:pStyle w:val="21"/>
              <w:spacing w:line="296" w:lineRule="auto"/>
              <w:rPr>
                <w:rFonts w:hint="eastAsia" w:ascii="宋体" w:hAnsi="宋体" w:eastAsia="宋体" w:cs="宋体"/>
                <w:color w:val="auto"/>
                <w:highlight w:val="none"/>
              </w:rPr>
            </w:pPr>
          </w:p>
          <w:p w14:paraId="7AB7C83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E4D7469">
            <w:pPr>
              <w:pStyle w:val="21"/>
              <w:rPr>
                <w:rFonts w:hint="eastAsia" w:ascii="宋体" w:hAnsi="宋体" w:eastAsia="宋体" w:cs="宋体"/>
                <w:color w:val="auto"/>
                <w:highlight w:val="none"/>
              </w:rPr>
            </w:pPr>
          </w:p>
        </w:tc>
      </w:tr>
      <w:tr w14:paraId="6ACD1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2AABE9E">
            <w:pPr>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2B72A05D">
            <w:pPr>
              <w:pStyle w:val="21"/>
              <w:spacing w:line="272" w:lineRule="auto"/>
              <w:rPr>
                <w:rFonts w:hint="eastAsia" w:ascii="宋体" w:hAnsi="宋体" w:eastAsia="宋体" w:cs="宋体"/>
                <w:color w:val="auto"/>
                <w:highlight w:val="none"/>
              </w:rPr>
            </w:pPr>
          </w:p>
          <w:p w14:paraId="5116E607">
            <w:pPr>
              <w:pStyle w:val="21"/>
              <w:spacing w:line="272" w:lineRule="auto"/>
              <w:rPr>
                <w:rFonts w:hint="eastAsia" w:ascii="宋体" w:hAnsi="宋体" w:eastAsia="宋体" w:cs="宋体"/>
                <w:color w:val="auto"/>
                <w:highlight w:val="none"/>
              </w:rPr>
            </w:pPr>
          </w:p>
          <w:p w14:paraId="1D92D5C4">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13E1CBC">
            <w:pPr>
              <w:pStyle w:val="21"/>
              <w:spacing w:line="272" w:lineRule="auto"/>
              <w:rPr>
                <w:rFonts w:hint="eastAsia" w:ascii="宋体" w:hAnsi="宋体" w:eastAsia="宋体" w:cs="宋体"/>
                <w:color w:val="auto"/>
                <w:highlight w:val="none"/>
              </w:rPr>
            </w:pPr>
          </w:p>
          <w:p w14:paraId="6170A90B">
            <w:pPr>
              <w:pStyle w:val="21"/>
              <w:spacing w:line="272" w:lineRule="auto"/>
              <w:rPr>
                <w:rFonts w:hint="eastAsia" w:ascii="宋体" w:hAnsi="宋体" w:eastAsia="宋体" w:cs="宋体"/>
                <w:color w:val="auto"/>
                <w:highlight w:val="none"/>
              </w:rPr>
            </w:pPr>
          </w:p>
          <w:p w14:paraId="154F4BC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DE1D241">
            <w:pPr>
              <w:pStyle w:val="21"/>
              <w:rPr>
                <w:rFonts w:hint="eastAsia" w:ascii="宋体" w:hAnsi="宋体" w:eastAsia="宋体" w:cs="宋体"/>
                <w:color w:val="auto"/>
                <w:highlight w:val="none"/>
              </w:rPr>
            </w:pPr>
          </w:p>
        </w:tc>
      </w:tr>
    </w:tbl>
    <w:p w14:paraId="6E4A0502">
      <w:pPr>
        <w:pStyle w:val="5"/>
        <w:spacing w:line="288" w:lineRule="auto"/>
        <w:rPr>
          <w:rFonts w:hint="eastAsia" w:ascii="宋体" w:hAnsi="宋体" w:eastAsia="宋体" w:cs="宋体"/>
          <w:color w:val="auto"/>
          <w:highlight w:val="none"/>
        </w:rPr>
      </w:pPr>
    </w:p>
    <w:p w14:paraId="75FD8B74">
      <w:pPr>
        <w:pStyle w:val="5"/>
        <w:spacing w:line="288" w:lineRule="auto"/>
        <w:rPr>
          <w:rFonts w:hint="eastAsia" w:ascii="宋体" w:hAnsi="宋体" w:eastAsia="宋体" w:cs="宋体"/>
          <w:color w:val="auto"/>
          <w:highlight w:val="none"/>
        </w:rPr>
      </w:pPr>
    </w:p>
    <w:p w14:paraId="3445358B">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520" w:firstLineChars="200"/>
        <w:textAlignment w:val="baseline"/>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21F57AC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7A1DC17D">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516" w:firstLineChars="200"/>
        <w:textAlignment w:val="baseline"/>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07D02C66">
      <w:pPr>
        <w:rPr>
          <w:color w:val="auto"/>
          <w:highlight w:val="none"/>
        </w:rPr>
      </w:pPr>
    </w:p>
    <w:p w14:paraId="086DFF7E">
      <w:pPr>
        <w:pStyle w:val="13"/>
        <w:rPr>
          <w:rFonts w:hint="eastAsia" w:ascii="宋体" w:hAnsi="宋体" w:eastAsia="宋体" w:cs="宋体"/>
          <w:b/>
          <w:bCs/>
          <w:color w:val="auto"/>
          <w:spacing w:val="-4"/>
          <w:sz w:val="24"/>
          <w:szCs w:val="24"/>
          <w:highlight w:val="none"/>
        </w:rPr>
      </w:pPr>
    </w:p>
    <w:p w14:paraId="4D9F0099">
      <w:pPr>
        <w:pStyle w:val="13"/>
        <w:rPr>
          <w:rFonts w:hint="eastAsia" w:ascii="宋体" w:hAnsi="宋体" w:eastAsia="宋体" w:cs="宋体"/>
          <w:b/>
          <w:bCs/>
          <w:color w:val="auto"/>
          <w:spacing w:val="-4"/>
          <w:sz w:val="24"/>
          <w:szCs w:val="24"/>
          <w:highlight w:val="none"/>
        </w:rPr>
      </w:pPr>
    </w:p>
    <w:p w14:paraId="1872DDAC">
      <w:pPr>
        <w:pStyle w:val="13"/>
        <w:rPr>
          <w:rFonts w:hint="eastAsia" w:ascii="宋体" w:hAnsi="宋体" w:eastAsia="宋体" w:cs="宋体"/>
          <w:b/>
          <w:bCs/>
          <w:color w:val="auto"/>
          <w:spacing w:val="-4"/>
          <w:sz w:val="24"/>
          <w:szCs w:val="24"/>
          <w:highlight w:val="none"/>
        </w:rPr>
      </w:pPr>
    </w:p>
    <w:p w14:paraId="102A38AF">
      <w:pPr>
        <w:pStyle w:val="13"/>
        <w:rPr>
          <w:rFonts w:hint="eastAsia" w:ascii="宋体" w:hAnsi="宋体" w:eastAsia="宋体" w:cs="宋体"/>
          <w:b/>
          <w:bCs/>
          <w:color w:val="auto"/>
          <w:spacing w:val="-4"/>
          <w:sz w:val="24"/>
          <w:szCs w:val="24"/>
          <w:highlight w:val="none"/>
        </w:rPr>
      </w:pPr>
    </w:p>
    <w:p w14:paraId="2E1BA95E">
      <w:pPr>
        <w:pStyle w:val="13"/>
        <w:rPr>
          <w:rFonts w:hint="eastAsia" w:ascii="宋体" w:hAnsi="宋体" w:eastAsia="宋体" w:cs="宋体"/>
          <w:b/>
          <w:bCs/>
          <w:color w:val="auto"/>
          <w:spacing w:val="-4"/>
          <w:sz w:val="24"/>
          <w:szCs w:val="24"/>
          <w:highlight w:val="none"/>
        </w:rPr>
      </w:pPr>
    </w:p>
    <w:p w14:paraId="738EC21D">
      <w:pPr>
        <w:pStyle w:val="13"/>
        <w:ind w:left="0" w:leftChars="0" w:firstLine="0" w:firstLineChars="0"/>
        <w:rPr>
          <w:rFonts w:hint="eastAsia" w:ascii="宋体" w:hAnsi="宋体" w:eastAsia="宋体" w:cs="宋体"/>
          <w:b/>
          <w:bCs/>
          <w:color w:val="auto"/>
          <w:spacing w:val="-4"/>
          <w:sz w:val="24"/>
          <w:szCs w:val="24"/>
          <w:highlight w:val="none"/>
        </w:rPr>
      </w:pPr>
    </w:p>
    <w:p w14:paraId="5A49A582">
      <w:pPr>
        <w:spacing w:before="78" w:line="220" w:lineRule="auto"/>
        <w:jc w:val="left"/>
        <w:outlineLvl w:val="9"/>
        <w:rPr>
          <w:rFonts w:hint="eastAsia" w:ascii="宋体" w:hAnsi="宋体" w:eastAsia="宋体" w:cs="宋体"/>
          <w:b/>
          <w:bCs/>
          <w:color w:val="auto"/>
          <w:spacing w:val="-4"/>
          <w:sz w:val="24"/>
          <w:szCs w:val="24"/>
          <w:highlight w:val="none"/>
        </w:rPr>
      </w:pPr>
    </w:p>
    <w:p w14:paraId="6BEB6D1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09B15C70">
      <w:pPr>
        <w:pStyle w:val="45"/>
        <w:snapToGrid w:val="0"/>
        <w:spacing w:line="440" w:lineRule="exact"/>
        <w:ind w:left="0" w:leftChars="0" w:firstLine="0" w:firstLineChars="0"/>
        <w:outlineLvl w:val="1"/>
        <w:rPr>
          <w:rStyle w:val="20"/>
          <w:rFonts w:hint="eastAsia" w:ascii="Times New Roman" w:hAnsi="宋体" w:eastAsia="宋体" w:cs="Times New Roman"/>
          <w:b/>
          <w:bCs/>
          <w:color w:val="auto"/>
          <w:sz w:val="24"/>
          <w:szCs w:val="24"/>
          <w:highlight w:val="none"/>
          <w:lang w:val="en-US" w:eastAsia="zh-CN"/>
        </w:rPr>
      </w:pPr>
      <w:bookmarkStart w:id="259" w:name="_Toc26911"/>
      <w:bookmarkStart w:id="260" w:name="_Toc26323"/>
      <w:r>
        <w:rPr>
          <w:rStyle w:val="20"/>
          <w:rFonts w:hint="eastAsia" w:ascii="Times New Roman" w:hAnsi="宋体" w:eastAsia="宋体" w:cs="Times New Roman"/>
          <w:b/>
          <w:bCs/>
          <w:color w:val="auto"/>
          <w:sz w:val="24"/>
          <w:szCs w:val="24"/>
          <w:highlight w:val="none"/>
          <w:lang w:eastAsia="zh-CN"/>
        </w:rPr>
        <w:t>格式十</w:t>
      </w:r>
      <w:r>
        <w:rPr>
          <w:rStyle w:val="20"/>
          <w:rFonts w:hint="eastAsia" w:ascii="Times New Roman" w:hAnsi="宋体" w:cs="Times New Roman"/>
          <w:b/>
          <w:bCs/>
          <w:color w:val="auto"/>
          <w:sz w:val="24"/>
          <w:szCs w:val="24"/>
          <w:highlight w:val="none"/>
          <w:lang w:val="en-US" w:eastAsia="zh-CN"/>
        </w:rPr>
        <w:t xml:space="preserve">四  </w:t>
      </w:r>
      <w:r>
        <w:rPr>
          <w:rStyle w:val="20"/>
          <w:rFonts w:hint="eastAsia" w:ascii="Times New Roman" w:hAnsi="宋体" w:eastAsia="宋体" w:cs="Times New Roman"/>
          <w:b/>
          <w:bCs/>
          <w:color w:val="auto"/>
          <w:sz w:val="24"/>
          <w:szCs w:val="24"/>
          <w:highlight w:val="none"/>
          <w:lang w:val="en-US" w:eastAsia="zh-CN"/>
        </w:rPr>
        <w:t>定标因素评审资料</w:t>
      </w:r>
      <w:bookmarkEnd w:id="259"/>
      <w:bookmarkEnd w:id="260"/>
    </w:p>
    <w:p w14:paraId="1FBABC69">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6109F8B3">
      <w:pPr>
        <w:jc w:val="left"/>
        <w:rPr>
          <w:rFonts w:hint="eastAsia" w:ascii="宋体" w:hAnsi="宋体" w:eastAsia="宋体" w:cs="宋体"/>
          <w:color w:val="auto"/>
          <w:sz w:val="24"/>
          <w:highlight w:val="none"/>
          <w:lang w:eastAsia="zh-CN"/>
        </w:rPr>
      </w:pPr>
    </w:p>
    <w:p w14:paraId="53BC4F7B">
      <w:pPr>
        <w:pStyle w:val="39"/>
        <w:ind w:left="0" w:leftChars="0" w:firstLine="0" w:firstLineChars="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31DBA79C">
      <w:pP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br w:type="page"/>
      </w:r>
    </w:p>
    <w:p w14:paraId="2DE8C045">
      <w:pPr>
        <w:spacing w:before="78" w:line="220" w:lineRule="auto"/>
        <w:outlineLvl w:val="2"/>
        <w:rPr>
          <w:rFonts w:hint="eastAsia" w:ascii="宋体" w:hAnsi="宋体" w:eastAsia="宋体" w:cs="宋体"/>
          <w:b/>
          <w:bCs/>
          <w:color w:val="auto"/>
          <w:spacing w:val="-4"/>
          <w:sz w:val="24"/>
          <w:szCs w:val="24"/>
          <w:highlight w:val="none"/>
        </w:rPr>
      </w:pPr>
      <w:bookmarkStart w:id="261" w:name="_Toc9960"/>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61"/>
    </w:p>
    <w:p w14:paraId="7AB012E8">
      <w:pPr>
        <w:rPr>
          <w:rFonts w:hint="eastAsia"/>
        </w:rPr>
      </w:pPr>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B73B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139EAEDC">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43A0D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73B010EB">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lang w:val="en-US" w:eastAsia="zh-CN"/>
              </w:rPr>
              <w:t>项目</w:t>
            </w:r>
            <w:r>
              <w:rPr>
                <w:rFonts w:hint="eastAsia" w:ascii="宋体" w:hAnsi="宋体" w:eastAsia="宋体" w:cs="宋体"/>
                <w:color w:val="auto"/>
                <w:spacing w:val="7"/>
                <w:sz w:val="24"/>
                <w:szCs w:val="24"/>
                <w:highlight w:val="none"/>
              </w:rPr>
              <w:t>名称</w:t>
            </w:r>
          </w:p>
        </w:tc>
        <w:tc>
          <w:tcPr>
            <w:tcW w:w="6816" w:type="dxa"/>
            <w:gridSpan w:val="6"/>
            <w:vAlign w:val="top"/>
          </w:tcPr>
          <w:p w14:paraId="436C4A0F">
            <w:pPr>
              <w:pStyle w:val="21"/>
              <w:rPr>
                <w:rFonts w:hint="eastAsia" w:ascii="宋体" w:hAnsi="宋体" w:eastAsia="宋体" w:cs="宋体"/>
                <w:color w:val="auto"/>
                <w:sz w:val="24"/>
                <w:szCs w:val="24"/>
                <w:highlight w:val="none"/>
              </w:rPr>
            </w:pPr>
          </w:p>
        </w:tc>
      </w:tr>
      <w:tr w14:paraId="4F664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7FAEAAF8">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728B0D50">
            <w:pPr>
              <w:pStyle w:val="21"/>
              <w:rPr>
                <w:rFonts w:hint="eastAsia" w:ascii="宋体" w:hAnsi="宋体" w:eastAsia="宋体" w:cs="宋体"/>
                <w:color w:val="auto"/>
                <w:sz w:val="24"/>
                <w:szCs w:val="24"/>
                <w:highlight w:val="none"/>
              </w:rPr>
            </w:pPr>
          </w:p>
        </w:tc>
      </w:tr>
      <w:tr w14:paraId="2298A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94A2F36">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6A43778D">
            <w:pPr>
              <w:pStyle w:val="21"/>
              <w:rPr>
                <w:rFonts w:hint="eastAsia" w:ascii="宋体" w:hAnsi="宋体" w:eastAsia="宋体" w:cs="宋体"/>
                <w:color w:val="auto"/>
                <w:sz w:val="24"/>
                <w:szCs w:val="24"/>
                <w:highlight w:val="none"/>
              </w:rPr>
            </w:pPr>
          </w:p>
        </w:tc>
        <w:tc>
          <w:tcPr>
            <w:tcW w:w="1499" w:type="dxa"/>
            <w:gridSpan w:val="2"/>
            <w:vAlign w:val="top"/>
          </w:tcPr>
          <w:p w14:paraId="0EE8AF03">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03CF1256">
            <w:pPr>
              <w:pStyle w:val="21"/>
              <w:rPr>
                <w:rFonts w:hint="eastAsia" w:ascii="宋体" w:hAnsi="宋体" w:eastAsia="宋体" w:cs="宋体"/>
                <w:color w:val="auto"/>
                <w:sz w:val="24"/>
                <w:szCs w:val="24"/>
                <w:highlight w:val="none"/>
              </w:rPr>
            </w:pPr>
          </w:p>
        </w:tc>
      </w:tr>
      <w:tr w14:paraId="3771E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6B3113AB">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5CF83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76456563">
            <w:pPr>
              <w:pStyle w:val="21"/>
              <w:spacing w:line="257" w:lineRule="auto"/>
              <w:rPr>
                <w:rFonts w:hint="eastAsia" w:ascii="宋体" w:hAnsi="宋体" w:eastAsia="宋体" w:cs="宋体"/>
                <w:color w:val="auto"/>
                <w:sz w:val="24"/>
                <w:szCs w:val="24"/>
                <w:highlight w:val="none"/>
              </w:rPr>
            </w:pPr>
          </w:p>
          <w:p w14:paraId="632A5F0C">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26A01165">
            <w:pPr>
              <w:pStyle w:val="21"/>
              <w:spacing w:line="257" w:lineRule="auto"/>
              <w:rPr>
                <w:rFonts w:hint="eastAsia" w:ascii="宋体" w:hAnsi="宋体" w:eastAsia="宋体" w:cs="宋体"/>
                <w:color w:val="auto"/>
                <w:sz w:val="24"/>
                <w:szCs w:val="24"/>
                <w:highlight w:val="none"/>
              </w:rPr>
            </w:pPr>
          </w:p>
          <w:p w14:paraId="6F0E6F01">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5A1BBD62">
            <w:pPr>
              <w:pStyle w:val="21"/>
              <w:spacing w:line="256" w:lineRule="auto"/>
              <w:rPr>
                <w:rFonts w:hint="eastAsia" w:ascii="宋体" w:hAnsi="宋体" w:eastAsia="宋体" w:cs="宋体"/>
                <w:color w:val="auto"/>
                <w:sz w:val="24"/>
                <w:szCs w:val="24"/>
                <w:highlight w:val="none"/>
              </w:rPr>
            </w:pPr>
          </w:p>
          <w:p w14:paraId="4CD6E64E">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359F02B5">
            <w:pPr>
              <w:pStyle w:val="21"/>
              <w:spacing w:line="256" w:lineRule="auto"/>
              <w:rPr>
                <w:rFonts w:hint="eastAsia" w:ascii="宋体" w:hAnsi="宋体" w:eastAsia="宋体" w:cs="宋体"/>
                <w:color w:val="auto"/>
                <w:sz w:val="24"/>
                <w:szCs w:val="24"/>
                <w:highlight w:val="none"/>
              </w:rPr>
            </w:pPr>
          </w:p>
          <w:p w14:paraId="603B0ED2">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7332C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4974D2F">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40A432B3">
            <w:pPr>
              <w:pStyle w:val="21"/>
              <w:rPr>
                <w:rFonts w:hint="eastAsia" w:ascii="宋体" w:hAnsi="宋体" w:eastAsia="宋体" w:cs="宋体"/>
                <w:color w:val="auto"/>
                <w:sz w:val="24"/>
                <w:szCs w:val="24"/>
                <w:highlight w:val="none"/>
              </w:rPr>
            </w:pPr>
          </w:p>
        </w:tc>
        <w:tc>
          <w:tcPr>
            <w:tcW w:w="1771" w:type="dxa"/>
            <w:gridSpan w:val="2"/>
            <w:vAlign w:val="top"/>
          </w:tcPr>
          <w:p w14:paraId="202845E4">
            <w:pPr>
              <w:pStyle w:val="21"/>
              <w:rPr>
                <w:rFonts w:hint="eastAsia" w:ascii="宋体" w:hAnsi="宋体" w:eastAsia="宋体" w:cs="宋体"/>
                <w:color w:val="auto"/>
                <w:sz w:val="24"/>
                <w:szCs w:val="24"/>
                <w:highlight w:val="none"/>
              </w:rPr>
            </w:pPr>
          </w:p>
        </w:tc>
        <w:tc>
          <w:tcPr>
            <w:tcW w:w="1637" w:type="dxa"/>
            <w:vAlign w:val="top"/>
          </w:tcPr>
          <w:p w14:paraId="449276C0">
            <w:pPr>
              <w:pStyle w:val="21"/>
              <w:rPr>
                <w:rFonts w:hint="eastAsia" w:ascii="宋体" w:hAnsi="宋体" w:eastAsia="宋体" w:cs="宋体"/>
                <w:color w:val="auto"/>
                <w:sz w:val="24"/>
                <w:szCs w:val="24"/>
                <w:highlight w:val="none"/>
              </w:rPr>
            </w:pPr>
          </w:p>
        </w:tc>
      </w:tr>
      <w:tr w14:paraId="30CFA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77C027FD">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53AB11D9">
            <w:pPr>
              <w:pStyle w:val="21"/>
              <w:rPr>
                <w:rFonts w:hint="eastAsia" w:ascii="宋体" w:hAnsi="宋体" w:eastAsia="宋体" w:cs="宋体"/>
                <w:color w:val="auto"/>
                <w:sz w:val="24"/>
                <w:szCs w:val="24"/>
                <w:highlight w:val="none"/>
              </w:rPr>
            </w:pPr>
          </w:p>
        </w:tc>
        <w:tc>
          <w:tcPr>
            <w:tcW w:w="1771" w:type="dxa"/>
            <w:gridSpan w:val="2"/>
            <w:vAlign w:val="top"/>
          </w:tcPr>
          <w:p w14:paraId="37B661A7">
            <w:pPr>
              <w:pStyle w:val="21"/>
              <w:rPr>
                <w:rFonts w:hint="eastAsia" w:ascii="宋体" w:hAnsi="宋体" w:eastAsia="宋体" w:cs="宋体"/>
                <w:color w:val="auto"/>
                <w:sz w:val="24"/>
                <w:szCs w:val="24"/>
                <w:highlight w:val="none"/>
              </w:rPr>
            </w:pPr>
          </w:p>
        </w:tc>
        <w:tc>
          <w:tcPr>
            <w:tcW w:w="1637" w:type="dxa"/>
            <w:vAlign w:val="top"/>
          </w:tcPr>
          <w:p w14:paraId="6814499F">
            <w:pPr>
              <w:pStyle w:val="21"/>
              <w:rPr>
                <w:rFonts w:hint="eastAsia" w:ascii="宋体" w:hAnsi="宋体" w:eastAsia="宋体" w:cs="宋体"/>
                <w:color w:val="auto"/>
                <w:sz w:val="24"/>
                <w:szCs w:val="24"/>
                <w:highlight w:val="none"/>
              </w:rPr>
            </w:pPr>
          </w:p>
        </w:tc>
      </w:tr>
      <w:tr w14:paraId="328D3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491562F9">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15D56770">
            <w:pPr>
              <w:pStyle w:val="21"/>
              <w:rPr>
                <w:rFonts w:hint="eastAsia" w:ascii="宋体" w:hAnsi="宋体" w:eastAsia="宋体" w:cs="宋体"/>
                <w:color w:val="auto"/>
                <w:sz w:val="24"/>
                <w:szCs w:val="24"/>
                <w:highlight w:val="none"/>
              </w:rPr>
            </w:pPr>
          </w:p>
        </w:tc>
        <w:tc>
          <w:tcPr>
            <w:tcW w:w="1771" w:type="dxa"/>
            <w:gridSpan w:val="2"/>
            <w:vAlign w:val="top"/>
          </w:tcPr>
          <w:p w14:paraId="135CD507">
            <w:pPr>
              <w:pStyle w:val="21"/>
              <w:rPr>
                <w:rFonts w:hint="eastAsia" w:ascii="宋体" w:hAnsi="宋体" w:eastAsia="宋体" w:cs="宋体"/>
                <w:color w:val="auto"/>
                <w:sz w:val="24"/>
                <w:szCs w:val="24"/>
                <w:highlight w:val="none"/>
              </w:rPr>
            </w:pPr>
          </w:p>
        </w:tc>
        <w:tc>
          <w:tcPr>
            <w:tcW w:w="1637" w:type="dxa"/>
            <w:vAlign w:val="top"/>
          </w:tcPr>
          <w:p w14:paraId="01568B72">
            <w:pPr>
              <w:pStyle w:val="21"/>
              <w:rPr>
                <w:rFonts w:hint="eastAsia" w:ascii="宋体" w:hAnsi="宋体" w:eastAsia="宋体" w:cs="宋体"/>
                <w:color w:val="auto"/>
                <w:sz w:val="24"/>
                <w:szCs w:val="24"/>
                <w:highlight w:val="none"/>
              </w:rPr>
            </w:pPr>
          </w:p>
        </w:tc>
      </w:tr>
      <w:tr w14:paraId="7CB49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17EF96EB">
            <w:pPr>
              <w:pStyle w:val="21"/>
              <w:spacing w:line="348" w:lineRule="auto"/>
              <w:rPr>
                <w:rFonts w:hint="eastAsia" w:ascii="宋体" w:hAnsi="宋体" w:eastAsia="宋体" w:cs="宋体"/>
                <w:color w:val="auto"/>
                <w:sz w:val="24"/>
                <w:szCs w:val="24"/>
                <w:highlight w:val="none"/>
              </w:rPr>
            </w:pPr>
          </w:p>
          <w:p w14:paraId="0EAC5384">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4866CD3F">
            <w:pPr>
              <w:pStyle w:val="21"/>
              <w:rPr>
                <w:rFonts w:hint="eastAsia" w:ascii="宋体" w:hAnsi="宋体" w:eastAsia="宋体" w:cs="宋体"/>
                <w:color w:val="auto"/>
                <w:sz w:val="24"/>
                <w:szCs w:val="24"/>
                <w:highlight w:val="none"/>
              </w:rPr>
            </w:pPr>
          </w:p>
        </w:tc>
        <w:tc>
          <w:tcPr>
            <w:tcW w:w="1771" w:type="dxa"/>
            <w:gridSpan w:val="2"/>
            <w:vAlign w:val="top"/>
          </w:tcPr>
          <w:p w14:paraId="5CD00E1D">
            <w:pPr>
              <w:pStyle w:val="21"/>
              <w:rPr>
                <w:rFonts w:hint="eastAsia" w:ascii="宋体" w:hAnsi="宋体" w:eastAsia="宋体" w:cs="宋体"/>
                <w:color w:val="auto"/>
                <w:sz w:val="24"/>
                <w:szCs w:val="24"/>
                <w:highlight w:val="none"/>
              </w:rPr>
            </w:pPr>
          </w:p>
        </w:tc>
        <w:tc>
          <w:tcPr>
            <w:tcW w:w="1637" w:type="dxa"/>
            <w:vAlign w:val="top"/>
          </w:tcPr>
          <w:p w14:paraId="7C2CDC35">
            <w:pPr>
              <w:pStyle w:val="21"/>
              <w:rPr>
                <w:rFonts w:hint="eastAsia" w:ascii="宋体" w:hAnsi="宋体" w:eastAsia="宋体" w:cs="宋体"/>
                <w:color w:val="auto"/>
                <w:sz w:val="24"/>
                <w:szCs w:val="24"/>
                <w:highlight w:val="none"/>
              </w:rPr>
            </w:pPr>
          </w:p>
        </w:tc>
      </w:tr>
      <w:tr w14:paraId="577BCD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4E52417E">
            <w:pPr>
              <w:pStyle w:val="21"/>
              <w:spacing w:line="274" w:lineRule="auto"/>
              <w:rPr>
                <w:rFonts w:hint="eastAsia" w:ascii="宋体" w:hAnsi="宋体" w:eastAsia="宋体" w:cs="宋体"/>
                <w:color w:val="auto"/>
                <w:sz w:val="24"/>
                <w:szCs w:val="24"/>
                <w:highlight w:val="none"/>
              </w:rPr>
            </w:pPr>
          </w:p>
          <w:p w14:paraId="6343B80B">
            <w:pPr>
              <w:pStyle w:val="21"/>
              <w:spacing w:line="275" w:lineRule="auto"/>
              <w:rPr>
                <w:rFonts w:hint="eastAsia" w:ascii="宋体" w:hAnsi="宋体" w:eastAsia="宋体" w:cs="宋体"/>
                <w:color w:val="auto"/>
                <w:sz w:val="24"/>
                <w:szCs w:val="24"/>
                <w:highlight w:val="none"/>
              </w:rPr>
            </w:pPr>
          </w:p>
          <w:p w14:paraId="42877717">
            <w:pPr>
              <w:pStyle w:val="21"/>
              <w:spacing w:line="275" w:lineRule="auto"/>
              <w:rPr>
                <w:rFonts w:hint="eastAsia" w:ascii="宋体" w:hAnsi="宋体" w:eastAsia="宋体" w:cs="宋体"/>
                <w:color w:val="auto"/>
                <w:sz w:val="24"/>
                <w:szCs w:val="24"/>
                <w:highlight w:val="none"/>
              </w:rPr>
            </w:pPr>
          </w:p>
          <w:p w14:paraId="051695EA">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3CD6B0B5">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57F8DF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5F70A10">
            <w:pPr>
              <w:pStyle w:val="21"/>
              <w:spacing w:line="240" w:lineRule="auto"/>
              <w:rPr>
                <w:rFonts w:hint="eastAsia" w:ascii="宋体" w:hAnsi="宋体" w:eastAsia="宋体" w:cs="宋体"/>
                <w:color w:val="auto"/>
                <w:sz w:val="24"/>
                <w:szCs w:val="24"/>
                <w:highlight w:val="none"/>
              </w:rPr>
            </w:pPr>
          </w:p>
          <w:p w14:paraId="262C3279">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3A87E419">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014C91BF">
            <w:pPr>
              <w:pStyle w:val="21"/>
              <w:rPr>
                <w:rFonts w:hint="eastAsia" w:ascii="宋体" w:hAnsi="宋体" w:eastAsia="宋体" w:cs="宋体"/>
                <w:color w:val="auto"/>
                <w:sz w:val="24"/>
                <w:szCs w:val="24"/>
                <w:highlight w:val="none"/>
              </w:rPr>
            </w:pPr>
          </w:p>
        </w:tc>
        <w:tc>
          <w:tcPr>
            <w:tcW w:w="1683" w:type="dxa"/>
            <w:gridSpan w:val="2"/>
            <w:vAlign w:val="top"/>
          </w:tcPr>
          <w:p w14:paraId="41756D00">
            <w:pPr>
              <w:pStyle w:val="21"/>
              <w:spacing w:line="288" w:lineRule="auto"/>
              <w:rPr>
                <w:rFonts w:hint="eastAsia" w:ascii="宋体" w:hAnsi="宋体" w:eastAsia="宋体" w:cs="宋体"/>
                <w:color w:val="auto"/>
                <w:sz w:val="24"/>
                <w:szCs w:val="24"/>
                <w:highlight w:val="none"/>
              </w:rPr>
            </w:pPr>
          </w:p>
          <w:p w14:paraId="282F10D4">
            <w:pPr>
              <w:pStyle w:val="21"/>
              <w:spacing w:line="289" w:lineRule="auto"/>
              <w:rPr>
                <w:rFonts w:hint="eastAsia" w:ascii="宋体" w:hAnsi="宋体" w:eastAsia="宋体" w:cs="宋体"/>
                <w:color w:val="auto"/>
                <w:sz w:val="24"/>
                <w:szCs w:val="24"/>
                <w:highlight w:val="none"/>
              </w:rPr>
            </w:pPr>
          </w:p>
          <w:p w14:paraId="413FAB2A">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7D846D60">
            <w:pPr>
              <w:pStyle w:val="21"/>
              <w:spacing w:line="288" w:lineRule="auto"/>
              <w:rPr>
                <w:rFonts w:hint="eastAsia" w:ascii="宋体" w:hAnsi="宋体" w:eastAsia="宋体" w:cs="宋体"/>
                <w:color w:val="auto"/>
                <w:sz w:val="24"/>
                <w:szCs w:val="24"/>
                <w:highlight w:val="none"/>
              </w:rPr>
            </w:pPr>
          </w:p>
          <w:p w14:paraId="20DBA4EA">
            <w:pPr>
              <w:pStyle w:val="21"/>
              <w:spacing w:line="289" w:lineRule="auto"/>
              <w:rPr>
                <w:rFonts w:hint="eastAsia" w:ascii="宋体" w:hAnsi="宋体" w:eastAsia="宋体" w:cs="宋体"/>
                <w:color w:val="auto"/>
                <w:sz w:val="24"/>
                <w:szCs w:val="24"/>
                <w:highlight w:val="none"/>
              </w:rPr>
            </w:pPr>
          </w:p>
          <w:p w14:paraId="3035CF30">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3E9F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128D0E6E">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04BA3C2D">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73D0CBEA">
            <w:pPr>
              <w:pStyle w:val="21"/>
              <w:rPr>
                <w:rFonts w:hint="eastAsia" w:ascii="宋体" w:hAnsi="宋体" w:eastAsia="宋体" w:cs="宋体"/>
                <w:color w:val="auto"/>
                <w:sz w:val="24"/>
                <w:szCs w:val="24"/>
                <w:highlight w:val="none"/>
              </w:rPr>
            </w:pPr>
          </w:p>
        </w:tc>
        <w:tc>
          <w:tcPr>
            <w:tcW w:w="1683" w:type="dxa"/>
            <w:gridSpan w:val="2"/>
            <w:vAlign w:val="top"/>
          </w:tcPr>
          <w:p w14:paraId="408BE00F">
            <w:pPr>
              <w:pStyle w:val="21"/>
              <w:spacing w:line="336" w:lineRule="auto"/>
              <w:rPr>
                <w:rFonts w:hint="eastAsia" w:ascii="宋体" w:hAnsi="宋体" w:eastAsia="宋体" w:cs="宋体"/>
                <w:color w:val="auto"/>
                <w:sz w:val="24"/>
                <w:szCs w:val="24"/>
                <w:highlight w:val="none"/>
              </w:rPr>
            </w:pPr>
          </w:p>
          <w:p w14:paraId="534E797A">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3CBB4B9C">
            <w:pPr>
              <w:pStyle w:val="21"/>
              <w:spacing w:line="335" w:lineRule="auto"/>
              <w:rPr>
                <w:rFonts w:hint="eastAsia" w:ascii="宋体" w:hAnsi="宋体" w:eastAsia="宋体" w:cs="宋体"/>
                <w:color w:val="auto"/>
                <w:sz w:val="24"/>
                <w:szCs w:val="24"/>
                <w:highlight w:val="none"/>
              </w:rPr>
            </w:pPr>
          </w:p>
          <w:p w14:paraId="6410BF8F">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0962CB36">
      <w:pPr>
        <w:rPr>
          <w:rFonts w:hint="eastAsia" w:ascii="宋体" w:hAnsi="宋体" w:eastAsia="宋体" w:cs="宋体"/>
          <w:b/>
          <w:bCs/>
          <w:color w:val="auto"/>
          <w:spacing w:val="-3"/>
          <w:sz w:val="24"/>
          <w:szCs w:val="24"/>
          <w:highlight w:val="none"/>
        </w:rPr>
      </w:pPr>
      <w:bookmarkStart w:id="262" w:name="bookmark107"/>
      <w:bookmarkEnd w:id="262"/>
      <w:r>
        <w:rPr>
          <w:rFonts w:hint="eastAsia" w:ascii="宋体" w:hAnsi="宋体" w:eastAsia="宋体" w:cs="宋体"/>
          <w:b/>
          <w:bCs/>
          <w:color w:val="auto"/>
          <w:spacing w:val="-3"/>
          <w:sz w:val="24"/>
          <w:szCs w:val="24"/>
          <w:highlight w:val="none"/>
        </w:rPr>
        <w:br w:type="page"/>
      </w:r>
    </w:p>
    <w:p w14:paraId="3C9DA96F">
      <w:pPr>
        <w:pStyle w:val="39"/>
        <w:ind w:left="0" w:leftChars="0" w:firstLine="0" w:firstLineChars="0"/>
        <w:jc w:val="center"/>
        <w:rPr>
          <w:rFonts w:hint="eastAsia" w:ascii="宋体" w:hAnsi="宋体" w:eastAsia="宋体" w:cs="宋体"/>
          <w:color w:val="auto"/>
          <w:highlight w:val="none"/>
        </w:rPr>
      </w:pPr>
      <w:bookmarkStart w:id="263" w:name="_Toc10482"/>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63"/>
    </w:p>
    <w:p w14:paraId="179363DD">
      <w:pPr>
        <w:pStyle w:val="5"/>
        <w:spacing w:line="257" w:lineRule="auto"/>
        <w:rPr>
          <w:rFonts w:hint="eastAsia" w:ascii="宋体" w:hAnsi="宋体" w:eastAsia="宋体" w:cs="宋体"/>
          <w:color w:val="auto"/>
          <w:highlight w:val="none"/>
        </w:rPr>
      </w:pPr>
    </w:p>
    <w:p w14:paraId="6DEC5D22">
      <w:pPr>
        <w:spacing w:before="78"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4BB447BE">
      <w:pPr>
        <w:rPr>
          <w:rFonts w:hint="eastAsia" w:ascii="宋体" w:hAnsi="宋体" w:eastAsia="宋体" w:cs="宋体"/>
          <w:color w:val="auto"/>
          <w:highlight w:val="none"/>
        </w:rPr>
      </w:pPr>
    </w:p>
    <w:sectPr>
      <w:footerReference r:id="rId23" w:type="default"/>
      <w:pgSz w:w="11906" w:h="16839"/>
      <w:pgMar w:top="1134" w:right="1134" w:bottom="1134" w:left="1134" w:header="567" w:footer="567"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07F9">
    <w:pPr>
      <w:pStyle w:val="9"/>
    </w:pPr>
    <w:r>
      <w:rPr>
        <w:sz w:val="18"/>
      </w:rPr>
      <mc:AlternateContent>
        <mc:Choice Requires="wps">
          <w:drawing>
            <wp:anchor distT="0" distB="0" distL="114300" distR="114300" simplePos="0" relativeHeight="251677696"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5A3393F2">
                          <w:pPr>
                            <w:pStyle w:val="9"/>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77696;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B79DX2QAAAAsBAAAPAAAAAAAAAAEAIAAAACIAAABkcnMvZG93bnJldi54bWxQSwEC&#10;FAAUAAAACACHTuJACW6KoLoBAABzAwAADgAAAAAAAAABACAAAAAoAQAAZHJzL2Uyb0RvYy54bWxQ&#10;SwUGAAAAAAYABgBZAQAAVAUAAAAA&#10;">
              <v:fill on="f" focussize="0,0"/>
              <v:stroke on="f"/>
              <v:imagedata o:title=""/>
              <o:lock v:ext="edit" aspectratio="f"/>
              <v:textbox inset="0mm,0mm,0mm,0mm">
                <w:txbxContent>
                  <w:p w14:paraId="5A3393F2">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9"/>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9"/>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9"/>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9"/>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9"/>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9"/>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9"/>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9"/>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9"/>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9"/>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9"/>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9"/>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9"/>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9"/>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9"/>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9"/>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9"/>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9"/>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9"/>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9"/>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1"/>
      <w:numFmt w:val="decimal"/>
      <w:suff w:val="nothing"/>
      <w:lvlText w:val="（%1）"/>
      <w:lvlJc w:val="left"/>
    </w:lvl>
  </w:abstractNum>
  <w:abstractNum w:abstractNumId="1">
    <w:nsid w:val="31EC2463"/>
    <w:multiLevelType w:val="singleLevel"/>
    <w:tmpl w:val="31EC2463"/>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473031"/>
    <w:rsid w:val="00477502"/>
    <w:rsid w:val="00824069"/>
    <w:rsid w:val="00D61DC8"/>
    <w:rsid w:val="01276505"/>
    <w:rsid w:val="013F232E"/>
    <w:rsid w:val="014252EF"/>
    <w:rsid w:val="014C6B51"/>
    <w:rsid w:val="018B7D8A"/>
    <w:rsid w:val="01B6213A"/>
    <w:rsid w:val="01BE1198"/>
    <w:rsid w:val="01E25ABE"/>
    <w:rsid w:val="01EE7C08"/>
    <w:rsid w:val="01FD63CC"/>
    <w:rsid w:val="02337D11"/>
    <w:rsid w:val="023B3D55"/>
    <w:rsid w:val="024F6BF1"/>
    <w:rsid w:val="02BF0C55"/>
    <w:rsid w:val="02E84657"/>
    <w:rsid w:val="02F13018"/>
    <w:rsid w:val="031418F0"/>
    <w:rsid w:val="0358304C"/>
    <w:rsid w:val="03661A20"/>
    <w:rsid w:val="039E06FB"/>
    <w:rsid w:val="04021749"/>
    <w:rsid w:val="04657F2A"/>
    <w:rsid w:val="04B67F25"/>
    <w:rsid w:val="04BF763A"/>
    <w:rsid w:val="04E2157A"/>
    <w:rsid w:val="04EF43C3"/>
    <w:rsid w:val="050B1B91"/>
    <w:rsid w:val="055E6E53"/>
    <w:rsid w:val="056C5F91"/>
    <w:rsid w:val="05D4768F"/>
    <w:rsid w:val="05E67124"/>
    <w:rsid w:val="05E732EC"/>
    <w:rsid w:val="05EC614B"/>
    <w:rsid w:val="062235DD"/>
    <w:rsid w:val="063C112F"/>
    <w:rsid w:val="06856661"/>
    <w:rsid w:val="069B537E"/>
    <w:rsid w:val="06C70A28"/>
    <w:rsid w:val="06C929F2"/>
    <w:rsid w:val="06CA23DC"/>
    <w:rsid w:val="06D05B2E"/>
    <w:rsid w:val="06DD024B"/>
    <w:rsid w:val="07001B9F"/>
    <w:rsid w:val="07133987"/>
    <w:rsid w:val="07520C39"/>
    <w:rsid w:val="07A1396F"/>
    <w:rsid w:val="07A71DAB"/>
    <w:rsid w:val="07B92A66"/>
    <w:rsid w:val="07DE24CD"/>
    <w:rsid w:val="086230FE"/>
    <w:rsid w:val="088C763C"/>
    <w:rsid w:val="08CD7283"/>
    <w:rsid w:val="08E41D65"/>
    <w:rsid w:val="08EB6C4F"/>
    <w:rsid w:val="092255F6"/>
    <w:rsid w:val="092D5890"/>
    <w:rsid w:val="09377CD6"/>
    <w:rsid w:val="0963211F"/>
    <w:rsid w:val="09724BB7"/>
    <w:rsid w:val="09C807D3"/>
    <w:rsid w:val="09F06AB0"/>
    <w:rsid w:val="09FA34EB"/>
    <w:rsid w:val="09FF4A68"/>
    <w:rsid w:val="0A62467A"/>
    <w:rsid w:val="0A7D4664"/>
    <w:rsid w:val="0A87732E"/>
    <w:rsid w:val="0AD33307"/>
    <w:rsid w:val="0AE05E8C"/>
    <w:rsid w:val="0AF3628F"/>
    <w:rsid w:val="0B3866B7"/>
    <w:rsid w:val="0B9E41C6"/>
    <w:rsid w:val="0BC6217A"/>
    <w:rsid w:val="0BD240F7"/>
    <w:rsid w:val="0C120997"/>
    <w:rsid w:val="0C2A7A8F"/>
    <w:rsid w:val="0C2B1A59"/>
    <w:rsid w:val="0C4153D2"/>
    <w:rsid w:val="0C49746F"/>
    <w:rsid w:val="0C597D15"/>
    <w:rsid w:val="0CA07D76"/>
    <w:rsid w:val="0CA27F6D"/>
    <w:rsid w:val="0CF14A50"/>
    <w:rsid w:val="0D03679A"/>
    <w:rsid w:val="0D3B3F1D"/>
    <w:rsid w:val="0D4F62D4"/>
    <w:rsid w:val="0DCB0DFD"/>
    <w:rsid w:val="0DCE22AF"/>
    <w:rsid w:val="0DF525DE"/>
    <w:rsid w:val="0DF61CE0"/>
    <w:rsid w:val="0DF86616"/>
    <w:rsid w:val="0E1E1875"/>
    <w:rsid w:val="0E460DCC"/>
    <w:rsid w:val="0E684952"/>
    <w:rsid w:val="0E86353F"/>
    <w:rsid w:val="0E8E37ED"/>
    <w:rsid w:val="0EAF2E14"/>
    <w:rsid w:val="0EDB59B8"/>
    <w:rsid w:val="0F1C2D99"/>
    <w:rsid w:val="0F6F04DC"/>
    <w:rsid w:val="10212EA9"/>
    <w:rsid w:val="105858FC"/>
    <w:rsid w:val="106C3AC2"/>
    <w:rsid w:val="108403E2"/>
    <w:rsid w:val="109275A9"/>
    <w:rsid w:val="10C15734"/>
    <w:rsid w:val="10C44237"/>
    <w:rsid w:val="10C761F4"/>
    <w:rsid w:val="11164A85"/>
    <w:rsid w:val="1122342A"/>
    <w:rsid w:val="11533574"/>
    <w:rsid w:val="11785740"/>
    <w:rsid w:val="117A3266"/>
    <w:rsid w:val="11862732"/>
    <w:rsid w:val="118F278E"/>
    <w:rsid w:val="119D4F21"/>
    <w:rsid w:val="11A47985"/>
    <w:rsid w:val="11AC40AD"/>
    <w:rsid w:val="11C67A56"/>
    <w:rsid w:val="11D80D88"/>
    <w:rsid w:val="12474DCB"/>
    <w:rsid w:val="12527641"/>
    <w:rsid w:val="126805E3"/>
    <w:rsid w:val="12E7492B"/>
    <w:rsid w:val="12E74FC1"/>
    <w:rsid w:val="12F27F6E"/>
    <w:rsid w:val="14141B79"/>
    <w:rsid w:val="141D0C0A"/>
    <w:rsid w:val="1457788F"/>
    <w:rsid w:val="14760C96"/>
    <w:rsid w:val="14882C02"/>
    <w:rsid w:val="14D013EF"/>
    <w:rsid w:val="150A2744"/>
    <w:rsid w:val="150D2643"/>
    <w:rsid w:val="15115C90"/>
    <w:rsid w:val="155A4F75"/>
    <w:rsid w:val="15763D45"/>
    <w:rsid w:val="15853F88"/>
    <w:rsid w:val="15A45AE5"/>
    <w:rsid w:val="15D97B34"/>
    <w:rsid w:val="15DC13FE"/>
    <w:rsid w:val="15E038B4"/>
    <w:rsid w:val="16005D04"/>
    <w:rsid w:val="160E0085"/>
    <w:rsid w:val="162E6E4D"/>
    <w:rsid w:val="16443E43"/>
    <w:rsid w:val="16737FC1"/>
    <w:rsid w:val="16C17241"/>
    <w:rsid w:val="16CB00C0"/>
    <w:rsid w:val="16CB4A2F"/>
    <w:rsid w:val="1722468F"/>
    <w:rsid w:val="173C4B1A"/>
    <w:rsid w:val="17726DD2"/>
    <w:rsid w:val="17C50FB3"/>
    <w:rsid w:val="18226406"/>
    <w:rsid w:val="182A472E"/>
    <w:rsid w:val="18602A8A"/>
    <w:rsid w:val="190B3062"/>
    <w:rsid w:val="1963464B"/>
    <w:rsid w:val="197764F6"/>
    <w:rsid w:val="1981143D"/>
    <w:rsid w:val="19BC1F42"/>
    <w:rsid w:val="1A3A6836"/>
    <w:rsid w:val="1A584D7E"/>
    <w:rsid w:val="1A5B5BFF"/>
    <w:rsid w:val="1A5D1977"/>
    <w:rsid w:val="1AC50DC4"/>
    <w:rsid w:val="1AE57555"/>
    <w:rsid w:val="1B0A266C"/>
    <w:rsid w:val="1B656D35"/>
    <w:rsid w:val="1B6A170F"/>
    <w:rsid w:val="1B745FC1"/>
    <w:rsid w:val="1B8D003A"/>
    <w:rsid w:val="1BEC4D61"/>
    <w:rsid w:val="1C2A3ADB"/>
    <w:rsid w:val="1C324211"/>
    <w:rsid w:val="1C512E14"/>
    <w:rsid w:val="1C5632C7"/>
    <w:rsid w:val="1C7F3E27"/>
    <w:rsid w:val="1D297C66"/>
    <w:rsid w:val="1D880AB9"/>
    <w:rsid w:val="1D962329"/>
    <w:rsid w:val="1DA27862"/>
    <w:rsid w:val="1DE11B57"/>
    <w:rsid w:val="1E206F43"/>
    <w:rsid w:val="1E3B5B2B"/>
    <w:rsid w:val="1E491296"/>
    <w:rsid w:val="1E4F7829"/>
    <w:rsid w:val="1E5D49E3"/>
    <w:rsid w:val="1E6C680D"/>
    <w:rsid w:val="1E994221"/>
    <w:rsid w:val="1EA10346"/>
    <w:rsid w:val="1EDA5344"/>
    <w:rsid w:val="1EE13915"/>
    <w:rsid w:val="1EE461C3"/>
    <w:rsid w:val="1F077682"/>
    <w:rsid w:val="1F487665"/>
    <w:rsid w:val="1F683A66"/>
    <w:rsid w:val="1F875754"/>
    <w:rsid w:val="1FFE32B4"/>
    <w:rsid w:val="2020237A"/>
    <w:rsid w:val="20515ADA"/>
    <w:rsid w:val="206071F0"/>
    <w:rsid w:val="20801F1B"/>
    <w:rsid w:val="20887022"/>
    <w:rsid w:val="208A4B48"/>
    <w:rsid w:val="209669C5"/>
    <w:rsid w:val="20B16579"/>
    <w:rsid w:val="20C37337"/>
    <w:rsid w:val="20CB1F07"/>
    <w:rsid w:val="20F6072B"/>
    <w:rsid w:val="21090925"/>
    <w:rsid w:val="21244F9D"/>
    <w:rsid w:val="213D3171"/>
    <w:rsid w:val="221A3EEA"/>
    <w:rsid w:val="222C2B90"/>
    <w:rsid w:val="22457E73"/>
    <w:rsid w:val="22837AA1"/>
    <w:rsid w:val="22884FD6"/>
    <w:rsid w:val="22F866E1"/>
    <w:rsid w:val="230474F0"/>
    <w:rsid w:val="23213C5D"/>
    <w:rsid w:val="232C2DD6"/>
    <w:rsid w:val="2331574F"/>
    <w:rsid w:val="233953DA"/>
    <w:rsid w:val="235B72E4"/>
    <w:rsid w:val="23931F66"/>
    <w:rsid w:val="23C465C3"/>
    <w:rsid w:val="24262DDA"/>
    <w:rsid w:val="2446643F"/>
    <w:rsid w:val="24521E21"/>
    <w:rsid w:val="246102B6"/>
    <w:rsid w:val="24782AD4"/>
    <w:rsid w:val="248726E0"/>
    <w:rsid w:val="249C3951"/>
    <w:rsid w:val="24DB3BC4"/>
    <w:rsid w:val="24FA6740"/>
    <w:rsid w:val="25004979"/>
    <w:rsid w:val="25243F0A"/>
    <w:rsid w:val="2535226A"/>
    <w:rsid w:val="253A7C36"/>
    <w:rsid w:val="254C2D14"/>
    <w:rsid w:val="256D06AE"/>
    <w:rsid w:val="2582242A"/>
    <w:rsid w:val="259D2ECD"/>
    <w:rsid w:val="25A55F80"/>
    <w:rsid w:val="25B20381"/>
    <w:rsid w:val="25E62821"/>
    <w:rsid w:val="25F25669"/>
    <w:rsid w:val="260B04D9"/>
    <w:rsid w:val="260D0B0E"/>
    <w:rsid w:val="264763B7"/>
    <w:rsid w:val="2672726E"/>
    <w:rsid w:val="26734FA1"/>
    <w:rsid w:val="26881A92"/>
    <w:rsid w:val="268B2A3A"/>
    <w:rsid w:val="268B3DAD"/>
    <w:rsid w:val="26962499"/>
    <w:rsid w:val="26A61FB0"/>
    <w:rsid w:val="27035E88"/>
    <w:rsid w:val="270E3BA6"/>
    <w:rsid w:val="27415C62"/>
    <w:rsid w:val="27B65EBB"/>
    <w:rsid w:val="27CA47C6"/>
    <w:rsid w:val="282472DA"/>
    <w:rsid w:val="282B4E63"/>
    <w:rsid w:val="28884FF7"/>
    <w:rsid w:val="289A5B44"/>
    <w:rsid w:val="289F315B"/>
    <w:rsid w:val="28D472A8"/>
    <w:rsid w:val="29017971"/>
    <w:rsid w:val="290F389D"/>
    <w:rsid w:val="2962542C"/>
    <w:rsid w:val="299E36C0"/>
    <w:rsid w:val="29CC6CA4"/>
    <w:rsid w:val="2B367172"/>
    <w:rsid w:val="2B7314CC"/>
    <w:rsid w:val="2B784A6E"/>
    <w:rsid w:val="2B9A7B07"/>
    <w:rsid w:val="2BA07916"/>
    <w:rsid w:val="2BAE2033"/>
    <w:rsid w:val="2BB37649"/>
    <w:rsid w:val="2BC9037C"/>
    <w:rsid w:val="2BFD3113"/>
    <w:rsid w:val="2C0003B4"/>
    <w:rsid w:val="2C1005F7"/>
    <w:rsid w:val="2C15160E"/>
    <w:rsid w:val="2C44430E"/>
    <w:rsid w:val="2C4F172C"/>
    <w:rsid w:val="2C9C00DD"/>
    <w:rsid w:val="2CA156F3"/>
    <w:rsid w:val="2D906B09"/>
    <w:rsid w:val="2D9C5EBB"/>
    <w:rsid w:val="2DD973AC"/>
    <w:rsid w:val="2DFB1659"/>
    <w:rsid w:val="2E0221C2"/>
    <w:rsid w:val="2E5642BC"/>
    <w:rsid w:val="2E5E283C"/>
    <w:rsid w:val="2E611B70"/>
    <w:rsid w:val="2E9A689E"/>
    <w:rsid w:val="2ECB6A58"/>
    <w:rsid w:val="2EDD4BB1"/>
    <w:rsid w:val="2EE93382"/>
    <w:rsid w:val="2F01185F"/>
    <w:rsid w:val="2F2729AC"/>
    <w:rsid w:val="2F3C0F4C"/>
    <w:rsid w:val="2F5926F1"/>
    <w:rsid w:val="2FB82F9F"/>
    <w:rsid w:val="2FE418AC"/>
    <w:rsid w:val="2FE5383E"/>
    <w:rsid w:val="2FEA4C7F"/>
    <w:rsid w:val="30330D58"/>
    <w:rsid w:val="3037089D"/>
    <w:rsid w:val="30EA3353"/>
    <w:rsid w:val="31013C49"/>
    <w:rsid w:val="312319EF"/>
    <w:rsid w:val="313C778B"/>
    <w:rsid w:val="318F6462"/>
    <w:rsid w:val="321A2D0F"/>
    <w:rsid w:val="32382656"/>
    <w:rsid w:val="324D664C"/>
    <w:rsid w:val="3267118D"/>
    <w:rsid w:val="32870EE7"/>
    <w:rsid w:val="32925C99"/>
    <w:rsid w:val="32BE6EB2"/>
    <w:rsid w:val="32C7154E"/>
    <w:rsid w:val="3304162E"/>
    <w:rsid w:val="33156D5E"/>
    <w:rsid w:val="3317207A"/>
    <w:rsid w:val="331A6B7B"/>
    <w:rsid w:val="331F2052"/>
    <w:rsid w:val="333554DB"/>
    <w:rsid w:val="33396D39"/>
    <w:rsid w:val="33643EF5"/>
    <w:rsid w:val="33D80BF4"/>
    <w:rsid w:val="33D939C5"/>
    <w:rsid w:val="33F77F81"/>
    <w:rsid w:val="34000F51"/>
    <w:rsid w:val="34254482"/>
    <w:rsid w:val="346F257B"/>
    <w:rsid w:val="348C4EDB"/>
    <w:rsid w:val="348F605A"/>
    <w:rsid w:val="34E716B6"/>
    <w:rsid w:val="3505113E"/>
    <w:rsid w:val="35233259"/>
    <w:rsid w:val="35357321"/>
    <w:rsid w:val="355115AF"/>
    <w:rsid w:val="359F2BE0"/>
    <w:rsid w:val="35AA5754"/>
    <w:rsid w:val="35AE6CC5"/>
    <w:rsid w:val="35FC399A"/>
    <w:rsid w:val="362A675A"/>
    <w:rsid w:val="36B60605"/>
    <w:rsid w:val="36DB3EF8"/>
    <w:rsid w:val="36DB7A54"/>
    <w:rsid w:val="36EC39E0"/>
    <w:rsid w:val="37484E0B"/>
    <w:rsid w:val="37647A49"/>
    <w:rsid w:val="37704640"/>
    <w:rsid w:val="37704A11"/>
    <w:rsid w:val="37C45ACE"/>
    <w:rsid w:val="37DF2D89"/>
    <w:rsid w:val="37E335F2"/>
    <w:rsid w:val="3835053A"/>
    <w:rsid w:val="386B727B"/>
    <w:rsid w:val="38BE1535"/>
    <w:rsid w:val="39060E9F"/>
    <w:rsid w:val="39194863"/>
    <w:rsid w:val="391D7376"/>
    <w:rsid w:val="39403E21"/>
    <w:rsid w:val="3962620A"/>
    <w:rsid w:val="397A7B42"/>
    <w:rsid w:val="399A1E48"/>
    <w:rsid w:val="39B4157B"/>
    <w:rsid w:val="39D55A01"/>
    <w:rsid w:val="39DA2245"/>
    <w:rsid w:val="3A104D75"/>
    <w:rsid w:val="3A344D97"/>
    <w:rsid w:val="3A4C2C68"/>
    <w:rsid w:val="3A4D1A2B"/>
    <w:rsid w:val="3A5244D1"/>
    <w:rsid w:val="3A5E69D2"/>
    <w:rsid w:val="3B2C2F74"/>
    <w:rsid w:val="3B3415C4"/>
    <w:rsid w:val="3B345984"/>
    <w:rsid w:val="3B351E28"/>
    <w:rsid w:val="3B4F53C1"/>
    <w:rsid w:val="3B626996"/>
    <w:rsid w:val="3B6C6BA3"/>
    <w:rsid w:val="3B78218B"/>
    <w:rsid w:val="3BAE3989"/>
    <w:rsid w:val="3BB15227"/>
    <w:rsid w:val="3BF02721"/>
    <w:rsid w:val="3BFA0A8A"/>
    <w:rsid w:val="3C242530"/>
    <w:rsid w:val="3C4165AB"/>
    <w:rsid w:val="3CCA02B2"/>
    <w:rsid w:val="3CD613E9"/>
    <w:rsid w:val="3CE62383"/>
    <w:rsid w:val="3CEC7A2A"/>
    <w:rsid w:val="3D0433A8"/>
    <w:rsid w:val="3D0F69B6"/>
    <w:rsid w:val="3D2959BD"/>
    <w:rsid w:val="3D3219D3"/>
    <w:rsid w:val="3D3474F8"/>
    <w:rsid w:val="3D8C7B10"/>
    <w:rsid w:val="3DCE35B6"/>
    <w:rsid w:val="3DD136B5"/>
    <w:rsid w:val="3DD5344F"/>
    <w:rsid w:val="3E0F3EB7"/>
    <w:rsid w:val="3E2609B2"/>
    <w:rsid w:val="3E76426F"/>
    <w:rsid w:val="3E7F6463"/>
    <w:rsid w:val="3E962D65"/>
    <w:rsid w:val="3ECB4852"/>
    <w:rsid w:val="3EEB0292"/>
    <w:rsid w:val="3F281B00"/>
    <w:rsid w:val="3F536101"/>
    <w:rsid w:val="3F6A7BC7"/>
    <w:rsid w:val="3F6F7007"/>
    <w:rsid w:val="3F930BE9"/>
    <w:rsid w:val="3F952DC8"/>
    <w:rsid w:val="3FE15005"/>
    <w:rsid w:val="3FE77469"/>
    <w:rsid w:val="3FF57D7F"/>
    <w:rsid w:val="3FFB3D80"/>
    <w:rsid w:val="400E2C48"/>
    <w:rsid w:val="407E19EB"/>
    <w:rsid w:val="40ED6D01"/>
    <w:rsid w:val="41216845"/>
    <w:rsid w:val="413A36FE"/>
    <w:rsid w:val="4176014F"/>
    <w:rsid w:val="4213220D"/>
    <w:rsid w:val="4235270E"/>
    <w:rsid w:val="423F17DF"/>
    <w:rsid w:val="42461BF0"/>
    <w:rsid w:val="424C7A58"/>
    <w:rsid w:val="427179B7"/>
    <w:rsid w:val="42847921"/>
    <w:rsid w:val="428D039F"/>
    <w:rsid w:val="429E2362"/>
    <w:rsid w:val="42FC0E58"/>
    <w:rsid w:val="43077F25"/>
    <w:rsid w:val="4310792B"/>
    <w:rsid w:val="43621354"/>
    <w:rsid w:val="436D5ED7"/>
    <w:rsid w:val="437454B8"/>
    <w:rsid w:val="43947908"/>
    <w:rsid w:val="43AA0EDA"/>
    <w:rsid w:val="43D25E53"/>
    <w:rsid w:val="43E25FC1"/>
    <w:rsid w:val="440138A0"/>
    <w:rsid w:val="44246EDE"/>
    <w:rsid w:val="44692B43"/>
    <w:rsid w:val="447C65C0"/>
    <w:rsid w:val="448742A8"/>
    <w:rsid w:val="44875C56"/>
    <w:rsid w:val="44983428"/>
    <w:rsid w:val="44C47D79"/>
    <w:rsid w:val="451A208F"/>
    <w:rsid w:val="45433394"/>
    <w:rsid w:val="45877724"/>
    <w:rsid w:val="458A0FC3"/>
    <w:rsid w:val="458D2861"/>
    <w:rsid w:val="45BB3260"/>
    <w:rsid w:val="46092999"/>
    <w:rsid w:val="4612476D"/>
    <w:rsid w:val="468F5CB4"/>
    <w:rsid w:val="46957C1F"/>
    <w:rsid w:val="46C027C2"/>
    <w:rsid w:val="4743767B"/>
    <w:rsid w:val="474820C5"/>
    <w:rsid w:val="474855C4"/>
    <w:rsid w:val="475B13E7"/>
    <w:rsid w:val="47777325"/>
    <w:rsid w:val="47DD7AD0"/>
    <w:rsid w:val="47E70FBB"/>
    <w:rsid w:val="47F02414"/>
    <w:rsid w:val="48021647"/>
    <w:rsid w:val="481D611E"/>
    <w:rsid w:val="48221986"/>
    <w:rsid w:val="48500230"/>
    <w:rsid w:val="48B545A9"/>
    <w:rsid w:val="48D34790"/>
    <w:rsid w:val="48ED18F0"/>
    <w:rsid w:val="48F826E7"/>
    <w:rsid w:val="4929464F"/>
    <w:rsid w:val="494C6C0E"/>
    <w:rsid w:val="4955379A"/>
    <w:rsid w:val="498C348F"/>
    <w:rsid w:val="49C34AA3"/>
    <w:rsid w:val="49DA3B9B"/>
    <w:rsid w:val="49DA528B"/>
    <w:rsid w:val="49FA4012"/>
    <w:rsid w:val="49FA5FEB"/>
    <w:rsid w:val="4A4F4589"/>
    <w:rsid w:val="4A5573E4"/>
    <w:rsid w:val="4A62606A"/>
    <w:rsid w:val="4A712751"/>
    <w:rsid w:val="4AF87271"/>
    <w:rsid w:val="4B036BFD"/>
    <w:rsid w:val="4B380D6F"/>
    <w:rsid w:val="4B3A1029"/>
    <w:rsid w:val="4B555BCF"/>
    <w:rsid w:val="4B5A3EB8"/>
    <w:rsid w:val="4B6E0A3F"/>
    <w:rsid w:val="4B771FE9"/>
    <w:rsid w:val="4BBC29D4"/>
    <w:rsid w:val="4C3C0B3D"/>
    <w:rsid w:val="4C443C2D"/>
    <w:rsid w:val="4C560DCF"/>
    <w:rsid w:val="4C723258"/>
    <w:rsid w:val="4CB608EF"/>
    <w:rsid w:val="4D0E072B"/>
    <w:rsid w:val="4D0F1621"/>
    <w:rsid w:val="4D24354A"/>
    <w:rsid w:val="4D4E6D7A"/>
    <w:rsid w:val="4D9A1FBF"/>
    <w:rsid w:val="4DCE1F8B"/>
    <w:rsid w:val="4DF94F37"/>
    <w:rsid w:val="4E0D2791"/>
    <w:rsid w:val="4E2A6045"/>
    <w:rsid w:val="4E437F61"/>
    <w:rsid w:val="4E4E19C6"/>
    <w:rsid w:val="4E5F7C1D"/>
    <w:rsid w:val="4EB40E5E"/>
    <w:rsid w:val="4F1A33B7"/>
    <w:rsid w:val="4F411EB6"/>
    <w:rsid w:val="4F582EF7"/>
    <w:rsid w:val="4FBA24A4"/>
    <w:rsid w:val="4FBB7FCB"/>
    <w:rsid w:val="4FF854AE"/>
    <w:rsid w:val="50100316"/>
    <w:rsid w:val="502A41CA"/>
    <w:rsid w:val="50377300"/>
    <w:rsid w:val="50983373"/>
    <w:rsid w:val="50AB5953"/>
    <w:rsid w:val="50AC162D"/>
    <w:rsid w:val="50D60C20"/>
    <w:rsid w:val="51183927"/>
    <w:rsid w:val="5135755A"/>
    <w:rsid w:val="51574F11"/>
    <w:rsid w:val="517B73AD"/>
    <w:rsid w:val="518A5306"/>
    <w:rsid w:val="51983548"/>
    <w:rsid w:val="51AB3D3B"/>
    <w:rsid w:val="51BD3D23"/>
    <w:rsid w:val="51D04201"/>
    <w:rsid w:val="51DA0BDC"/>
    <w:rsid w:val="51DC4954"/>
    <w:rsid w:val="521A27DD"/>
    <w:rsid w:val="524D7600"/>
    <w:rsid w:val="52534816"/>
    <w:rsid w:val="52634928"/>
    <w:rsid w:val="52A0414F"/>
    <w:rsid w:val="53277999"/>
    <w:rsid w:val="53987EBC"/>
    <w:rsid w:val="53A35FB7"/>
    <w:rsid w:val="53A95638"/>
    <w:rsid w:val="53E24E44"/>
    <w:rsid w:val="53F94527"/>
    <w:rsid w:val="54014B46"/>
    <w:rsid w:val="54297BF9"/>
    <w:rsid w:val="5472334E"/>
    <w:rsid w:val="54DB5397"/>
    <w:rsid w:val="550348EE"/>
    <w:rsid w:val="555D5DAC"/>
    <w:rsid w:val="5563097D"/>
    <w:rsid w:val="556F4EE2"/>
    <w:rsid w:val="558F7F2F"/>
    <w:rsid w:val="55D21BD3"/>
    <w:rsid w:val="55E55DA1"/>
    <w:rsid w:val="56312D95"/>
    <w:rsid w:val="564725B8"/>
    <w:rsid w:val="56652099"/>
    <w:rsid w:val="56680EAC"/>
    <w:rsid w:val="56843C9F"/>
    <w:rsid w:val="56931CA9"/>
    <w:rsid w:val="569B3338"/>
    <w:rsid w:val="56A40209"/>
    <w:rsid w:val="56F5281F"/>
    <w:rsid w:val="573945F7"/>
    <w:rsid w:val="573E766F"/>
    <w:rsid w:val="5765355C"/>
    <w:rsid w:val="57690BD0"/>
    <w:rsid w:val="576F0018"/>
    <w:rsid w:val="57C15E41"/>
    <w:rsid w:val="57CA1153"/>
    <w:rsid w:val="57E46E53"/>
    <w:rsid w:val="580118E9"/>
    <w:rsid w:val="580E253F"/>
    <w:rsid w:val="58254B7B"/>
    <w:rsid w:val="584A495B"/>
    <w:rsid w:val="584B22BE"/>
    <w:rsid w:val="5892758E"/>
    <w:rsid w:val="58947716"/>
    <w:rsid w:val="58A65CBC"/>
    <w:rsid w:val="58B66C06"/>
    <w:rsid w:val="58C779E0"/>
    <w:rsid w:val="5909228A"/>
    <w:rsid w:val="59154BEF"/>
    <w:rsid w:val="593A16EF"/>
    <w:rsid w:val="59CA7788"/>
    <w:rsid w:val="5A1B6236"/>
    <w:rsid w:val="5A2E712E"/>
    <w:rsid w:val="5A2F2D66"/>
    <w:rsid w:val="5A6D6164"/>
    <w:rsid w:val="5A86004F"/>
    <w:rsid w:val="5A8938AD"/>
    <w:rsid w:val="5AAE69DB"/>
    <w:rsid w:val="5AF0582F"/>
    <w:rsid w:val="5AF947C9"/>
    <w:rsid w:val="5B1B6AA6"/>
    <w:rsid w:val="5B224E28"/>
    <w:rsid w:val="5B7D7A78"/>
    <w:rsid w:val="5BA65FD3"/>
    <w:rsid w:val="5BAF7B56"/>
    <w:rsid w:val="5BD91F04"/>
    <w:rsid w:val="5BDB5C7C"/>
    <w:rsid w:val="5BF611E3"/>
    <w:rsid w:val="5C0E6052"/>
    <w:rsid w:val="5C313AEE"/>
    <w:rsid w:val="5C61405A"/>
    <w:rsid w:val="5C86208C"/>
    <w:rsid w:val="5CAC7619"/>
    <w:rsid w:val="5D131446"/>
    <w:rsid w:val="5D656145"/>
    <w:rsid w:val="5D7C18C6"/>
    <w:rsid w:val="5D8F31C2"/>
    <w:rsid w:val="5DA14CA4"/>
    <w:rsid w:val="5DA779D9"/>
    <w:rsid w:val="5DC84953"/>
    <w:rsid w:val="5DDC3F2E"/>
    <w:rsid w:val="5E9E23A9"/>
    <w:rsid w:val="5EAC56AE"/>
    <w:rsid w:val="5EDA0A8B"/>
    <w:rsid w:val="5F0537AA"/>
    <w:rsid w:val="5F162912"/>
    <w:rsid w:val="5F20072A"/>
    <w:rsid w:val="5F2117F1"/>
    <w:rsid w:val="5F27754A"/>
    <w:rsid w:val="5F2B3E04"/>
    <w:rsid w:val="5F760F40"/>
    <w:rsid w:val="5FE21584"/>
    <w:rsid w:val="5FE82E26"/>
    <w:rsid w:val="5FF3691B"/>
    <w:rsid w:val="5FFF5CB2"/>
    <w:rsid w:val="60161979"/>
    <w:rsid w:val="60673F83"/>
    <w:rsid w:val="606E1F64"/>
    <w:rsid w:val="609E5FA7"/>
    <w:rsid w:val="60C253E7"/>
    <w:rsid w:val="60CE0912"/>
    <w:rsid w:val="60CE0B25"/>
    <w:rsid w:val="61177A83"/>
    <w:rsid w:val="61555832"/>
    <w:rsid w:val="618F343D"/>
    <w:rsid w:val="61A30FEA"/>
    <w:rsid w:val="61AB60F1"/>
    <w:rsid w:val="61D5316E"/>
    <w:rsid w:val="61D67CE4"/>
    <w:rsid w:val="61DB6D9C"/>
    <w:rsid w:val="61EF4230"/>
    <w:rsid w:val="6200643D"/>
    <w:rsid w:val="623C3CCB"/>
    <w:rsid w:val="626773E3"/>
    <w:rsid w:val="6277131B"/>
    <w:rsid w:val="62894736"/>
    <w:rsid w:val="62EC69C1"/>
    <w:rsid w:val="63461258"/>
    <w:rsid w:val="63520F1A"/>
    <w:rsid w:val="636E0BBA"/>
    <w:rsid w:val="63964B41"/>
    <w:rsid w:val="63994A58"/>
    <w:rsid w:val="646C600B"/>
    <w:rsid w:val="647C3D75"/>
    <w:rsid w:val="64994927"/>
    <w:rsid w:val="64B27796"/>
    <w:rsid w:val="64CC5E52"/>
    <w:rsid w:val="64DA0DFC"/>
    <w:rsid w:val="64FD5E87"/>
    <w:rsid w:val="65090209"/>
    <w:rsid w:val="65785BCE"/>
    <w:rsid w:val="658C3A08"/>
    <w:rsid w:val="658D4138"/>
    <w:rsid w:val="65A319AD"/>
    <w:rsid w:val="65B768E4"/>
    <w:rsid w:val="66043DF1"/>
    <w:rsid w:val="660B7840"/>
    <w:rsid w:val="661D46CA"/>
    <w:rsid w:val="66887A48"/>
    <w:rsid w:val="66B94E0C"/>
    <w:rsid w:val="66BB1AFB"/>
    <w:rsid w:val="66CF7EED"/>
    <w:rsid w:val="66E83943"/>
    <w:rsid w:val="670F317A"/>
    <w:rsid w:val="673D6A15"/>
    <w:rsid w:val="67960780"/>
    <w:rsid w:val="682E5386"/>
    <w:rsid w:val="683726A5"/>
    <w:rsid w:val="684B23DC"/>
    <w:rsid w:val="68576EF7"/>
    <w:rsid w:val="685F3428"/>
    <w:rsid w:val="6874548F"/>
    <w:rsid w:val="68817FE2"/>
    <w:rsid w:val="688D47A2"/>
    <w:rsid w:val="689043A1"/>
    <w:rsid w:val="68CD623B"/>
    <w:rsid w:val="68DB72BC"/>
    <w:rsid w:val="68FD36D6"/>
    <w:rsid w:val="69562DE6"/>
    <w:rsid w:val="69583D0B"/>
    <w:rsid w:val="695E105C"/>
    <w:rsid w:val="696012B6"/>
    <w:rsid w:val="69642093"/>
    <w:rsid w:val="69793390"/>
    <w:rsid w:val="69C02956"/>
    <w:rsid w:val="69CA6B08"/>
    <w:rsid w:val="69F97B76"/>
    <w:rsid w:val="6A042666"/>
    <w:rsid w:val="6A715E07"/>
    <w:rsid w:val="6A9736F0"/>
    <w:rsid w:val="6AF830B1"/>
    <w:rsid w:val="6B1715B7"/>
    <w:rsid w:val="6B2C2051"/>
    <w:rsid w:val="6B3233DF"/>
    <w:rsid w:val="6B680BAF"/>
    <w:rsid w:val="6B6C68F1"/>
    <w:rsid w:val="6BA17D14"/>
    <w:rsid w:val="6BBB33D4"/>
    <w:rsid w:val="6BCC55E2"/>
    <w:rsid w:val="6BD44D33"/>
    <w:rsid w:val="6BEA8026"/>
    <w:rsid w:val="6BF13845"/>
    <w:rsid w:val="6C0C5BDB"/>
    <w:rsid w:val="6C3D08A3"/>
    <w:rsid w:val="6C6770B8"/>
    <w:rsid w:val="6C845EBC"/>
    <w:rsid w:val="6CA41CC8"/>
    <w:rsid w:val="6CC20E82"/>
    <w:rsid w:val="6CD26C28"/>
    <w:rsid w:val="6CF3436B"/>
    <w:rsid w:val="6CF7293C"/>
    <w:rsid w:val="6D056FFD"/>
    <w:rsid w:val="6D443964"/>
    <w:rsid w:val="6D5B6316"/>
    <w:rsid w:val="6D9143ED"/>
    <w:rsid w:val="6DC74A88"/>
    <w:rsid w:val="6DD724DA"/>
    <w:rsid w:val="6DDC0B81"/>
    <w:rsid w:val="6DEA2117"/>
    <w:rsid w:val="6E041063"/>
    <w:rsid w:val="6E0C6BA8"/>
    <w:rsid w:val="6E4C538F"/>
    <w:rsid w:val="6E8C1058"/>
    <w:rsid w:val="6EBC5114"/>
    <w:rsid w:val="6EBF142E"/>
    <w:rsid w:val="6ED722D3"/>
    <w:rsid w:val="6EE175F6"/>
    <w:rsid w:val="6F24190C"/>
    <w:rsid w:val="6F7C2E7B"/>
    <w:rsid w:val="6FC36D9E"/>
    <w:rsid w:val="6FE70C3C"/>
    <w:rsid w:val="70076BE8"/>
    <w:rsid w:val="70852D97"/>
    <w:rsid w:val="70A47AAD"/>
    <w:rsid w:val="70AE40C7"/>
    <w:rsid w:val="70C25205"/>
    <w:rsid w:val="70DA254F"/>
    <w:rsid w:val="70E51DA8"/>
    <w:rsid w:val="70F20FE3"/>
    <w:rsid w:val="71174B27"/>
    <w:rsid w:val="71946BA2"/>
    <w:rsid w:val="71A843FB"/>
    <w:rsid w:val="71C97895"/>
    <w:rsid w:val="721E450C"/>
    <w:rsid w:val="7256750B"/>
    <w:rsid w:val="7262278F"/>
    <w:rsid w:val="72D73D3D"/>
    <w:rsid w:val="72DA0196"/>
    <w:rsid w:val="72EC6569"/>
    <w:rsid w:val="73394BB6"/>
    <w:rsid w:val="73397A01"/>
    <w:rsid w:val="736A253A"/>
    <w:rsid w:val="73A429A0"/>
    <w:rsid w:val="73AC2D59"/>
    <w:rsid w:val="73BE1CB4"/>
    <w:rsid w:val="73EC5B91"/>
    <w:rsid w:val="73FC458A"/>
    <w:rsid w:val="742E7E7F"/>
    <w:rsid w:val="747B5DF7"/>
    <w:rsid w:val="74C002E8"/>
    <w:rsid w:val="74CF1255"/>
    <w:rsid w:val="74E7523A"/>
    <w:rsid w:val="74FB54A4"/>
    <w:rsid w:val="751A7B05"/>
    <w:rsid w:val="75220020"/>
    <w:rsid w:val="755522F8"/>
    <w:rsid w:val="755E2DEF"/>
    <w:rsid w:val="75611CC1"/>
    <w:rsid w:val="75A03D67"/>
    <w:rsid w:val="75DD731F"/>
    <w:rsid w:val="7621652A"/>
    <w:rsid w:val="76265AC6"/>
    <w:rsid w:val="763A2EF5"/>
    <w:rsid w:val="76642085"/>
    <w:rsid w:val="768014A2"/>
    <w:rsid w:val="7682438C"/>
    <w:rsid w:val="768857E3"/>
    <w:rsid w:val="768D4B1F"/>
    <w:rsid w:val="769D2054"/>
    <w:rsid w:val="76C31EDD"/>
    <w:rsid w:val="76EC2FDC"/>
    <w:rsid w:val="77060EB2"/>
    <w:rsid w:val="77120FDD"/>
    <w:rsid w:val="77162CEB"/>
    <w:rsid w:val="775C2950"/>
    <w:rsid w:val="77610F13"/>
    <w:rsid w:val="778C37F8"/>
    <w:rsid w:val="779C230C"/>
    <w:rsid w:val="779D7E32"/>
    <w:rsid w:val="77A92C7B"/>
    <w:rsid w:val="77B12E34"/>
    <w:rsid w:val="77D46CD2"/>
    <w:rsid w:val="77D83D50"/>
    <w:rsid w:val="781D0CC1"/>
    <w:rsid w:val="7823193A"/>
    <w:rsid w:val="782E61C7"/>
    <w:rsid w:val="783B33E4"/>
    <w:rsid w:val="7844130F"/>
    <w:rsid w:val="78534B66"/>
    <w:rsid w:val="785B3F75"/>
    <w:rsid w:val="787B0197"/>
    <w:rsid w:val="787E1A12"/>
    <w:rsid w:val="78BE10F6"/>
    <w:rsid w:val="78CA4C57"/>
    <w:rsid w:val="78D43D28"/>
    <w:rsid w:val="78DD2BDC"/>
    <w:rsid w:val="792E5466"/>
    <w:rsid w:val="79435553"/>
    <w:rsid w:val="794672BF"/>
    <w:rsid w:val="79E263BE"/>
    <w:rsid w:val="7A064282"/>
    <w:rsid w:val="7A32199E"/>
    <w:rsid w:val="7A3C1D44"/>
    <w:rsid w:val="7A9E283F"/>
    <w:rsid w:val="7AC77F2D"/>
    <w:rsid w:val="7ACB4CB6"/>
    <w:rsid w:val="7ADD5362"/>
    <w:rsid w:val="7B036E36"/>
    <w:rsid w:val="7B0E3521"/>
    <w:rsid w:val="7B1A0118"/>
    <w:rsid w:val="7B31160A"/>
    <w:rsid w:val="7B62386D"/>
    <w:rsid w:val="7B6E2211"/>
    <w:rsid w:val="7BAD0A4E"/>
    <w:rsid w:val="7BB00E61"/>
    <w:rsid w:val="7BD227A0"/>
    <w:rsid w:val="7BF12E1F"/>
    <w:rsid w:val="7C1822AA"/>
    <w:rsid w:val="7C43369E"/>
    <w:rsid w:val="7C7C731A"/>
    <w:rsid w:val="7C85264B"/>
    <w:rsid w:val="7CA06753"/>
    <w:rsid w:val="7CB43242"/>
    <w:rsid w:val="7CB61824"/>
    <w:rsid w:val="7CBD69D7"/>
    <w:rsid w:val="7CC76395"/>
    <w:rsid w:val="7CEF2EDE"/>
    <w:rsid w:val="7D144705"/>
    <w:rsid w:val="7D1961AD"/>
    <w:rsid w:val="7D4F7E21"/>
    <w:rsid w:val="7D7A30EF"/>
    <w:rsid w:val="7D93206D"/>
    <w:rsid w:val="7D9D293A"/>
    <w:rsid w:val="7DA51A4B"/>
    <w:rsid w:val="7E0B01EB"/>
    <w:rsid w:val="7E1E7F1F"/>
    <w:rsid w:val="7E321E60"/>
    <w:rsid w:val="7E390B0F"/>
    <w:rsid w:val="7E493D4F"/>
    <w:rsid w:val="7E5356EF"/>
    <w:rsid w:val="7E881DA7"/>
    <w:rsid w:val="7E894498"/>
    <w:rsid w:val="7E9B65C0"/>
    <w:rsid w:val="7EAD3051"/>
    <w:rsid w:val="7EAE4BA1"/>
    <w:rsid w:val="7EC0372F"/>
    <w:rsid w:val="7EFA5541"/>
    <w:rsid w:val="7F060C17"/>
    <w:rsid w:val="7F0C421B"/>
    <w:rsid w:val="7F2F766E"/>
    <w:rsid w:val="7F3D58B7"/>
    <w:rsid w:val="7F6B3277"/>
    <w:rsid w:val="7F7C3A97"/>
    <w:rsid w:val="7F9051D5"/>
    <w:rsid w:val="7F9C372F"/>
    <w:rsid w:val="7FD36AE7"/>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43"/>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next w:val="6"/>
    <w:semiHidden/>
    <w:qFormat/>
    <w:uiPriority w:val="0"/>
    <w:rPr>
      <w:rFonts w:ascii="Arial" w:hAnsi="Arial" w:eastAsia="Arial" w:cs="Arial"/>
      <w:sz w:val="21"/>
      <w:szCs w:val="21"/>
      <w:lang w:val="en-US" w:eastAsia="en-US" w:bidi="ar-SA"/>
    </w:rPr>
  </w:style>
  <w:style w:type="paragraph" w:styleId="6">
    <w:name w:val="Body Text 2"/>
    <w:basedOn w:val="1"/>
    <w:next w:val="5"/>
    <w:qFormat/>
    <w:uiPriority w:val="0"/>
    <w:pPr>
      <w:spacing w:line="500" w:lineRule="exact"/>
    </w:pPr>
    <w:rPr>
      <w:rFonts w:ascii="宋体" w:hAnsi="Times New Roman" w:eastAsia="宋体" w:cs="Times New Roman"/>
      <w:sz w:val="24"/>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paragraph" w:customStyle="1" w:styleId="18">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1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0">
    <w:name w:val="NormalCharacter"/>
    <w:qFormat/>
    <w:uiPriority w:val="99"/>
  </w:style>
  <w:style w:type="paragraph" w:customStyle="1" w:styleId="21">
    <w:name w:val="Table Text"/>
    <w:basedOn w:val="1"/>
    <w:semiHidden/>
    <w:qFormat/>
    <w:uiPriority w:val="0"/>
    <w:rPr>
      <w:rFonts w:ascii="Arial" w:hAnsi="Arial" w:eastAsia="Arial" w:cs="Arial"/>
      <w:sz w:val="21"/>
      <w:szCs w:val="21"/>
      <w:lang w:val="en-US" w:eastAsia="en-US" w:bidi="ar-SA"/>
    </w:rPr>
  </w:style>
  <w:style w:type="paragraph" w:customStyle="1" w:styleId="2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缩进1"/>
    <w:basedOn w:val="1"/>
    <w:qFormat/>
    <w:uiPriority w:val="0"/>
    <w:pPr>
      <w:widowControl/>
      <w:ind w:firstLine="420"/>
      <w:jc w:val="left"/>
    </w:pPr>
    <w:rPr>
      <w:kern w:val="0"/>
    </w:rPr>
  </w:style>
  <w:style w:type="paragraph" w:customStyle="1" w:styleId="2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Heading2"/>
    <w:basedOn w:val="1"/>
    <w:next w:val="1"/>
    <w:qFormat/>
    <w:uiPriority w:val="99"/>
    <w:pPr>
      <w:jc w:val="left"/>
    </w:pPr>
    <w:rPr>
      <w:kern w:val="0"/>
    </w:rPr>
  </w:style>
  <w:style w:type="paragraph" w:customStyle="1" w:styleId="30">
    <w:name w:val="AnnotationText"/>
    <w:basedOn w:val="1"/>
    <w:qFormat/>
    <w:uiPriority w:val="99"/>
    <w:pPr>
      <w:spacing w:line="360" w:lineRule="atLeast"/>
      <w:jc w:val="left"/>
    </w:pPr>
    <w:rPr>
      <w:kern w:val="0"/>
    </w:rPr>
  </w:style>
  <w:style w:type="paragraph" w:customStyle="1" w:styleId="31">
    <w:name w:val="UserStyle_44"/>
    <w:basedOn w:val="32"/>
    <w:qFormat/>
    <w:uiPriority w:val="99"/>
    <w:rPr>
      <w:sz w:val="24"/>
      <w:szCs w:val="24"/>
    </w:rPr>
  </w:style>
  <w:style w:type="paragraph" w:customStyle="1" w:styleId="3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6">
    <w:name w:val="BodyText"/>
    <w:basedOn w:val="1"/>
    <w:next w:val="37"/>
    <w:qFormat/>
    <w:uiPriority w:val="99"/>
    <w:pPr>
      <w:spacing w:after="120"/>
    </w:pPr>
  </w:style>
  <w:style w:type="paragraph" w:customStyle="1" w:styleId="37">
    <w:name w:val="BodyText2"/>
    <w:basedOn w:val="1"/>
    <w:qFormat/>
    <w:uiPriority w:val="99"/>
    <w:pPr>
      <w:spacing w:line="500" w:lineRule="exact"/>
    </w:pPr>
  </w:style>
  <w:style w:type="paragraph" w:customStyle="1" w:styleId="3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缩进 New"/>
    <w:basedOn w:val="40"/>
    <w:qFormat/>
    <w:uiPriority w:val="0"/>
    <w:pPr>
      <w:widowControl/>
      <w:ind w:firstLine="420"/>
      <w:jc w:val="left"/>
    </w:pPr>
    <w:rPr>
      <w:kern w:val="0"/>
      <w:sz w:val="20"/>
    </w:rPr>
  </w:style>
  <w:style w:type="paragraph" w:customStyle="1" w:styleId="4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2">
    <w:name w:val="正文文本 (2) + 间距 0 pt3"/>
    <w:basedOn w:val="16"/>
    <w:qFormat/>
    <w:uiPriority w:val="0"/>
    <w:rPr>
      <w:rFonts w:ascii="MingLiU" w:hAnsi="Times New Roman" w:eastAsia="MingLiU" w:cs="MingLiU"/>
      <w:spacing w:val="0"/>
      <w:sz w:val="22"/>
      <w:szCs w:val="22"/>
      <w:u w:val="none"/>
    </w:rPr>
  </w:style>
  <w:style w:type="character" w:customStyle="1" w:styleId="43">
    <w:name w:val="标题 2 字符"/>
    <w:link w:val="3"/>
    <w:qFormat/>
    <w:uiPriority w:val="0"/>
    <w:rPr>
      <w:rFonts w:hint="eastAsia" w:ascii="宋体" w:hAnsi="宋体" w:eastAsia="宋体" w:cs="宋体"/>
      <w:b/>
      <w:bCs/>
      <w:kern w:val="0"/>
      <w:sz w:val="36"/>
      <w:szCs w:val="36"/>
      <w:lang w:val="en-US" w:eastAsia="zh-CN" w:bidi="ar"/>
    </w:rPr>
  </w:style>
  <w:style w:type="paragraph" w:customStyle="1" w:styleId="44">
    <w:name w:val="标题 3 New New"/>
    <w:basedOn w:val="39"/>
    <w:next w:val="39"/>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5">
    <w:name w:val="UserStyle_76"/>
    <w:basedOn w:val="46"/>
    <w:qFormat/>
    <w:uiPriority w:val="99"/>
    <w:pPr>
      <w:ind w:firstLine="420"/>
      <w:jc w:val="left"/>
    </w:pPr>
    <w:rPr>
      <w:kern w:val="0"/>
      <w:sz w:val="20"/>
      <w:szCs w:val="20"/>
    </w:rPr>
  </w:style>
  <w:style w:type="paragraph" w:customStyle="1" w:styleId="46">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7">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8">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15.png"/><Relationship Id="rId50" Type="http://schemas.openxmlformats.org/officeDocument/2006/relationships/image" Target="media/image14.png"/><Relationship Id="rId5" Type="http://schemas.openxmlformats.org/officeDocument/2006/relationships/footer" Target="footer1.xml"/><Relationship Id="rId49" Type="http://schemas.openxmlformats.org/officeDocument/2006/relationships/image" Target="media/image13.wmf"/><Relationship Id="rId48" Type="http://schemas.openxmlformats.org/officeDocument/2006/relationships/oleObject" Target="embeddings/oleObject12.bin"/><Relationship Id="rId47" Type="http://schemas.openxmlformats.org/officeDocument/2006/relationships/image" Target="media/image12.wmf"/><Relationship Id="rId46" Type="http://schemas.openxmlformats.org/officeDocument/2006/relationships/oleObject" Target="embeddings/oleObject11.bin"/><Relationship Id="rId45" Type="http://schemas.openxmlformats.org/officeDocument/2006/relationships/image" Target="media/image11.wmf"/><Relationship Id="rId44" Type="http://schemas.openxmlformats.org/officeDocument/2006/relationships/oleObject" Target="embeddings/oleObject10.bin"/><Relationship Id="rId43" Type="http://schemas.openxmlformats.org/officeDocument/2006/relationships/image" Target="media/image10.wmf"/><Relationship Id="rId42" Type="http://schemas.openxmlformats.org/officeDocument/2006/relationships/oleObject" Target="embeddings/oleObject9.bin"/><Relationship Id="rId41" Type="http://schemas.openxmlformats.org/officeDocument/2006/relationships/image" Target="media/image9.wmf"/><Relationship Id="rId40" Type="http://schemas.openxmlformats.org/officeDocument/2006/relationships/oleObject" Target="embeddings/oleObject8.bin"/><Relationship Id="rId4" Type="http://schemas.openxmlformats.org/officeDocument/2006/relationships/header" Target="header2.xml"/><Relationship Id="rId39" Type="http://schemas.openxmlformats.org/officeDocument/2006/relationships/image" Target="media/image8.wmf"/><Relationship Id="rId38" Type="http://schemas.openxmlformats.org/officeDocument/2006/relationships/oleObject" Target="embeddings/oleObject7.bin"/><Relationship Id="rId37" Type="http://schemas.openxmlformats.org/officeDocument/2006/relationships/image" Target="media/image7.wmf"/><Relationship Id="rId36" Type="http://schemas.openxmlformats.org/officeDocument/2006/relationships/oleObject" Target="embeddings/oleObject6.bin"/><Relationship Id="rId35" Type="http://schemas.openxmlformats.org/officeDocument/2006/relationships/image" Target="media/image6.wmf"/><Relationship Id="rId34" Type="http://schemas.openxmlformats.org/officeDocument/2006/relationships/oleObject" Target="embeddings/oleObject5.bin"/><Relationship Id="rId33" Type="http://schemas.openxmlformats.org/officeDocument/2006/relationships/image" Target="media/image5.wmf"/><Relationship Id="rId32" Type="http://schemas.openxmlformats.org/officeDocument/2006/relationships/oleObject" Target="embeddings/oleObject4.bin"/><Relationship Id="rId31" Type="http://schemas.openxmlformats.org/officeDocument/2006/relationships/image" Target="media/image4.wmf"/><Relationship Id="rId30" Type="http://schemas.openxmlformats.org/officeDocument/2006/relationships/oleObject" Target="embeddings/oleObject3.bin"/><Relationship Id="rId3" Type="http://schemas.openxmlformats.org/officeDocument/2006/relationships/header" Target="header1.xml"/><Relationship Id="rId29" Type="http://schemas.openxmlformats.org/officeDocument/2006/relationships/image" Target="media/image3.wmf"/><Relationship Id="rId28" Type="http://schemas.openxmlformats.org/officeDocument/2006/relationships/oleObject" Target="embeddings/oleObject2.bin"/><Relationship Id="rId27" Type="http://schemas.openxmlformats.org/officeDocument/2006/relationships/image" Target="media/image2.wmf"/><Relationship Id="rId26" Type="http://schemas.openxmlformats.org/officeDocument/2006/relationships/oleObject" Target="embeddings/oleObject1.bin"/><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92</Pages>
  <Words>60551</Words>
  <Characters>64362</Characters>
  <Lines>0</Lines>
  <Paragraphs>0</Paragraphs>
  <TotalTime>38</TotalTime>
  <ScaleCrop>false</ScaleCrop>
  <LinksUpToDate>false</LinksUpToDate>
  <CharactersWithSpaces>67566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妮子</cp:lastModifiedBy>
  <cp:lastPrinted>2026-07-07T10:18:00Z</cp:lastPrinted>
  <dcterms:modified xsi:type="dcterms:W3CDTF">2026-07-08T11:12:28Z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1ECD180B8FC7467CA5D4D53994DC6FA0_13</vt:lpwstr>
  </property>
  <property fmtid="{D5CDD505-2E9C-101B-9397-08002B2CF9AE}" pid="4" name="KSOTemplateDocerSaveRecord">
    <vt:lpwstr>eyJoZGlkIjoiNzJlODJlZWIyMWViOTBjNDFkZDAwODdjNDFmYTk2MjUiLCJ1c2VySWQiOiIxMzczNjgyNDAzIn0=</vt:lpwstr>
  </property>
</Properties>
</file>