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4460FB">
      <w:pPr>
        <w:pStyle w:val="48"/>
        <w:spacing w:line="360" w:lineRule="auto"/>
        <w:jc w:val="center"/>
        <w:rPr>
          <w:rFonts w:hint="eastAsia" w:ascii="宋体" w:hAnsi="宋体" w:eastAsia="宋体" w:cs="宋体"/>
          <w:b/>
          <w:bCs/>
          <w:color w:val="auto"/>
          <w:spacing w:val="26"/>
          <w:sz w:val="48"/>
          <w:szCs w:val="48"/>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52"/>
          <w:szCs w:val="52"/>
          <w:highlight w:val="none"/>
          <w:lang w:eastAsia="zh-CN"/>
        </w:rPr>
        <w:t>一六镇城乡融合乡村振兴车间及镇区基础设施提升工程—圆岭墩乡村振兴车间建设工程施工</w:t>
      </w:r>
    </w:p>
    <w:p w14:paraId="6BC46ECF">
      <w:pPr>
        <w:pStyle w:val="48"/>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7DCD3DE8">
      <w:pPr>
        <w:pStyle w:val="48"/>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49"/>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29B0B35A">
            <w:pPr>
              <w:pStyle w:val="4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乳源瑶族自治县一六镇人民政府</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49"/>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4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智埔国际建设集团有限公司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49"/>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4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49"/>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4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49"/>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7</w:t>
            </w:r>
            <w:r>
              <w:rPr>
                <w:rFonts w:hint="eastAsia" w:hAnsi="宋体" w:cs="宋体"/>
                <w:color w:val="auto"/>
                <w:sz w:val="28"/>
                <w:highlight w:val="none"/>
              </w:rPr>
              <w:t>月</w:t>
            </w:r>
          </w:p>
        </w:tc>
      </w:tr>
    </w:tbl>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06400B0C">
      <w:pPr>
        <w:pStyle w:val="2"/>
        <w:rPr>
          <w:rFonts w:hint="eastAsia" w:ascii="宋体" w:hAnsi="宋体" w:eastAsia="宋体" w:cs="宋体"/>
          <w:color w:val="auto"/>
          <w:highlight w:val="none"/>
        </w:rPr>
      </w:pPr>
    </w:p>
    <w:p w14:paraId="016AE2D3">
      <w:pPr>
        <w:rPr>
          <w:rFonts w:hint="eastAsia" w:ascii="宋体" w:hAnsi="宋体" w:eastAsia="宋体" w:cs="宋体"/>
          <w:color w:val="auto"/>
          <w:highlight w:val="none"/>
        </w:rPr>
      </w:pPr>
    </w:p>
    <w:p w14:paraId="58C6CBA6">
      <w:pPr>
        <w:pStyle w:val="2"/>
        <w:rPr>
          <w:rFonts w:hint="eastAsia" w:ascii="宋体" w:hAnsi="宋体" w:eastAsia="宋体" w:cs="宋体"/>
          <w:color w:val="auto"/>
          <w:highlight w:val="none"/>
        </w:rPr>
      </w:pPr>
    </w:p>
    <w:p w14:paraId="0437F369">
      <w:pPr>
        <w:rPr>
          <w:rFonts w:hint="eastAsia" w:ascii="宋体" w:hAnsi="宋体" w:eastAsia="宋体" w:cs="宋体"/>
          <w:color w:val="auto"/>
          <w:highlight w:val="none"/>
        </w:rPr>
      </w:pPr>
    </w:p>
    <w:p w14:paraId="1D144B65">
      <w:pPr>
        <w:pStyle w:val="2"/>
        <w:rPr>
          <w:rFonts w:hint="eastAsia" w:ascii="宋体" w:hAnsi="宋体" w:eastAsia="宋体" w:cs="宋体"/>
          <w:color w:val="auto"/>
          <w:highlight w:val="none"/>
        </w:rPr>
      </w:pPr>
    </w:p>
    <w:p w14:paraId="152CE3DA">
      <w:pPr>
        <w:rPr>
          <w:rFonts w:hint="eastAsia" w:ascii="宋体" w:hAnsi="宋体" w:eastAsia="宋体" w:cs="宋体"/>
          <w:color w:val="auto"/>
          <w:highlight w:val="none"/>
        </w:rPr>
      </w:pPr>
    </w:p>
    <w:p w14:paraId="1DA39165">
      <w:pPr>
        <w:pStyle w:val="2"/>
        <w:rPr>
          <w:rFonts w:hint="eastAsia" w:ascii="宋体" w:hAnsi="宋体" w:eastAsia="宋体" w:cs="宋体"/>
          <w:color w:val="auto"/>
          <w:highlight w:val="none"/>
        </w:rPr>
      </w:pPr>
    </w:p>
    <w:p w14:paraId="507EDEAD">
      <w:pPr>
        <w:rPr>
          <w:rFonts w:hint="eastAsia" w:ascii="宋体" w:hAnsi="宋体" w:eastAsia="宋体" w:cs="宋体"/>
          <w:color w:val="auto"/>
          <w:highlight w:val="none"/>
        </w:rPr>
      </w:pPr>
    </w:p>
    <w:p w14:paraId="2E9C4E86">
      <w:pPr>
        <w:pStyle w:val="2"/>
        <w:rPr>
          <w:rFonts w:hint="eastAsia" w:ascii="宋体" w:hAnsi="宋体" w:eastAsia="宋体" w:cs="宋体"/>
          <w:color w:val="auto"/>
          <w:highlight w:val="none"/>
        </w:rPr>
      </w:pPr>
    </w:p>
    <w:p w14:paraId="1E4DB4F4">
      <w:pPr>
        <w:rPr>
          <w:rFonts w:hint="eastAsia" w:ascii="宋体" w:hAnsi="宋体" w:eastAsia="宋体" w:cs="宋体"/>
          <w:color w:val="auto"/>
          <w:highlight w:val="none"/>
        </w:rPr>
      </w:pPr>
    </w:p>
    <w:p w14:paraId="460CD78C">
      <w:pPr>
        <w:pStyle w:val="2"/>
        <w:rPr>
          <w:rFonts w:hint="eastAsia" w:ascii="宋体" w:hAnsi="宋体" w:eastAsia="宋体" w:cs="宋体"/>
          <w:color w:val="auto"/>
          <w:highlight w:val="none"/>
        </w:rPr>
      </w:pPr>
    </w:p>
    <w:p w14:paraId="517E42DE">
      <w:pPr>
        <w:rPr>
          <w:rFonts w:hint="eastAsia" w:ascii="宋体" w:hAnsi="宋体" w:eastAsia="宋体" w:cs="宋体"/>
          <w:color w:val="auto"/>
          <w:highlight w:val="none"/>
        </w:rPr>
      </w:pPr>
    </w:p>
    <w:p w14:paraId="4F122E4C">
      <w:pPr>
        <w:pStyle w:val="2"/>
        <w:rPr>
          <w:rFonts w:hint="eastAsia" w:ascii="宋体" w:hAnsi="宋体" w:eastAsia="宋体" w:cs="宋体"/>
          <w:color w:val="auto"/>
          <w:highlight w:val="none"/>
        </w:rPr>
      </w:pPr>
    </w:p>
    <w:p w14:paraId="1F9EBCBB">
      <w:pPr>
        <w:rPr>
          <w:rFonts w:hint="eastAsia" w:ascii="宋体" w:hAnsi="宋体" w:eastAsia="宋体" w:cs="宋体"/>
          <w:color w:val="auto"/>
          <w:highlight w:val="none"/>
        </w:rPr>
      </w:pPr>
    </w:p>
    <w:p w14:paraId="07290AB6">
      <w:pPr>
        <w:pStyle w:val="2"/>
        <w:rPr>
          <w:rFonts w:hint="eastAsia" w:ascii="宋体" w:hAnsi="宋体" w:eastAsia="宋体" w:cs="宋体"/>
          <w:color w:val="auto"/>
          <w:highlight w:val="none"/>
        </w:rPr>
      </w:pPr>
    </w:p>
    <w:p w14:paraId="4DBFB2FB">
      <w:pPr>
        <w:rPr>
          <w:rFonts w:hint="eastAsia" w:ascii="宋体" w:hAnsi="宋体" w:eastAsia="宋体" w:cs="宋体"/>
          <w:color w:val="auto"/>
          <w:highlight w:val="none"/>
        </w:rPr>
      </w:pPr>
    </w:p>
    <w:p w14:paraId="5B7EEA2D">
      <w:pPr>
        <w:pStyle w:val="2"/>
        <w:rPr>
          <w:rFonts w:hint="eastAsia" w:ascii="宋体" w:hAnsi="宋体" w:eastAsia="宋体" w:cs="宋体"/>
          <w:color w:val="auto"/>
          <w:highlight w:val="none"/>
        </w:rPr>
      </w:pPr>
    </w:p>
    <w:p w14:paraId="555D59F5">
      <w:pPr>
        <w:rPr>
          <w:rFonts w:hint="eastAsia" w:ascii="宋体" w:hAnsi="宋体" w:eastAsia="宋体" w:cs="宋体"/>
          <w:color w:val="auto"/>
          <w:highlight w:val="none"/>
        </w:rPr>
      </w:pPr>
    </w:p>
    <w:p w14:paraId="209826F2">
      <w:pPr>
        <w:pStyle w:val="2"/>
        <w:rPr>
          <w:rFonts w:hint="eastAsia" w:ascii="宋体" w:hAnsi="宋体" w:eastAsia="宋体" w:cs="宋体"/>
          <w:color w:val="auto"/>
          <w:highlight w:val="none"/>
        </w:rPr>
      </w:pPr>
    </w:p>
    <w:p w14:paraId="6D7691F7">
      <w:pPr>
        <w:rPr>
          <w:rFonts w:hint="eastAsia" w:ascii="宋体" w:hAnsi="宋体" w:eastAsia="宋体" w:cs="宋体"/>
          <w:color w:val="auto"/>
          <w:highlight w:val="none"/>
        </w:rPr>
      </w:pPr>
    </w:p>
    <w:p w14:paraId="5C7D8132">
      <w:pPr>
        <w:pStyle w:val="2"/>
        <w:rPr>
          <w:rFonts w:hint="eastAsia" w:ascii="宋体" w:hAnsi="宋体" w:eastAsia="宋体" w:cs="宋体"/>
          <w:color w:val="auto"/>
          <w:highlight w:val="none"/>
        </w:rPr>
      </w:pPr>
    </w:p>
    <w:p w14:paraId="30AF8E81">
      <w:pPr>
        <w:rPr>
          <w:rFonts w:hint="eastAsia" w:ascii="宋体" w:hAnsi="宋体" w:eastAsia="宋体" w:cs="宋体"/>
          <w:color w:val="auto"/>
          <w:highlight w:val="none"/>
        </w:rPr>
      </w:pPr>
    </w:p>
    <w:p w14:paraId="4EF15235">
      <w:pPr>
        <w:pStyle w:val="2"/>
        <w:rPr>
          <w:rFonts w:hint="eastAsia" w:ascii="宋体" w:hAnsi="宋体" w:eastAsia="宋体" w:cs="宋体"/>
          <w:color w:val="auto"/>
          <w:highlight w:val="none"/>
        </w:rPr>
      </w:pPr>
    </w:p>
    <w:p w14:paraId="3C812420">
      <w:pPr>
        <w:rPr>
          <w:rFonts w:hint="eastAsia" w:ascii="宋体" w:hAnsi="宋体" w:eastAsia="宋体" w:cs="宋体"/>
          <w:color w:val="auto"/>
          <w:highlight w:val="none"/>
        </w:rPr>
      </w:pPr>
    </w:p>
    <w:p w14:paraId="693910ED">
      <w:pPr>
        <w:pStyle w:val="2"/>
        <w:rPr>
          <w:rFonts w:hint="eastAsia" w:ascii="宋体" w:hAnsi="宋体" w:eastAsia="宋体" w:cs="宋体"/>
          <w:color w:val="auto"/>
          <w:highlight w:val="none"/>
        </w:rPr>
      </w:pPr>
    </w:p>
    <w:p w14:paraId="5A1CCC6F">
      <w:pPr>
        <w:rPr>
          <w:rFonts w:hint="eastAsia" w:ascii="宋体" w:hAnsi="宋体" w:eastAsia="宋体" w:cs="宋体"/>
          <w:color w:val="auto"/>
          <w:highlight w:val="none"/>
        </w:rPr>
      </w:pPr>
    </w:p>
    <w:p w14:paraId="1E3A47DB">
      <w:pPr>
        <w:pStyle w:val="2"/>
        <w:rPr>
          <w:rFonts w:hint="eastAsia" w:ascii="宋体" w:hAnsi="宋体" w:eastAsia="宋体" w:cs="宋体"/>
          <w:color w:val="auto"/>
          <w:highlight w:val="none"/>
        </w:rPr>
      </w:pPr>
    </w:p>
    <w:p w14:paraId="47A31D47">
      <w:pPr>
        <w:rPr>
          <w:rFonts w:hint="eastAsia" w:ascii="宋体" w:hAnsi="宋体" w:eastAsia="宋体" w:cs="宋体"/>
          <w:color w:val="auto"/>
          <w:highlight w:val="none"/>
        </w:rPr>
      </w:pPr>
    </w:p>
    <w:p w14:paraId="5CD331B2">
      <w:pPr>
        <w:pStyle w:val="2"/>
        <w:rPr>
          <w:rFonts w:hint="eastAsia" w:ascii="宋体" w:hAnsi="宋体" w:eastAsia="宋体" w:cs="宋体"/>
          <w:color w:val="auto"/>
          <w:highlight w:val="none"/>
        </w:rPr>
      </w:pPr>
    </w:p>
    <w:p w14:paraId="4DECD5B5">
      <w:pPr>
        <w:rPr>
          <w:rFonts w:hint="eastAsia" w:ascii="宋体" w:hAnsi="宋体" w:eastAsia="宋体" w:cs="宋体"/>
          <w:color w:val="auto"/>
          <w:highlight w:val="none"/>
        </w:rPr>
      </w:pPr>
    </w:p>
    <w:p w14:paraId="272CBF4C">
      <w:pPr>
        <w:pStyle w:val="2"/>
        <w:rPr>
          <w:rFonts w:hint="eastAsia" w:ascii="宋体" w:hAnsi="宋体" w:eastAsia="宋体" w:cs="宋体"/>
          <w:color w:val="auto"/>
          <w:highlight w:val="none"/>
        </w:rPr>
      </w:pPr>
    </w:p>
    <w:p w14:paraId="5C0E220F">
      <w:pPr>
        <w:rPr>
          <w:rFonts w:hint="eastAsia" w:ascii="宋体" w:hAnsi="宋体" w:eastAsia="宋体" w:cs="宋体"/>
          <w:color w:val="auto"/>
          <w:highlight w:val="none"/>
        </w:rPr>
      </w:pPr>
    </w:p>
    <w:p w14:paraId="3BADE11E">
      <w:pPr>
        <w:pStyle w:val="2"/>
        <w:rPr>
          <w:rFonts w:hint="eastAsia" w:ascii="宋体" w:hAnsi="宋体" w:eastAsia="宋体" w:cs="宋体"/>
          <w:color w:val="auto"/>
          <w:highlight w:val="none"/>
        </w:rPr>
      </w:pPr>
    </w:p>
    <w:p w14:paraId="74910C0E">
      <w:pPr>
        <w:rPr>
          <w:rFonts w:hint="eastAsia" w:ascii="宋体" w:hAnsi="宋体" w:eastAsia="宋体" w:cs="宋体"/>
          <w:color w:val="auto"/>
          <w:highlight w:val="none"/>
        </w:rPr>
      </w:pPr>
    </w:p>
    <w:p w14:paraId="0A2173D0">
      <w:pPr>
        <w:pStyle w:val="2"/>
        <w:rPr>
          <w:rFonts w:hint="eastAsia" w:ascii="宋体" w:hAnsi="宋体" w:eastAsia="宋体" w:cs="宋体"/>
          <w:color w:val="auto"/>
          <w:highlight w:val="none"/>
        </w:rPr>
      </w:pPr>
    </w:p>
    <w:p w14:paraId="237E1CCF">
      <w:pPr>
        <w:rPr>
          <w:rFonts w:hint="eastAsia" w:ascii="宋体" w:hAnsi="宋体" w:eastAsia="宋体" w:cs="宋体"/>
          <w:color w:val="auto"/>
          <w:highlight w:val="none"/>
        </w:rPr>
      </w:pPr>
    </w:p>
    <w:p w14:paraId="08A7E6B6">
      <w:pPr>
        <w:pStyle w:val="2"/>
        <w:rPr>
          <w:rFonts w:hint="eastAsia" w:ascii="宋体" w:hAnsi="宋体" w:eastAsia="宋体" w:cs="宋体"/>
          <w:color w:val="auto"/>
          <w:highlight w:val="none"/>
        </w:rPr>
      </w:pPr>
    </w:p>
    <w:p w14:paraId="2CD96D50">
      <w:pPr>
        <w:rPr>
          <w:rFonts w:hint="eastAsia" w:ascii="宋体" w:hAnsi="宋体" w:eastAsia="宋体" w:cs="宋体"/>
          <w:color w:val="auto"/>
          <w:highlight w:val="none"/>
        </w:rPr>
      </w:pPr>
    </w:p>
    <w:p w14:paraId="55A6A3F8">
      <w:pPr>
        <w:pStyle w:val="2"/>
        <w:rPr>
          <w:rFonts w:hint="eastAsia"/>
          <w:color w:val="auto"/>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CEB0F6">
      <w:pPr>
        <w:rPr>
          <w:rFonts w:hint="eastAsia"/>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82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90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color w:val="auto"/>
          <w:spacing w:val="-4"/>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_Toc7940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val="en-US" w:eastAsia="zh-CN"/>
        </w:rPr>
        <w:t>格式十六 助力项目承诺书</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_Toc7940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92</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336785D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七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93</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620D355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footerReference r:id="rId6"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82"/>
        <w:gridCol w:w="1998"/>
        <w:gridCol w:w="7406"/>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28" w:hRule="atLeast"/>
        </w:trPr>
        <w:tc>
          <w:tcPr>
            <w:tcW w:w="582" w:type="dxa"/>
            <w:shd w:val="clear" w:color="auto" w:fill="auto"/>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998" w:type="dxa"/>
            <w:shd w:val="clear" w:color="auto" w:fill="auto"/>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406" w:type="dxa"/>
            <w:shd w:val="clear" w:color="auto" w:fill="auto"/>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34" w:hRule="atLeast"/>
        </w:trPr>
        <w:tc>
          <w:tcPr>
            <w:tcW w:w="582" w:type="dxa"/>
            <w:shd w:val="clear" w:color="auto" w:fill="auto"/>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998" w:type="dxa"/>
            <w:shd w:val="clear" w:color="auto" w:fill="auto"/>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406" w:type="dxa"/>
            <w:shd w:val="clear" w:color="auto" w:fill="auto"/>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一六镇城乡融合乡村振兴车间及镇区基础设施提升工程—圆岭墩乡村振兴车间建设工程施工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8" w:hRule="atLeast"/>
        </w:trPr>
        <w:tc>
          <w:tcPr>
            <w:tcW w:w="582" w:type="dxa"/>
            <w:shd w:val="clear" w:color="auto" w:fill="auto"/>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998" w:type="dxa"/>
            <w:shd w:val="clear" w:color="auto" w:fill="auto"/>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406" w:type="dxa"/>
            <w:shd w:val="clear" w:color="auto" w:fill="auto"/>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乳源瑶族自治县一六镇人民政府</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65" w:hRule="atLeast"/>
        </w:trPr>
        <w:tc>
          <w:tcPr>
            <w:tcW w:w="582" w:type="dxa"/>
            <w:shd w:val="clear" w:color="auto" w:fill="auto"/>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998" w:type="dxa"/>
            <w:shd w:val="clear" w:color="auto" w:fill="auto"/>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406" w:type="dxa"/>
            <w:shd w:val="clear" w:color="auto" w:fill="auto"/>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乳源瑶族自治县发展和改革局</w:t>
            </w:r>
          </w:p>
          <w:p w14:paraId="6C216ED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乳发改投审[2025]50号、乳发改投审[2025]110号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1" w:hRule="atLeast"/>
        </w:trPr>
        <w:tc>
          <w:tcPr>
            <w:tcW w:w="582" w:type="dxa"/>
            <w:shd w:val="clear" w:color="auto" w:fill="auto"/>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998" w:type="dxa"/>
            <w:shd w:val="clear" w:color="auto" w:fill="auto"/>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406" w:type="dxa"/>
            <w:shd w:val="clear" w:color="auto" w:fill="auto"/>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乳源瑶族自治县一六镇一六村委圆岭墩（迁移村）附近</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shd w:val="clear" w:color="auto" w:fill="auto"/>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998" w:type="dxa"/>
            <w:shd w:val="clear" w:color="auto" w:fill="auto"/>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406" w:type="dxa"/>
            <w:shd w:val="clear" w:color="auto" w:fill="auto"/>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2506-440232-20-01-447782</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shd w:val="clear" w:color="auto" w:fill="auto"/>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998" w:type="dxa"/>
            <w:shd w:val="clear" w:color="auto" w:fill="auto"/>
            <w:vAlign w:val="center"/>
          </w:tcPr>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406" w:type="dxa"/>
            <w:shd w:val="clear" w:color="auto" w:fill="auto"/>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省级财政资金，100%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26" w:hRule="atLeast"/>
        </w:trPr>
        <w:tc>
          <w:tcPr>
            <w:tcW w:w="582" w:type="dxa"/>
            <w:shd w:val="clear" w:color="auto" w:fill="auto"/>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998" w:type="dxa"/>
            <w:shd w:val="clear" w:color="auto" w:fill="auto"/>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406" w:type="dxa"/>
            <w:shd w:val="clear" w:color="auto" w:fill="auto"/>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乳源瑶族自治县一六镇人民政府</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45" w:hRule="atLeast"/>
        </w:trPr>
        <w:tc>
          <w:tcPr>
            <w:tcW w:w="582" w:type="dxa"/>
            <w:shd w:val="clear" w:color="auto" w:fill="auto"/>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998" w:type="dxa"/>
            <w:shd w:val="clear" w:color="auto" w:fill="auto"/>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406" w:type="dxa"/>
            <w:shd w:val="clear" w:color="auto" w:fill="auto"/>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智埔国际建设集团有限公司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shd w:val="clear" w:color="auto" w:fill="auto"/>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998" w:type="dxa"/>
            <w:shd w:val="clear" w:color="auto" w:fill="auto"/>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406" w:type="dxa"/>
            <w:shd w:val="clear" w:color="auto" w:fill="auto"/>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铭扬工程设计集团有限公司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shd w:val="clear" w:color="auto" w:fill="auto"/>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998" w:type="dxa"/>
            <w:shd w:val="clear" w:color="auto" w:fill="auto"/>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406" w:type="dxa"/>
            <w:shd w:val="clear" w:color="auto" w:fill="auto"/>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shd w:val="clear" w:color="auto" w:fill="auto"/>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998" w:type="dxa"/>
            <w:shd w:val="clear" w:color="auto" w:fill="auto"/>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406" w:type="dxa"/>
            <w:shd w:val="clear" w:color="auto" w:fill="auto"/>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582" w:type="dxa"/>
            <w:shd w:val="clear" w:color="auto" w:fill="auto"/>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998" w:type="dxa"/>
            <w:shd w:val="clear" w:color="auto" w:fill="auto"/>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406" w:type="dxa"/>
            <w:shd w:val="clear" w:color="auto" w:fill="auto"/>
            <w:vAlign w:val="center"/>
          </w:tcPr>
          <w:p w14:paraId="0E7E07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☑建设内容：建设一栋四层的乡村振兴车间及配套室外工程，配套室外工程包含道路工程、交通工程、室外配套给排水等，总建筑面积 5921.60㎡，其中地上建筑物面积5609.41㎡，地下建筑物面积312.19㎡。</w:t>
            </w:r>
          </w:p>
          <w:p w14:paraId="5C5CE63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项目总投资为2538.33万元，其中建安费用2059.38万元。</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40" w:hRule="atLeast"/>
        </w:trPr>
        <w:tc>
          <w:tcPr>
            <w:tcW w:w="582" w:type="dxa"/>
            <w:shd w:val="clear" w:color="auto" w:fill="auto"/>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998" w:type="dxa"/>
            <w:shd w:val="clear" w:color="auto" w:fill="auto"/>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406" w:type="dxa"/>
            <w:shd w:val="clear" w:color="auto" w:fill="auto"/>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项目总投资为2538.33万元，其中建安费用2059.38万元。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46" w:hRule="atLeast"/>
        </w:trPr>
        <w:tc>
          <w:tcPr>
            <w:tcW w:w="582" w:type="dxa"/>
            <w:shd w:val="clear" w:color="auto" w:fill="auto"/>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998" w:type="dxa"/>
            <w:shd w:val="clear" w:color="auto" w:fill="auto"/>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406" w:type="dxa"/>
            <w:shd w:val="clear" w:color="auto" w:fill="auto"/>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30" w:hRule="atLeast"/>
        </w:trPr>
        <w:tc>
          <w:tcPr>
            <w:tcW w:w="582" w:type="dxa"/>
            <w:shd w:val="clear" w:color="auto" w:fill="auto"/>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998" w:type="dxa"/>
            <w:shd w:val="clear" w:color="auto" w:fill="auto"/>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406" w:type="dxa"/>
            <w:shd w:val="clear" w:color="auto" w:fill="auto"/>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3" w:hRule="atLeast"/>
        </w:trPr>
        <w:tc>
          <w:tcPr>
            <w:tcW w:w="582" w:type="dxa"/>
            <w:shd w:val="clear" w:color="auto" w:fill="auto"/>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998" w:type="dxa"/>
            <w:shd w:val="clear" w:color="auto" w:fill="auto"/>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406" w:type="dxa"/>
            <w:shd w:val="clear" w:color="auto" w:fill="auto"/>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390个日历天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390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73" w:hRule="atLeast"/>
        </w:trPr>
        <w:tc>
          <w:tcPr>
            <w:tcW w:w="582" w:type="dxa"/>
            <w:shd w:val="clear" w:color="auto" w:fill="auto"/>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998" w:type="dxa"/>
            <w:shd w:val="clear" w:color="auto" w:fill="auto"/>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406" w:type="dxa"/>
            <w:shd w:val="clear" w:color="auto" w:fill="auto"/>
            <w:vAlign w:val="top"/>
          </w:tcPr>
          <w:p w14:paraId="25CBBAF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☑质量目标：合格 </w:t>
            </w:r>
          </w:p>
          <w:p w14:paraId="16603DE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☑质量标准：符合现行国家有关工程施工质量验收规范和标准的要求。</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shd w:val="clear" w:color="auto" w:fill="auto"/>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998" w:type="dxa"/>
            <w:vMerge w:val="restart"/>
            <w:shd w:val="clear" w:color="auto" w:fill="auto"/>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406" w:type="dxa"/>
            <w:shd w:val="clear" w:color="auto" w:fill="auto"/>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38" w:hRule="atLeast"/>
        </w:trPr>
        <w:tc>
          <w:tcPr>
            <w:tcW w:w="582" w:type="dxa"/>
            <w:vMerge w:val="continue"/>
            <w:shd w:val="clear" w:color="auto" w:fill="auto"/>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998" w:type="dxa"/>
            <w:vMerge w:val="continue"/>
            <w:shd w:val="clear" w:color="auto" w:fill="auto"/>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406" w:type="dxa"/>
            <w:shd w:val="clear" w:color="auto" w:fill="auto"/>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22" w:hRule="atLeast"/>
        </w:trPr>
        <w:tc>
          <w:tcPr>
            <w:tcW w:w="582" w:type="dxa"/>
            <w:shd w:val="clear" w:color="auto" w:fill="auto"/>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998" w:type="dxa"/>
            <w:shd w:val="clear" w:color="auto" w:fill="auto"/>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406" w:type="dxa"/>
            <w:shd w:val="clear" w:color="auto" w:fill="auto"/>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本招标项目不纳入绿色建设实施范围。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shd w:val="clear" w:color="auto" w:fill="auto"/>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998" w:type="dxa"/>
            <w:shd w:val="clear" w:color="auto" w:fill="auto"/>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406" w:type="dxa"/>
            <w:shd w:val="clear" w:color="auto" w:fill="auto"/>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0" w:hRule="atLeast"/>
        </w:trPr>
        <w:tc>
          <w:tcPr>
            <w:tcW w:w="582" w:type="dxa"/>
            <w:shd w:val="clear" w:color="auto" w:fill="auto"/>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998" w:type="dxa"/>
            <w:shd w:val="clear" w:color="auto" w:fill="auto"/>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406" w:type="dxa"/>
            <w:shd w:val="clear" w:color="auto" w:fill="auto"/>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355" w:hRule="atLeast"/>
        </w:trPr>
        <w:tc>
          <w:tcPr>
            <w:tcW w:w="582" w:type="dxa"/>
            <w:shd w:val="clear" w:color="auto" w:fill="auto"/>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998" w:type="dxa"/>
            <w:shd w:val="clear" w:color="auto" w:fill="auto"/>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406" w:type="dxa"/>
            <w:shd w:val="clear" w:color="auto" w:fill="auto"/>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480" w:hRule="atLeast"/>
        </w:trPr>
        <w:tc>
          <w:tcPr>
            <w:tcW w:w="582" w:type="dxa"/>
            <w:shd w:val="clear" w:color="auto" w:fill="auto"/>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998" w:type="dxa"/>
            <w:shd w:val="clear" w:color="auto" w:fill="auto"/>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406" w:type="dxa"/>
            <w:shd w:val="clear" w:color="auto" w:fill="auto"/>
            <w:vAlign w:val="center"/>
          </w:tcPr>
          <w:p w14:paraId="699A3BF0">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本工程最高投标限价在投标截止时间前7天以补充公告的形式在广东省招标投标监管网（http://zbtb.gd.gov.cn）、全国公共资源交易平台 （广东省 · 韶关市）（https://ygp.gdzwfw.gov.cn/ggzy-portal/#/440200/index）网站公布，各投标人可在上述网站上自行下载。</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282" w:hRule="atLeast"/>
        </w:trPr>
        <w:tc>
          <w:tcPr>
            <w:tcW w:w="582" w:type="dxa"/>
            <w:shd w:val="clear" w:color="auto" w:fill="auto"/>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998" w:type="dxa"/>
            <w:shd w:val="clear" w:color="auto" w:fill="auto"/>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406" w:type="dxa"/>
            <w:shd w:val="clear" w:color="auto" w:fill="auto"/>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3" w:hRule="atLeast"/>
        </w:trPr>
        <w:tc>
          <w:tcPr>
            <w:tcW w:w="582" w:type="dxa"/>
            <w:shd w:val="clear" w:color="auto" w:fill="auto"/>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998" w:type="dxa"/>
            <w:shd w:val="clear" w:color="auto" w:fill="auto"/>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406" w:type="dxa"/>
            <w:shd w:val="clear" w:color="auto" w:fill="auto"/>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w:t>
            </w:r>
            <w:r>
              <w:rPr>
                <w:rFonts w:hint="eastAsia" w:asciiTheme="minorEastAsia" w:hAnsiTheme="minorEastAsia" w:eastAsiaTheme="minorEastAsia" w:cstheme="minorEastAsia"/>
                <w:snapToGrid w:val="0"/>
                <w:color w:val="auto"/>
                <w:kern w:val="0"/>
                <w:sz w:val="21"/>
                <w:szCs w:val="21"/>
                <w:highlight w:val="none"/>
                <w:lang w:val="en-US" w:eastAsia="zh-CN"/>
              </w:rPr>
              <w:t>专业工程</w:t>
            </w:r>
            <w:r>
              <w:rPr>
                <w:rFonts w:hint="eastAsia" w:asciiTheme="minorEastAsia" w:hAnsiTheme="minorEastAsia" w:eastAsiaTheme="minorEastAsia" w:cstheme="minorEastAsia"/>
                <w:snapToGrid w:val="0"/>
                <w:color w:val="auto"/>
                <w:kern w:val="0"/>
                <w:sz w:val="21"/>
                <w:szCs w:val="21"/>
                <w:highlight w:val="none"/>
                <w:lang w:eastAsia="zh-CN"/>
              </w:rPr>
              <w:t>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措施项目中的安全生产措施费，必须按国家、省级、市级（即工程所在地）行业建设主管部门的规定计算，不得作为竞争性费用。</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5" w:hRule="atLeast"/>
        </w:trPr>
        <w:tc>
          <w:tcPr>
            <w:tcW w:w="582" w:type="dxa"/>
            <w:shd w:val="clear" w:color="auto" w:fill="auto"/>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998" w:type="dxa"/>
            <w:shd w:val="clear" w:color="auto" w:fill="auto"/>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406" w:type="dxa"/>
            <w:shd w:val="clear" w:color="auto" w:fill="auto"/>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shd w:val="clear" w:color="auto" w:fill="auto"/>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6</w:t>
            </w:r>
          </w:p>
        </w:tc>
        <w:tc>
          <w:tcPr>
            <w:tcW w:w="1998" w:type="dxa"/>
            <w:shd w:val="clear" w:color="auto" w:fill="auto"/>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406" w:type="dxa"/>
            <w:shd w:val="clear" w:color="auto" w:fill="auto"/>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w:t>
            </w:r>
            <w:r>
              <w:rPr>
                <w:rFonts w:hint="eastAsia" w:asciiTheme="minorEastAsia" w:hAnsiTheme="minorEastAsia" w:eastAsiaTheme="minorEastAsia" w:cstheme="minorEastAsia"/>
                <w:snapToGrid w:val="0"/>
                <w:color w:val="auto"/>
                <w:kern w:val="0"/>
                <w:sz w:val="21"/>
                <w:szCs w:val="21"/>
                <w:highlight w:val="none"/>
                <w:u w:val="single"/>
                <w:lang w:eastAsia="zh-CN"/>
              </w:rPr>
              <w:t>不接受</w:t>
            </w:r>
            <w:r>
              <w:rPr>
                <w:rFonts w:hint="eastAsia" w:asciiTheme="minorEastAsia" w:hAnsiTheme="minorEastAsia" w:eastAsiaTheme="minorEastAsia" w:cstheme="minorEastAsia"/>
                <w:snapToGrid w:val="0"/>
                <w:color w:val="auto"/>
                <w:kern w:val="0"/>
                <w:sz w:val="21"/>
                <w:szCs w:val="21"/>
                <w:highlight w:val="none"/>
                <w:lang w:eastAsia="zh-CN"/>
              </w:rPr>
              <w:t>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建筑工程施工总承包三级以上（含三级）</w:t>
            </w:r>
            <w:r>
              <w:rPr>
                <w:rFonts w:hint="eastAsia" w:asciiTheme="minorEastAsia" w:hAnsiTheme="minorEastAsia" w:eastAsiaTheme="minorEastAsia" w:cstheme="minorEastAsia"/>
                <w:snapToGrid w:val="0"/>
                <w:color w:val="auto"/>
                <w:kern w:val="0"/>
                <w:sz w:val="21"/>
                <w:szCs w:val="21"/>
                <w:highlight w:val="none"/>
                <w:u w:val="single"/>
                <w:lang w:eastAsia="zh-CN"/>
              </w:rPr>
              <w:t>以上资质</w:t>
            </w:r>
            <w:r>
              <w:rPr>
                <w:rFonts w:hint="eastAsia" w:asciiTheme="minorEastAsia" w:hAnsiTheme="minorEastAsia" w:eastAsiaTheme="minorEastAsia" w:cstheme="minorEastAsia"/>
                <w:snapToGrid w:val="0"/>
                <w:color w:val="auto"/>
                <w:kern w:val="0"/>
                <w:sz w:val="21"/>
                <w:szCs w:val="21"/>
                <w:highlight w:val="none"/>
                <w:lang w:eastAsia="zh-CN"/>
              </w:rPr>
              <w:t>。</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建筑工程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建筑工程</w:t>
            </w:r>
            <w:r>
              <w:rPr>
                <w:rFonts w:hint="eastAsia" w:asciiTheme="minorEastAsia" w:hAnsiTheme="minorEastAsia" w:eastAsiaTheme="minorEastAsia" w:cstheme="minorEastAsia"/>
                <w:snapToGrid w:val="0"/>
                <w:color w:val="auto"/>
                <w:kern w:val="0"/>
                <w:sz w:val="21"/>
                <w:szCs w:val="21"/>
                <w:highlight w:val="none"/>
                <w:u w:val="none"/>
                <w:lang w:val="en-US" w:eastAsia="zh-CN"/>
              </w:rPr>
              <w:t>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840"/>
              <w:gridCol w:w="3629"/>
            </w:tblGrid>
            <w:tr w14:paraId="0AFA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6A4BD810">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2840" w:type="dxa"/>
                  <w:vAlign w:val="center"/>
                </w:tcPr>
                <w:p w14:paraId="7E44080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629" w:type="dxa"/>
                  <w:vAlign w:val="center"/>
                </w:tcPr>
                <w:p w14:paraId="3646C3B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2EFE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vAlign w:val="center"/>
                </w:tcPr>
                <w:p w14:paraId="51A6AF5E">
                  <w:pPr>
                    <w:widowControl w:val="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w:t>
                  </w:r>
                </w:p>
              </w:tc>
              <w:tc>
                <w:tcPr>
                  <w:tcW w:w="2840" w:type="dxa"/>
                  <w:vAlign w:val="center"/>
                </w:tcPr>
                <w:p w14:paraId="624011E4">
                  <w:pPr>
                    <w:widowControl w:val="0"/>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乳源瑶族自治县一六镇人民政府</w:t>
                  </w:r>
                </w:p>
              </w:tc>
              <w:tc>
                <w:tcPr>
                  <w:tcW w:w="3629" w:type="dxa"/>
                  <w:vAlign w:val="center"/>
                </w:tcPr>
                <w:p w14:paraId="2DDD6EA8">
                  <w:pPr>
                    <w:widowControl w:val="0"/>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为本招标项目的招标人</w:t>
                  </w:r>
                </w:p>
              </w:tc>
            </w:tr>
            <w:tr w14:paraId="32E7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Align w:val="center"/>
                </w:tcPr>
                <w:p w14:paraId="1D1A1440">
                  <w:pPr>
                    <w:widowControl w:val="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w:t>
                  </w:r>
                </w:p>
              </w:tc>
              <w:tc>
                <w:tcPr>
                  <w:tcW w:w="2840" w:type="dxa"/>
                  <w:vAlign w:val="center"/>
                </w:tcPr>
                <w:p w14:paraId="765E18B7">
                  <w:pPr>
                    <w:widowControl w:val="0"/>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智埔国际建设集团有限公司</w:t>
                  </w:r>
                </w:p>
              </w:tc>
              <w:tc>
                <w:tcPr>
                  <w:tcW w:w="3629" w:type="dxa"/>
                  <w:vAlign w:val="center"/>
                </w:tcPr>
                <w:p w14:paraId="7A60E9E6">
                  <w:pPr>
                    <w:widowControl w:val="0"/>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为本招标项目的招标代理机构</w:t>
                  </w:r>
                </w:p>
              </w:tc>
            </w:tr>
            <w:tr w14:paraId="01955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vAlign w:val="center"/>
                </w:tcPr>
                <w:p w14:paraId="3BD6678A">
                  <w:pPr>
                    <w:widowControl w:val="0"/>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w:t>
                  </w:r>
                </w:p>
              </w:tc>
              <w:tc>
                <w:tcPr>
                  <w:tcW w:w="2840" w:type="dxa"/>
                  <w:vAlign w:val="center"/>
                </w:tcPr>
                <w:p w14:paraId="3DB652EA">
                  <w:pPr>
                    <w:widowControl w:val="0"/>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铭扬工程设计集团有限公司</w:t>
                  </w:r>
                </w:p>
              </w:tc>
              <w:tc>
                <w:tcPr>
                  <w:tcW w:w="3629" w:type="dxa"/>
                  <w:vAlign w:val="center"/>
                </w:tcPr>
                <w:p w14:paraId="3CF810E6">
                  <w:pPr>
                    <w:widowControl w:val="0"/>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为本招标项目的设计单位</w:t>
                  </w:r>
                </w:p>
              </w:tc>
            </w:tr>
            <w:tr w14:paraId="6BF6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24792854">
                  <w:pPr>
                    <w:pStyle w:val="23"/>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4</w:t>
                  </w:r>
                </w:p>
              </w:tc>
              <w:tc>
                <w:tcPr>
                  <w:tcW w:w="2840" w:type="dxa"/>
                  <w:vAlign w:val="center"/>
                </w:tcPr>
                <w:p w14:paraId="5837997C">
                  <w:pPr>
                    <w:widowControl w:val="0"/>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广州三合工程咨询有限公司</w:t>
                  </w:r>
                </w:p>
              </w:tc>
              <w:tc>
                <w:tcPr>
                  <w:tcW w:w="3629" w:type="dxa"/>
                  <w:vAlign w:val="center"/>
                </w:tcPr>
                <w:p w14:paraId="1E1770FF">
                  <w:pPr>
                    <w:widowControl w:val="0"/>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为本招标项目的施工图审查单位</w:t>
                  </w:r>
                </w:p>
              </w:tc>
            </w:tr>
            <w:tr w14:paraId="16AF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shd w:val="clear" w:color="auto" w:fill="auto"/>
                  <w:vAlign w:val="center"/>
                </w:tcPr>
                <w:p w14:paraId="23B8AD94">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5</w:t>
                  </w:r>
                </w:p>
              </w:tc>
              <w:tc>
                <w:tcPr>
                  <w:tcW w:w="2840" w:type="dxa"/>
                  <w:vAlign w:val="center"/>
                </w:tcPr>
                <w:p w14:paraId="1114740F">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中诺宏盛设计集团有限公司</w:t>
                  </w:r>
                </w:p>
              </w:tc>
              <w:tc>
                <w:tcPr>
                  <w:tcW w:w="3629" w:type="dxa"/>
                  <w:vAlign w:val="center"/>
                </w:tcPr>
                <w:p w14:paraId="5CAFA02F">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为本招标项目的全过程造价咨询单位</w:t>
                  </w:r>
                </w:p>
              </w:tc>
            </w:tr>
            <w:tr w14:paraId="1991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0AA73583">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6</w:t>
                  </w:r>
                </w:p>
              </w:tc>
              <w:tc>
                <w:tcPr>
                  <w:tcW w:w="2840" w:type="dxa"/>
                  <w:vAlign w:val="center"/>
                </w:tcPr>
                <w:p w14:paraId="6B733036">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江西核工业工程地质勘察院有限公司</w:t>
                  </w:r>
                </w:p>
              </w:tc>
              <w:tc>
                <w:tcPr>
                  <w:tcW w:w="3629" w:type="dxa"/>
                  <w:vAlign w:val="center"/>
                </w:tcPr>
                <w:p w14:paraId="270880BD">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本项目工程勘察单位</w:t>
                  </w:r>
                </w:p>
              </w:tc>
            </w:tr>
            <w:tr w14:paraId="5D6F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9" w:type="dxa"/>
                  <w:vAlign w:val="center"/>
                </w:tcPr>
                <w:p w14:paraId="3A6A42D0">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7</w:t>
                  </w:r>
                </w:p>
              </w:tc>
              <w:tc>
                <w:tcPr>
                  <w:tcW w:w="2840" w:type="dxa"/>
                  <w:vAlign w:val="center"/>
                </w:tcPr>
                <w:p w14:paraId="705F5908">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世纪工程项目管理有限公司</w:t>
                  </w:r>
                </w:p>
              </w:tc>
              <w:tc>
                <w:tcPr>
                  <w:tcW w:w="3629" w:type="dxa"/>
                  <w:vAlign w:val="center"/>
                </w:tcPr>
                <w:p w14:paraId="17171FCE">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为本项目可行性研究报告单位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6" w:hRule="atLeast"/>
        </w:trPr>
        <w:tc>
          <w:tcPr>
            <w:tcW w:w="582" w:type="dxa"/>
            <w:shd w:val="clear" w:color="auto" w:fill="auto"/>
            <w:vAlign w:val="center"/>
          </w:tcPr>
          <w:p w14:paraId="6C795553">
            <w:pPr>
              <w:spacing w:before="19"/>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27</w:t>
            </w:r>
          </w:p>
        </w:tc>
        <w:tc>
          <w:tcPr>
            <w:tcW w:w="1998" w:type="dxa"/>
            <w:shd w:val="clear" w:color="auto" w:fill="auto"/>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406" w:type="dxa"/>
            <w:shd w:val="clear" w:color="auto" w:fill="auto"/>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10" w:hRule="atLeast"/>
        </w:trPr>
        <w:tc>
          <w:tcPr>
            <w:tcW w:w="582" w:type="dxa"/>
            <w:shd w:val="clear" w:color="auto" w:fill="auto"/>
            <w:vAlign w:val="center"/>
          </w:tcPr>
          <w:p w14:paraId="7E0149C9">
            <w:pPr>
              <w:spacing w:before="19"/>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998" w:type="dxa"/>
            <w:shd w:val="clear" w:color="auto" w:fill="auto"/>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406" w:type="dxa"/>
            <w:shd w:val="clear" w:color="auto" w:fill="auto"/>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60" w:hRule="atLeast"/>
        </w:trPr>
        <w:tc>
          <w:tcPr>
            <w:tcW w:w="582" w:type="dxa"/>
            <w:shd w:val="clear" w:color="auto" w:fill="auto"/>
            <w:vAlign w:val="center"/>
          </w:tcPr>
          <w:p w14:paraId="080D10B9">
            <w:pPr>
              <w:spacing w:before="69" w:line="188" w:lineRule="auto"/>
              <w:ind w:left="205"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998" w:type="dxa"/>
            <w:shd w:val="clear" w:color="auto" w:fill="auto"/>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406" w:type="dxa"/>
            <w:shd w:val="clear" w:color="auto" w:fill="auto"/>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shd w:val="clear" w:color="auto" w:fill="auto"/>
            <w:vAlign w:val="center"/>
          </w:tcPr>
          <w:p w14:paraId="2A7F5E06">
            <w:pPr>
              <w:spacing w:before="69" w:line="188" w:lineRule="auto"/>
              <w:ind w:left="205" w:leftChars="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998" w:type="dxa"/>
            <w:shd w:val="clear" w:color="auto" w:fill="auto"/>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406" w:type="dxa"/>
            <w:shd w:val="clear" w:color="auto" w:fill="auto"/>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人，专家 </w:t>
            </w:r>
            <w:r>
              <w:rPr>
                <w:rFonts w:hint="eastAsia" w:asciiTheme="minorEastAsia" w:hAnsiTheme="minorEastAsia" w:eastAsiaTheme="minorEastAsia" w:cstheme="minorEastAsia"/>
                <w:snapToGrid w:val="0"/>
                <w:color w:val="auto"/>
                <w:kern w:val="0"/>
                <w:sz w:val="21"/>
                <w:szCs w:val="21"/>
                <w:highlight w:val="none"/>
                <w:lang w:val="en-US" w:eastAsia="zh-CN"/>
              </w:rPr>
              <w:t>4</w:t>
            </w:r>
            <w:r>
              <w:rPr>
                <w:rFonts w:hint="eastAsia" w:asciiTheme="minorEastAsia" w:hAnsiTheme="minorEastAsia" w:eastAsiaTheme="minorEastAsia" w:cstheme="minorEastAsia"/>
                <w:snapToGrid w:val="0"/>
                <w:color w:val="auto"/>
                <w:kern w:val="0"/>
                <w:sz w:val="21"/>
                <w:szCs w:val="21"/>
                <w:highlight w:val="none"/>
                <w:lang w:eastAsia="zh-CN"/>
              </w:rPr>
              <w:t xml:space="preserve"> 人。专家从广东省综合评标评审专家库中随机抽取，其中技术类专家 </w:t>
            </w:r>
            <w:r>
              <w:rPr>
                <w:rFonts w:hint="eastAsia" w:asciiTheme="minorEastAsia" w:hAnsiTheme="minorEastAsia" w:eastAsiaTheme="minorEastAsia" w:cstheme="minorEastAsia"/>
                <w:snapToGrid w:val="0"/>
                <w:color w:val="auto"/>
                <w:kern w:val="0"/>
                <w:sz w:val="21"/>
                <w:szCs w:val="21"/>
                <w:highlight w:val="none"/>
                <w:lang w:val="en-US" w:eastAsia="zh-CN"/>
              </w:rPr>
              <w:t>2</w:t>
            </w:r>
            <w:r>
              <w:rPr>
                <w:rFonts w:hint="eastAsia" w:asciiTheme="minorEastAsia" w:hAnsiTheme="minorEastAsia" w:eastAsiaTheme="minorEastAsia" w:cstheme="minorEastAsia"/>
                <w:snapToGrid w:val="0"/>
                <w:color w:val="auto"/>
                <w:kern w:val="0"/>
                <w:sz w:val="21"/>
                <w:szCs w:val="21"/>
                <w:highlight w:val="none"/>
                <w:lang w:eastAsia="zh-CN"/>
              </w:rPr>
              <w:t xml:space="preserve">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28" w:hRule="atLeast"/>
        </w:trPr>
        <w:tc>
          <w:tcPr>
            <w:tcW w:w="582" w:type="dxa"/>
            <w:shd w:val="clear" w:color="auto" w:fill="auto"/>
            <w:vAlign w:val="center"/>
          </w:tcPr>
          <w:p w14:paraId="2AD4F28B">
            <w:pPr>
              <w:spacing w:before="69"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998" w:type="dxa"/>
            <w:shd w:val="clear" w:color="auto" w:fill="auto"/>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406" w:type="dxa"/>
            <w:shd w:val="clear" w:color="auto" w:fill="auto"/>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16" w:hRule="atLeast"/>
        </w:trPr>
        <w:tc>
          <w:tcPr>
            <w:tcW w:w="582" w:type="dxa"/>
            <w:shd w:val="clear" w:color="auto" w:fill="auto"/>
            <w:vAlign w:val="center"/>
          </w:tcPr>
          <w:p w14:paraId="58D68E09">
            <w:pPr>
              <w:spacing w:before="69" w:line="188" w:lineRule="auto"/>
              <w:ind w:left="209"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998" w:type="dxa"/>
            <w:shd w:val="clear" w:color="auto" w:fill="auto"/>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406" w:type="dxa"/>
            <w:shd w:val="clear" w:color="auto" w:fill="auto"/>
            <w:vAlign w:val="center"/>
          </w:tcPr>
          <w:p w14:paraId="196FD55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A＋B 值评标法  □经评审的最低投标价法   ☑综合评估法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7" w:hRule="atLeast"/>
        </w:trPr>
        <w:tc>
          <w:tcPr>
            <w:tcW w:w="582" w:type="dxa"/>
            <w:shd w:val="clear" w:color="auto" w:fill="auto"/>
            <w:vAlign w:val="center"/>
          </w:tcPr>
          <w:p w14:paraId="06AF2062">
            <w:pP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998" w:type="dxa"/>
            <w:shd w:val="clear" w:color="auto" w:fill="auto"/>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406" w:type="dxa"/>
            <w:shd w:val="clear" w:color="auto" w:fill="auto"/>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两套纸质投标文件（含签名盖章页），内容同电子投标文件，在签订本招标项目承包合同前分别提交给招标人。（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shd w:val="clear" w:color="auto" w:fill="auto"/>
            <w:vAlign w:val="center"/>
          </w:tcPr>
          <w:p w14:paraId="2168BB35">
            <w:pP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998" w:type="dxa"/>
            <w:shd w:val="clear" w:color="auto" w:fill="auto"/>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406" w:type="dxa"/>
            <w:shd w:val="clear" w:color="auto" w:fill="auto"/>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shd w:val="clear" w:color="auto" w:fill="auto"/>
            <w:vAlign w:val="center"/>
          </w:tcPr>
          <w:p w14:paraId="4E5940B1">
            <w:pPr>
              <w:spacing w:before="258" w:line="188" w:lineRule="auto"/>
              <w:ind w:left="209" w:leftChars="0"/>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998" w:type="dxa"/>
            <w:shd w:val="clear" w:color="auto" w:fill="auto"/>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406" w:type="dxa"/>
            <w:shd w:val="clear" w:color="auto" w:fill="auto"/>
            <w:vAlign w:val="center"/>
          </w:tcPr>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13" w:hRule="atLeast"/>
        </w:trPr>
        <w:tc>
          <w:tcPr>
            <w:tcW w:w="582" w:type="dxa"/>
            <w:shd w:val="clear" w:color="auto" w:fill="auto"/>
            <w:vAlign w:val="center"/>
          </w:tcPr>
          <w:p w14:paraId="5A8F9F23">
            <w:pPr>
              <w:spacing w:before="258" w:line="188" w:lineRule="auto"/>
              <w:ind w:left="209" w:leftChars="0"/>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998" w:type="dxa"/>
            <w:shd w:val="clear" w:color="auto" w:fill="auto"/>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406" w:type="dxa"/>
            <w:shd w:val="clear" w:color="auto" w:fill="auto"/>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25" w:hRule="atLeast"/>
        </w:trPr>
        <w:tc>
          <w:tcPr>
            <w:tcW w:w="582" w:type="dxa"/>
            <w:shd w:val="clear" w:color="auto" w:fill="auto"/>
            <w:vAlign w:val="center"/>
          </w:tcPr>
          <w:p w14:paraId="6E15237F">
            <w:pPr>
              <w:spacing w:before="57" w:line="195"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998" w:type="dxa"/>
            <w:shd w:val="clear" w:color="auto" w:fill="auto"/>
            <w:vAlign w:val="center"/>
          </w:tcPr>
          <w:p w14:paraId="6186C35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w:t>
            </w:r>
          </w:p>
        </w:tc>
        <w:tc>
          <w:tcPr>
            <w:tcW w:w="7406" w:type="dxa"/>
            <w:shd w:val="clear" w:color="auto" w:fill="auto"/>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本项目由招标人支付招标代理费，具体支付金额以县发改局、财政局最终审核为准，参照《乳源瑶族自治县政府投资项目前期工作经费管理办法》乳府办[2022]106号执行。</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94" w:hRule="atLeast"/>
        </w:trPr>
        <w:tc>
          <w:tcPr>
            <w:tcW w:w="582" w:type="dxa"/>
            <w:shd w:val="clear" w:color="auto" w:fill="auto"/>
            <w:vAlign w:val="center"/>
          </w:tcPr>
          <w:p w14:paraId="37D7D386">
            <w:pPr>
              <w:spacing w:before="69" w:line="188" w:lineRule="auto"/>
              <w:ind w:left="209" w:left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998" w:type="dxa"/>
            <w:shd w:val="clear" w:color="auto" w:fill="auto"/>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406" w:type="dxa"/>
            <w:shd w:val="clear" w:color="auto" w:fill="auto"/>
            <w:vAlign w:val="center"/>
          </w:tcPr>
          <w:p w14:paraId="294DCE90">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乳源瑶族自治县一六镇人民政府</w:t>
            </w:r>
          </w:p>
          <w:p w14:paraId="04C4DC4A">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乳源瑶族自治县一六镇</w:t>
            </w:r>
          </w:p>
          <w:p w14:paraId="5B16EB9D">
            <w:pPr>
              <w:wordWrap w:val="0"/>
              <w:adjustRightInd w:val="0"/>
              <w:snapToGrid w:val="0"/>
              <w:spacing w:line="360" w:lineRule="exact"/>
              <w:ind w:firstLine="220" w:firstLineChars="100"/>
              <w:jc w:val="left"/>
              <w:rPr>
                <w:rFonts w:hint="default" w:ascii="宋体" w:hAnsi="宋体" w:eastAsia="宋体" w:cs="宋体"/>
                <w:snapToGrid w:val="0"/>
                <w:color w:val="auto"/>
                <w:kern w:val="0"/>
                <w:sz w:val="22"/>
                <w:szCs w:val="22"/>
                <w:highlight w:val="none"/>
                <w:lang w:val="en-US" w:eastAsia="zh-CN"/>
              </w:rPr>
            </w:pPr>
            <w:r>
              <w:rPr>
                <w:rFonts w:hint="eastAsia" w:ascii="宋体" w:hAnsi="宋体" w:eastAsia="宋体" w:cs="宋体"/>
                <w:snapToGrid w:val="0"/>
                <w:color w:val="auto"/>
                <w:kern w:val="0"/>
                <w:sz w:val="22"/>
                <w:szCs w:val="22"/>
                <w:highlight w:val="none"/>
              </w:rPr>
              <w:t>联系人（部门）：</w:t>
            </w:r>
            <w:r>
              <w:rPr>
                <w:rFonts w:hint="eastAsia" w:ascii="宋体" w:hAnsi="宋体" w:eastAsia="宋体" w:cs="宋体"/>
                <w:snapToGrid w:val="0"/>
                <w:color w:val="auto"/>
                <w:kern w:val="0"/>
                <w:sz w:val="22"/>
                <w:szCs w:val="22"/>
                <w:highlight w:val="none"/>
                <w:lang w:val="en-US" w:eastAsia="zh-CN"/>
              </w:rPr>
              <w:t>马工</w:t>
            </w:r>
          </w:p>
          <w:p w14:paraId="01E5EFA9">
            <w:pPr>
              <w:wordWrap w:val="0"/>
              <w:adjustRightInd w:val="0"/>
              <w:snapToGrid w:val="0"/>
              <w:spacing w:line="360" w:lineRule="exact"/>
              <w:ind w:firstLine="220" w:firstLineChars="100"/>
              <w:jc w:val="left"/>
              <w:rPr>
                <w:rFonts w:hint="eastAsia" w:eastAsia="宋体" w:asciiTheme="minorEastAsia" w:hAnsi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联系电话：</w:t>
            </w:r>
            <w:r>
              <w:rPr>
                <w:rFonts w:hint="eastAsia" w:ascii="宋体" w:hAnsi="宋体" w:eastAsia="宋体" w:cs="宋体"/>
                <w:i w:val="0"/>
                <w:iCs w:val="0"/>
                <w:caps w:val="0"/>
                <w:color w:val="auto"/>
                <w:spacing w:val="0"/>
                <w:sz w:val="22"/>
                <w:szCs w:val="22"/>
                <w:highlight w:val="none"/>
                <w:shd w:val="clear" w:fill="FFFFFF"/>
                <w:lang w:eastAsia="zh-CN"/>
              </w:rPr>
              <w:t>0751-5290001</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66" w:hRule="atLeast"/>
        </w:trPr>
        <w:tc>
          <w:tcPr>
            <w:tcW w:w="582" w:type="dxa"/>
            <w:shd w:val="clear" w:color="auto" w:fill="auto"/>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998" w:type="dxa"/>
            <w:shd w:val="clear" w:color="auto" w:fill="auto"/>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406" w:type="dxa"/>
            <w:shd w:val="clear" w:color="auto" w:fill="auto"/>
            <w:vAlign w:val="center"/>
          </w:tcPr>
          <w:p w14:paraId="1EFF326B">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智埔国际建设集团有限公司</w:t>
            </w:r>
          </w:p>
          <w:p w14:paraId="47CE0A07">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w:t>
            </w:r>
            <w:r>
              <w:rPr>
                <w:rFonts w:hint="eastAsia" w:ascii="宋体" w:hAnsi="宋体" w:eastAsia="宋体" w:cs="宋体"/>
                <w:snapToGrid w:val="0"/>
                <w:color w:val="auto"/>
                <w:kern w:val="0"/>
                <w:sz w:val="22"/>
                <w:szCs w:val="22"/>
                <w:highlight w:val="none"/>
                <w:lang w:eastAsia="zh-CN"/>
              </w:rPr>
              <w:t>韶关市武江区西联镇沐溪大道58号明顺实业大楼七楼（办公地址）（</w:t>
            </w:r>
            <w:r>
              <w:rPr>
                <w:rFonts w:hint="eastAsia" w:ascii="宋体" w:hAnsi="宋体" w:eastAsia="宋体" w:cs="宋体"/>
                <w:snapToGrid w:val="0"/>
                <w:color w:val="auto"/>
                <w:kern w:val="0"/>
                <w:sz w:val="22"/>
                <w:szCs w:val="22"/>
                <w:highlight w:val="none"/>
                <w:lang w:val="en-US" w:eastAsia="zh-CN"/>
              </w:rPr>
              <w:t>办公地址</w:t>
            </w:r>
            <w:r>
              <w:rPr>
                <w:rFonts w:hint="eastAsia" w:ascii="宋体" w:hAnsi="宋体" w:eastAsia="宋体" w:cs="宋体"/>
                <w:snapToGrid w:val="0"/>
                <w:color w:val="auto"/>
                <w:kern w:val="0"/>
                <w:sz w:val="22"/>
                <w:szCs w:val="22"/>
                <w:highlight w:val="none"/>
                <w:lang w:eastAsia="zh-CN"/>
              </w:rPr>
              <w:t>）</w:t>
            </w:r>
          </w:p>
          <w:p w14:paraId="302859BB">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i w:val="0"/>
                <w:iCs w:val="0"/>
                <w:caps w:val="0"/>
                <w:color w:val="auto"/>
                <w:spacing w:val="0"/>
                <w:sz w:val="22"/>
                <w:szCs w:val="22"/>
                <w:highlight w:val="none"/>
                <w:shd w:val="clear" w:fill="FFFFFF"/>
              </w:rPr>
              <w:t>项目负责人：</w:t>
            </w:r>
            <w:r>
              <w:rPr>
                <w:rFonts w:hint="eastAsia" w:ascii="宋体" w:hAnsi="宋体" w:eastAsia="宋体" w:cs="宋体"/>
                <w:i w:val="0"/>
                <w:iCs w:val="0"/>
                <w:caps w:val="0"/>
                <w:color w:val="auto"/>
                <w:spacing w:val="0"/>
                <w:sz w:val="22"/>
                <w:szCs w:val="22"/>
                <w:highlight w:val="none"/>
                <w:shd w:val="clear" w:fill="FFFFFF"/>
                <w:lang w:val="en-US" w:eastAsia="zh-CN"/>
              </w:rPr>
              <w:t>吴工</w:t>
            </w:r>
          </w:p>
          <w:p w14:paraId="245C4B76">
            <w:pPr>
              <w:pStyle w:val="2"/>
              <w:ind w:firstLine="220" w:firstLineChars="10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w:t>
            </w:r>
            <w:r>
              <w:rPr>
                <w:rFonts w:hint="eastAsia" w:ascii="宋体" w:hAnsi="宋体" w:eastAsia="宋体" w:cs="宋体"/>
                <w:snapToGrid w:val="0"/>
                <w:color w:val="auto"/>
                <w:kern w:val="0"/>
                <w:sz w:val="22"/>
                <w:szCs w:val="22"/>
                <w:highlight w:val="none"/>
                <w:lang w:val="en-US" w:eastAsia="zh-CN"/>
              </w:rPr>
              <w:t>0751-8768123</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644" w:hRule="atLeast"/>
        </w:trPr>
        <w:tc>
          <w:tcPr>
            <w:tcW w:w="582" w:type="dxa"/>
            <w:shd w:val="clear" w:color="auto" w:fill="auto"/>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998" w:type="dxa"/>
            <w:shd w:val="clear" w:color="auto" w:fill="auto"/>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406" w:type="dxa"/>
            <w:shd w:val="clear" w:color="auto" w:fill="auto"/>
            <w:vAlign w:val="center"/>
          </w:tcPr>
          <w:p w14:paraId="1DAA017F">
            <w:pPr>
              <w:pStyle w:val="23"/>
              <w:wordWrap w:val="0"/>
              <w:adjustRightInd w:val="0"/>
              <w:snapToGrid w:val="0"/>
              <w:spacing w:line="360" w:lineRule="auto"/>
              <w:ind w:firstLine="220" w:firstLineChars="100"/>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单位名称：韶关市公共资源交易中心</w:t>
            </w:r>
          </w:p>
          <w:p w14:paraId="300FE3F5">
            <w:pP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办公地址：韶关市公共资源交易中心乳源分中心(韶关市乳源瑶族自治县乳城镇北环中路乳源农旅特色小镇政务服务大厅4号楼3楼(京港澳高速乳源收费站路口旁)</w:t>
            </w:r>
          </w:p>
          <w:p w14:paraId="2A6E9CF9">
            <w:pP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联系人（部门）：工程交易部</w:t>
            </w:r>
          </w:p>
          <w:p w14:paraId="45A34C22">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cs="宋体"/>
                <w:color w:val="auto"/>
                <w:kern w:val="0"/>
                <w:sz w:val="22"/>
                <w:szCs w:val="22"/>
                <w:highlight w:val="none"/>
                <w:lang w:val="en-US" w:eastAsia="zh-CN"/>
              </w:rPr>
              <w:t>联系电话：0751-5378231</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814" w:hRule="atLeast"/>
        </w:trPr>
        <w:tc>
          <w:tcPr>
            <w:tcW w:w="582" w:type="dxa"/>
            <w:shd w:val="clear" w:color="auto" w:fill="auto"/>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998" w:type="dxa"/>
            <w:shd w:val="clear" w:color="auto" w:fill="auto"/>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406" w:type="dxa"/>
            <w:shd w:val="clear" w:color="auto" w:fill="auto"/>
            <w:vAlign w:val="center"/>
          </w:tcPr>
          <w:p w14:paraId="1DE6646C">
            <w:pP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单位名称：乳源瑶族自治县住房和城乡建设管理局</w:t>
            </w:r>
          </w:p>
          <w:p w14:paraId="60FA11E0">
            <w:pP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办公地址：乳源瑶族自治县乳城镇鹰峰东路205号</w:t>
            </w:r>
          </w:p>
          <w:p w14:paraId="450BB173">
            <w:pPr>
              <w:wordWrap w:val="0"/>
              <w:adjustRightInd w:val="0"/>
              <w:snapToGrid w:val="0"/>
              <w:spacing w:line="360" w:lineRule="exact"/>
              <w:ind w:firstLine="250" w:firstLineChars="114"/>
              <w:jc w:val="left"/>
              <w:rPr>
                <w:rFonts w:hint="eastAsia" w:ascii="宋体" w:hAnsi="宋体" w:cs="宋体"/>
                <w:color w:val="auto"/>
                <w:kern w:val="0"/>
                <w:sz w:val="22"/>
                <w:szCs w:val="22"/>
                <w:highlight w:val="none"/>
                <w:lang w:val="en-US" w:eastAsia="zh-CN"/>
              </w:rPr>
            </w:pPr>
            <w:r>
              <w:rPr>
                <w:rFonts w:hint="eastAsia" w:ascii="宋体" w:hAnsi="宋体" w:cs="宋体"/>
                <w:color w:val="auto"/>
                <w:kern w:val="0"/>
                <w:sz w:val="22"/>
                <w:szCs w:val="22"/>
                <w:highlight w:val="none"/>
                <w:lang w:val="en-US" w:eastAsia="zh-CN"/>
              </w:rPr>
              <w:t>联系人（部门）：建管股</w:t>
            </w:r>
          </w:p>
          <w:p w14:paraId="09E9418F">
            <w:pPr>
              <w:wordWrap w:val="0"/>
              <w:adjustRightInd w:val="0"/>
              <w:snapToGrid w:val="0"/>
              <w:spacing w:line="360" w:lineRule="exact"/>
              <w:ind w:firstLine="250"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cs="宋体"/>
                <w:color w:val="auto"/>
                <w:kern w:val="0"/>
                <w:sz w:val="22"/>
                <w:szCs w:val="22"/>
                <w:highlight w:val="none"/>
                <w:lang w:val="en-US" w:eastAsia="zh-CN"/>
              </w:rPr>
              <w:t>联系电话：0751-5360992</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16"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0"/>
        <w:gridCol w:w="1406"/>
        <w:gridCol w:w="7931"/>
      </w:tblGrid>
      <w:tr w14:paraId="1FCC57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15154A6">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FC0689B">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招标公告</w:t>
            </w:r>
          </w:p>
          <w:p w14:paraId="6CF9F9BC">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1A14D70">
            <w:pPr>
              <w:pStyle w:val="23"/>
              <w:widowControl/>
              <w:snapToGrid w:val="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7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22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20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分</w:t>
            </w:r>
            <w:r>
              <w:rPr>
                <w:rFonts w:hint="eastAsia" w:ascii="宋体" w:hAnsi="宋体" w:cs="宋体"/>
                <w:color w:val="auto"/>
                <w:kern w:val="0"/>
                <w:sz w:val="22"/>
                <w:szCs w:val="22"/>
                <w:highlight w:val="none"/>
                <w:lang w:val="en-US" w:eastAsia="zh-CN"/>
              </w:rPr>
              <w:t xml:space="preserve"> </w:t>
            </w:r>
          </w:p>
        </w:tc>
      </w:tr>
      <w:tr w14:paraId="19E577F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A45AD0F">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51929FC">
            <w:pPr>
              <w:pStyle w:val="23"/>
              <w:wordWrap w:val="0"/>
              <w:adjustRightInd w:val="0"/>
              <w:snapToGrid w:val="0"/>
              <w:spacing w:line="360" w:lineRule="exact"/>
              <w:jc w:val="center"/>
              <w:rPr>
                <w:rFonts w:hint="default" w:ascii="宋体" w:hAnsi="宋体" w:eastAsia="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获取招标文件</w:t>
            </w:r>
          </w:p>
          <w:p w14:paraId="13B17BC0">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6576377">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19308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6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D32DC5D">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F3A7CB">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网上提问</w:t>
            </w:r>
          </w:p>
          <w:p w14:paraId="2BE90DC1">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516B27F">
            <w:pPr>
              <w:pStyle w:val="23"/>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3 </w:t>
            </w:r>
            <w:r>
              <w:rPr>
                <w:rFonts w:hint="eastAsia" w:ascii="宋体" w:hAnsi="宋体" w:cs="宋体"/>
                <w:color w:val="auto"/>
                <w:kern w:val="0"/>
                <w:sz w:val="22"/>
                <w:szCs w:val="22"/>
                <w:highlight w:val="none"/>
              </w:rPr>
              <w:t>日</w:t>
            </w:r>
            <w:bookmarkStart w:id="277" w:name="_GoBack"/>
            <w:bookmarkEnd w:id="277"/>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rPr>
              <w:t>分</w:t>
            </w:r>
          </w:p>
        </w:tc>
      </w:tr>
      <w:tr w14:paraId="01F57E3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9"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98C0766">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4139913">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网上答疑</w:t>
            </w:r>
          </w:p>
          <w:p w14:paraId="70A9C70E">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EFA0E5">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30 </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6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16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00</w:t>
            </w:r>
            <w:r>
              <w:rPr>
                <w:rFonts w:hint="eastAsia" w:ascii="宋体" w:hAnsi="宋体" w:cs="宋体"/>
                <w:color w:val="auto"/>
                <w:kern w:val="0"/>
                <w:sz w:val="22"/>
                <w:szCs w:val="22"/>
                <w:highlight w:val="none"/>
              </w:rPr>
              <w:t>分</w:t>
            </w:r>
          </w:p>
        </w:tc>
      </w:tr>
      <w:tr w14:paraId="1F4DA0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050AA6F">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0B31F86">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投标保证缴</w:t>
            </w:r>
          </w:p>
          <w:p w14:paraId="249647CA">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0544092">
            <w:pPr>
              <w:pStyle w:val="23"/>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投标保证金到账截止时间：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p w14:paraId="534D20EF">
            <w:pPr>
              <w:pStyle w:val="23"/>
              <w:widowControl/>
              <w:snapToGrid w:val="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投标保证担保上传截止时间：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p w14:paraId="086C2F12">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rPr>
              <w:t>投标保证保险投保截止时间：</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12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5CEC71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13E411F">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7DAD104">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电子投标</w:t>
            </w:r>
          </w:p>
          <w:p w14:paraId="3E473E72">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EF7FFA6">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255B6A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CC6312E">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ED64A0B">
            <w:pPr>
              <w:pStyle w:val="23"/>
              <w:wordWrap w:val="0"/>
              <w:adjustRightInd w:val="0"/>
              <w:snapToGrid w:val="0"/>
              <w:spacing w:line="360" w:lineRule="exact"/>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投标评审原件（如有）</w:t>
            </w:r>
          </w:p>
          <w:p w14:paraId="7F77CCDF">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2F71BF2">
            <w:pPr>
              <w:pStyle w:val="23"/>
              <w:widowControl/>
              <w:snapToGrid w:val="0"/>
              <w:jc w:val="left"/>
              <w:rPr>
                <w:rFonts w:hint="eastAsia" w:ascii="宋体" w:hAnsi="宋体" w:cs="宋体"/>
                <w:snapToGrid w:val="0"/>
                <w:color w:val="auto"/>
                <w:kern w:val="0"/>
                <w:sz w:val="22"/>
                <w:szCs w:val="22"/>
                <w:highlight w:val="none"/>
              </w:rPr>
            </w:pP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09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30</w:t>
            </w:r>
            <w:r>
              <w:rPr>
                <w:rFonts w:hint="eastAsia" w:ascii="宋体" w:hAnsi="宋体" w:cs="宋体"/>
                <w:color w:val="auto"/>
                <w:kern w:val="0"/>
                <w:sz w:val="22"/>
                <w:szCs w:val="22"/>
                <w:highlight w:val="none"/>
              </w:rPr>
              <w:t>分至</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7281FC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9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EB5C072">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9E24EC4">
            <w:pPr>
              <w:pStyle w:val="23"/>
              <w:wordWrap w:val="0"/>
              <w:adjustRightInd w:val="0"/>
              <w:snapToGrid w:val="0"/>
              <w:spacing w:line="360" w:lineRule="exact"/>
              <w:jc w:val="center"/>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投标评审原件（如有）</w:t>
            </w:r>
          </w:p>
          <w:p w14:paraId="3261A94D">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0440CFE">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递交场所：韶关市公共资源交易中心乳源分中心</w:t>
            </w:r>
          </w:p>
          <w:p w14:paraId="5517A81A">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地址：韶关市公共资源交易中心乳源分中心(韶关市乳源瑶族自治县乳城镇北环中路乳源农旅特色小镇政务服务大厅4号楼3楼(京港澳高速乳源收费站路口旁)</w:t>
            </w:r>
          </w:p>
          <w:p w14:paraId="54D0F656">
            <w:pPr>
              <w:pStyle w:val="23"/>
              <w:wordWrap w:val="0"/>
              <w:adjustRightInd w:val="0"/>
              <w:snapToGrid w:val="0"/>
              <w:spacing w:line="40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cs="宋体"/>
                <w:snapToGrid w:val="0"/>
                <w:color w:val="auto"/>
                <w:kern w:val="0"/>
                <w:sz w:val="22"/>
                <w:szCs w:val="22"/>
                <w:highlight w:val="none"/>
                <w:lang w:eastAsia="zh-CN"/>
              </w:rPr>
              <w:t>。</w:t>
            </w:r>
          </w:p>
        </w:tc>
      </w:tr>
      <w:tr w14:paraId="6DA9E2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7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6908499">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42877DA">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A9DFEE6">
            <w:pPr>
              <w:pStyle w:val="23"/>
              <w:wordWrap w:val="0"/>
              <w:adjustRightInd w:val="0"/>
              <w:snapToGrid w:val="0"/>
              <w:spacing w:line="400" w:lineRule="exact"/>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 </w:t>
            </w:r>
            <w:r>
              <w:rPr>
                <w:rFonts w:hint="eastAsia" w:ascii="宋体" w:hAnsi="宋体" w:cs="宋体"/>
                <w:color w:val="auto"/>
                <w:kern w:val="0"/>
                <w:sz w:val="22"/>
                <w:szCs w:val="22"/>
                <w:highlight w:val="none"/>
                <w:u w:val="single"/>
              </w:rPr>
              <w:t>202</w:t>
            </w:r>
            <w:r>
              <w:rPr>
                <w:rFonts w:hint="eastAsia" w:ascii="宋体" w:hAnsi="宋体" w:cs="宋体"/>
                <w:color w:val="auto"/>
                <w:kern w:val="0"/>
                <w:sz w:val="22"/>
                <w:szCs w:val="22"/>
                <w:highlight w:val="none"/>
                <w:u w:val="single"/>
                <w:lang w:val="en-US" w:eastAsia="zh-CN"/>
              </w:rPr>
              <w:t>6</w:t>
            </w:r>
            <w:r>
              <w:rPr>
                <w:rFonts w:hint="eastAsia" w:ascii="宋体" w:hAnsi="宋体" w:cs="宋体"/>
                <w:color w:val="auto"/>
                <w:kern w:val="0"/>
                <w:sz w:val="22"/>
                <w:szCs w:val="22"/>
                <w:highlight w:val="none"/>
              </w:rPr>
              <w:t>年</w:t>
            </w:r>
            <w:r>
              <w:rPr>
                <w:rFonts w:hint="eastAsia" w:ascii="宋体" w:hAnsi="宋体" w:cs="宋体"/>
                <w:color w:val="auto"/>
                <w:kern w:val="0"/>
                <w:sz w:val="22"/>
                <w:szCs w:val="22"/>
                <w:highlight w:val="none"/>
                <w:u w:val="single"/>
                <w:lang w:val="en-US" w:eastAsia="zh-CN"/>
              </w:rPr>
              <w:t xml:space="preserve"> 8 </w:t>
            </w:r>
            <w:r>
              <w:rPr>
                <w:rFonts w:hint="eastAsia" w:ascii="宋体" w:hAnsi="宋体" w:cs="宋体"/>
                <w:color w:val="auto"/>
                <w:kern w:val="0"/>
                <w:sz w:val="22"/>
                <w:szCs w:val="22"/>
                <w:highlight w:val="none"/>
              </w:rPr>
              <w:t>月</w:t>
            </w:r>
            <w:r>
              <w:rPr>
                <w:rFonts w:hint="eastAsia" w:ascii="宋体" w:hAnsi="宋体" w:cs="宋体"/>
                <w:color w:val="auto"/>
                <w:kern w:val="0"/>
                <w:sz w:val="22"/>
                <w:szCs w:val="22"/>
                <w:highlight w:val="none"/>
                <w:u w:val="single"/>
                <w:lang w:val="en-US" w:eastAsia="zh-CN"/>
              </w:rPr>
              <w:t xml:space="preserve"> 13 </w:t>
            </w:r>
            <w:r>
              <w:rPr>
                <w:rFonts w:hint="eastAsia" w:ascii="宋体" w:hAnsi="宋体" w:cs="宋体"/>
                <w:color w:val="auto"/>
                <w:kern w:val="0"/>
                <w:sz w:val="22"/>
                <w:szCs w:val="22"/>
                <w:highlight w:val="none"/>
              </w:rPr>
              <w:t>日</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 xml:space="preserve">10 </w:t>
            </w:r>
            <w:r>
              <w:rPr>
                <w:rFonts w:hint="eastAsia" w:ascii="宋体" w:hAnsi="宋体" w:cs="宋体"/>
                <w:color w:val="auto"/>
                <w:kern w:val="0"/>
                <w:sz w:val="22"/>
                <w:szCs w:val="22"/>
                <w:highlight w:val="none"/>
              </w:rPr>
              <w:t>时</w:t>
            </w:r>
            <w:r>
              <w:rPr>
                <w:rFonts w:hint="eastAsia" w:ascii="宋体" w:hAnsi="宋体" w:cs="宋体"/>
                <w:color w:val="auto"/>
                <w:kern w:val="0"/>
                <w:sz w:val="22"/>
                <w:szCs w:val="22"/>
                <w:highlight w:val="none"/>
                <w:u w:val="single"/>
              </w:rPr>
              <w:t xml:space="preserve"> </w:t>
            </w:r>
            <w:r>
              <w:rPr>
                <w:rFonts w:hint="eastAsia" w:ascii="宋体" w:hAnsi="宋体" w:cs="宋体"/>
                <w:color w:val="auto"/>
                <w:kern w:val="0"/>
                <w:sz w:val="22"/>
                <w:szCs w:val="22"/>
                <w:highlight w:val="none"/>
                <w:u w:val="single"/>
                <w:lang w:val="en-US" w:eastAsia="zh-CN"/>
              </w:rPr>
              <w:t>00</w:t>
            </w:r>
            <w:r>
              <w:rPr>
                <w:rFonts w:hint="eastAsia" w:ascii="宋体" w:hAnsi="宋体" w:cs="宋体"/>
                <w:color w:val="auto"/>
                <w:kern w:val="0"/>
                <w:sz w:val="22"/>
                <w:szCs w:val="22"/>
                <w:highlight w:val="none"/>
              </w:rPr>
              <w:t>分</w:t>
            </w:r>
          </w:p>
        </w:tc>
      </w:tr>
      <w:tr w14:paraId="600A21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3530CF7">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7D61018">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9583206">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lang w:val="en-US" w:eastAsia="zh-CN"/>
              </w:rPr>
            </w:pPr>
            <w:r>
              <w:rPr>
                <w:rFonts w:hint="eastAsia" w:ascii="宋体" w:hAnsi="宋体" w:cs="宋体"/>
                <w:snapToGrid w:val="0"/>
                <w:color w:val="auto"/>
                <w:kern w:val="0"/>
                <w:sz w:val="22"/>
                <w:szCs w:val="22"/>
                <w:highlight w:val="none"/>
                <w:lang w:val="en-US" w:eastAsia="zh-CN"/>
              </w:rPr>
              <w:t>开标场所：韶关市公共资源交易中心乳源分中心</w:t>
            </w:r>
          </w:p>
          <w:p w14:paraId="03D1D3BA">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地址：韶关市乳源瑶族自治县乳城镇北环中路乳源农旅特色小镇政务服务大厅4号楼3楼(京港澳高速乳源收费站路口旁)，具体房间号以当日现场通知为准</w:t>
            </w:r>
          </w:p>
        </w:tc>
      </w:tr>
      <w:tr w14:paraId="4FC692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3"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2F0B7FAB">
            <w:pPr>
              <w:pStyle w:val="23"/>
              <w:wordWrap w:val="0"/>
              <w:adjustRightInd w:val="0"/>
              <w:snapToGrid w:val="0"/>
              <w:spacing w:line="360" w:lineRule="exact"/>
              <w:jc w:val="center"/>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344A197">
            <w:pPr>
              <w:pStyle w:val="23"/>
              <w:wordWrap w:val="0"/>
              <w:adjustRightInd w:val="0"/>
              <w:snapToGrid w:val="0"/>
              <w:spacing w:line="400" w:lineRule="exact"/>
              <w:ind w:firstLine="220" w:firstLineChars="100"/>
              <w:jc w:val="left"/>
              <w:rPr>
                <w:rFonts w:hint="eastAsia" w:ascii="宋体" w:hAnsi="宋体" w:cs="宋体"/>
                <w:snapToGrid w:val="0"/>
                <w:color w:val="auto"/>
                <w:kern w:val="0"/>
                <w:sz w:val="22"/>
                <w:szCs w:val="22"/>
                <w:highlight w:val="none"/>
              </w:rPr>
            </w:pPr>
            <w:r>
              <w:rPr>
                <w:rFonts w:hint="eastAsia" w:ascii="宋体" w:hAnsi="宋体" w:cs="宋体"/>
                <w:snapToGrid w:val="0"/>
                <w:color w:val="auto"/>
                <w:kern w:val="0"/>
                <w:sz w:val="22"/>
                <w:szCs w:val="22"/>
                <w:highlight w:val="none"/>
              </w:rPr>
              <w:t>自行下载招标文件、资料文件及招标答疑书等。若由于投标人自身原因未能及时取得上述资料的，由此发生的任何责任由投标人自负。</w:t>
            </w:r>
          </w:p>
        </w:tc>
      </w:tr>
    </w:tbl>
    <w:p w14:paraId="05CEB252">
      <w:pPr>
        <w:tabs>
          <w:tab w:val="left" w:pos="8820"/>
        </w:tabs>
        <w:rPr>
          <w:rFonts w:hint="eastAsia" w:ascii="宋体" w:hAnsi="宋体" w:eastAsia="宋体" w:cs="宋体"/>
          <w:b w:val="0"/>
          <w:bCs w:val="0"/>
          <w:color w:val="auto"/>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一六镇城乡融合乡村振兴车间及镇区基础设施提升工程</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乳源瑶族自治县发展和改革局以《关于一六镇城乡融合乡村振兴车间及镇区基础设施提升工程项目可行性研究报告的批复》、《</w:t>
      </w:r>
      <w:r>
        <w:rPr>
          <w:rFonts w:hint="eastAsia" w:ascii="宋体" w:hAnsi="宋体" w:eastAsia="宋体" w:cs="宋体"/>
          <w:snapToGrid w:val="0"/>
          <w:color w:val="auto"/>
          <w:kern w:val="0"/>
          <w:sz w:val="24"/>
          <w:szCs w:val="32"/>
          <w:highlight w:val="none"/>
          <w:u w:val="single"/>
          <w:lang w:val="en-US" w:eastAsia="zh-CN"/>
        </w:rPr>
        <w:t>关于一六镇城乡融合乡村振兴车间及镇区基础设施提升工程项目变更的批复</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u w:val="single"/>
          <w:lang w:val="en-US" w:eastAsia="zh-CN"/>
        </w:rPr>
        <w:t>乳发改投审[2025]50号、乳发改投审[2025]110号</w:t>
      </w:r>
      <w:r>
        <w:rPr>
          <w:rFonts w:hint="eastAsia" w:ascii="宋体" w:hAnsi="宋体" w:eastAsia="宋体" w:cs="宋体"/>
          <w:snapToGrid w:val="0"/>
          <w:color w:val="auto"/>
          <w:kern w:val="0"/>
          <w:sz w:val="24"/>
          <w:szCs w:val="32"/>
          <w:highlight w:val="none"/>
          <w:u w:val="single"/>
          <w:lang w:eastAsia="zh-CN"/>
        </w:rPr>
        <w:t>）</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2506-440232-20-01-447782</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乳源瑶族自治县一六镇人民政府</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省级财政资金</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乳源瑶族自治县一六镇人民政府</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智埔国际建设集团有限公司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w:t>
      </w:r>
      <w:r>
        <w:rPr>
          <w:rFonts w:hint="eastAsia" w:ascii="宋体" w:hAnsi="宋体" w:eastAsia="宋体" w:cs="宋体"/>
          <w:snapToGrid w:val="0"/>
          <w:color w:val="auto"/>
          <w:kern w:val="0"/>
          <w:sz w:val="24"/>
          <w:szCs w:val="24"/>
          <w:highlight w:val="none"/>
          <w:u w:val="single"/>
          <w:lang w:val="en-US" w:eastAsia="zh-CN"/>
        </w:rPr>
        <w:t>一六镇城乡融合乡村振兴车间及镇区基础设施提升工程—圆岭墩乡村振兴车间建设工程施工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59"/>
      <w:bookmarkEnd w:id="8"/>
      <w:bookmarkStart w:id="9" w:name="bookmark52"/>
      <w:bookmarkEnd w:id="9"/>
      <w:bookmarkStart w:id="10" w:name="bookmark73"/>
      <w:bookmarkEnd w:id="10"/>
      <w:bookmarkStart w:id="11" w:name="_Toc19017"/>
      <w:bookmarkStart w:id="12" w:name="_Toc1599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乳源瑶族自治县一六镇一六村委圆岭墩（迁移村）附近。</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建设一栋四层的乡村振兴车间及配套室外工程，配套室外工程包含道路工程、交通工程、室外配套给排水等，总建筑面积 5921.60㎡，其中地上建筑物面积5609.41㎡，地下建筑物面积312.19㎡。</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1"/>
          <w:rFonts w:hint="eastAsia" w:ascii="宋体" w:hAnsi="宋体" w:eastAsia="宋体" w:cs="宋体"/>
          <w:color w:val="auto"/>
          <w:kern w:val="0"/>
          <w:sz w:val="24"/>
          <w:szCs w:val="24"/>
          <w:highlight w:val="none"/>
        </w:rPr>
        <w:t>：</w:t>
      </w:r>
      <w:r>
        <w:rPr>
          <w:rStyle w:val="21"/>
          <w:rFonts w:hint="eastAsia" w:ascii="宋体" w:hAnsi="宋体" w:eastAsia="宋体" w:cs="宋体"/>
          <w:color w:val="auto"/>
          <w:kern w:val="0"/>
          <w:sz w:val="24"/>
          <w:szCs w:val="24"/>
          <w:highlight w:val="none"/>
          <w:u w:val="single"/>
          <w:lang w:val="en-US" w:eastAsia="zh-CN"/>
        </w:rPr>
        <w:t>项目总投资为2538.33万元，其中建安费用2059.38万元。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lang w:eastAsia="zh-CN"/>
        </w:rPr>
        <w:t>按审查合格的施工图纸及工程量清单内容施工。</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8202"/>
      <w:bookmarkStart w:id="14" w:name="_Toc14190"/>
      <w:bookmarkStart w:id="15" w:name="_Toc24593"/>
      <w:bookmarkStart w:id="16" w:name="_Toc20855"/>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2.1</w:t>
      </w:r>
      <w:r>
        <w:rPr>
          <w:rStyle w:val="21"/>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1"/>
          <w:rFonts w:hint="eastAsia" w:ascii="宋体" w:hAnsi="宋体" w:eastAsia="宋体" w:cs="宋体"/>
          <w:b w:val="0"/>
          <w:bCs w:val="0"/>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 </w:t>
      </w:r>
      <w:r>
        <w:rPr>
          <w:rStyle w:val="21"/>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具有建设行政主管部门颁发的建筑工程施工总承包三级以上（含三级）以上资质。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建筑工程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建筑工程</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3"/>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3"/>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p w14:paraId="3814204B">
      <w:pPr>
        <w:spacing w:line="93" w:lineRule="auto"/>
        <w:rPr>
          <w:rFonts w:hint="eastAsia" w:ascii="宋体" w:hAnsi="宋体" w:eastAsia="宋体" w:cs="宋体"/>
          <w:color w:val="auto"/>
          <w:sz w:val="2"/>
          <w:highlight w:val="none"/>
        </w:rPr>
      </w:pPr>
    </w:p>
    <w:p w14:paraId="39F06E94">
      <w:pPr>
        <w:spacing w:line="93" w:lineRule="auto"/>
        <w:rPr>
          <w:rFonts w:hint="eastAsia" w:ascii="宋体" w:hAnsi="宋体" w:eastAsia="宋体" w:cs="宋体"/>
          <w:color w:val="auto"/>
          <w:sz w:val="2"/>
          <w:highlight w:val="none"/>
        </w:rPr>
      </w:pPr>
    </w:p>
    <w:tbl>
      <w:tblPr>
        <w:tblStyle w:val="14"/>
        <w:tblW w:w="7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840"/>
        <w:gridCol w:w="3629"/>
      </w:tblGrid>
      <w:tr w14:paraId="13F6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49" w:type="dxa"/>
            <w:vAlign w:val="center"/>
          </w:tcPr>
          <w:p w14:paraId="50EF8474">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2840" w:type="dxa"/>
            <w:vAlign w:val="center"/>
          </w:tcPr>
          <w:p w14:paraId="3DEBCEC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629" w:type="dxa"/>
            <w:vAlign w:val="center"/>
          </w:tcPr>
          <w:p w14:paraId="547558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7E56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849" w:type="dxa"/>
            <w:vAlign w:val="center"/>
          </w:tcPr>
          <w:p w14:paraId="373D6C09">
            <w:pPr>
              <w:widowControl w:val="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w:t>
            </w:r>
          </w:p>
        </w:tc>
        <w:tc>
          <w:tcPr>
            <w:tcW w:w="2840" w:type="dxa"/>
            <w:vAlign w:val="center"/>
          </w:tcPr>
          <w:p w14:paraId="5C8A48C5">
            <w:pPr>
              <w:widowControl w:val="0"/>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乳源瑶族自治县一六镇人民政府</w:t>
            </w:r>
          </w:p>
        </w:tc>
        <w:tc>
          <w:tcPr>
            <w:tcW w:w="3629" w:type="dxa"/>
            <w:vAlign w:val="center"/>
          </w:tcPr>
          <w:p w14:paraId="5864B7A1">
            <w:pPr>
              <w:widowControl w:val="0"/>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为本招标项目的招标人</w:t>
            </w:r>
          </w:p>
        </w:tc>
      </w:tr>
      <w:tr w14:paraId="6CD2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vAlign w:val="center"/>
          </w:tcPr>
          <w:p w14:paraId="21C254DA">
            <w:pPr>
              <w:widowControl w:val="0"/>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w:t>
            </w:r>
          </w:p>
        </w:tc>
        <w:tc>
          <w:tcPr>
            <w:tcW w:w="2840" w:type="dxa"/>
            <w:vAlign w:val="center"/>
          </w:tcPr>
          <w:p w14:paraId="18DF1A27">
            <w:pPr>
              <w:widowControl w:val="0"/>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智埔国际建设集团有限公司</w:t>
            </w:r>
          </w:p>
        </w:tc>
        <w:tc>
          <w:tcPr>
            <w:tcW w:w="3629" w:type="dxa"/>
            <w:vAlign w:val="center"/>
          </w:tcPr>
          <w:p w14:paraId="5121C95E">
            <w:pPr>
              <w:widowControl w:val="0"/>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为本招标项目的招标代理机构</w:t>
            </w:r>
          </w:p>
        </w:tc>
      </w:tr>
      <w:tr w14:paraId="56E6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vAlign w:val="center"/>
          </w:tcPr>
          <w:p w14:paraId="6AC2BB2D">
            <w:pPr>
              <w:widowControl w:val="0"/>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w:t>
            </w:r>
          </w:p>
        </w:tc>
        <w:tc>
          <w:tcPr>
            <w:tcW w:w="2840" w:type="dxa"/>
            <w:vAlign w:val="center"/>
          </w:tcPr>
          <w:p w14:paraId="21BA6912">
            <w:pPr>
              <w:widowControl w:val="0"/>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铭扬工程设计集团有限公司</w:t>
            </w:r>
          </w:p>
        </w:tc>
        <w:tc>
          <w:tcPr>
            <w:tcW w:w="3629" w:type="dxa"/>
            <w:vAlign w:val="center"/>
          </w:tcPr>
          <w:p w14:paraId="1A061402">
            <w:pPr>
              <w:widowControl w:val="0"/>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为本招标项目的设计单位</w:t>
            </w:r>
          </w:p>
        </w:tc>
      </w:tr>
      <w:tr w14:paraId="12043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6587750C">
            <w:pPr>
              <w:pStyle w:val="23"/>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4</w:t>
            </w:r>
          </w:p>
        </w:tc>
        <w:tc>
          <w:tcPr>
            <w:tcW w:w="2840" w:type="dxa"/>
            <w:vAlign w:val="center"/>
          </w:tcPr>
          <w:p w14:paraId="69F8681B">
            <w:pPr>
              <w:widowControl w:val="0"/>
              <w:wordWrap w:val="0"/>
              <w:adjustRightInd w:val="0"/>
              <w:snapToGrid w:val="0"/>
              <w:spacing w:line="34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广州三合工程咨询有限公司</w:t>
            </w:r>
          </w:p>
        </w:tc>
        <w:tc>
          <w:tcPr>
            <w:tcW w:w="3629" w:type="dxa"/>
            <w:vAlign w:val="center"/>
          </w:tcPr>
          <w:p w14:paraId="1A9CF04E">
            <w:pPr>
              <w:widowControl w:val="0"/>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为本招标项目的施工图审查单位</w:t>
            </w:r>
          </w:p>
        </w:tc>
      </w:tr>
      <w:tr w14:paraId="2A88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849" w:type="dxa"/>
            <w:shd w:val="clear" w:color="auto" w:fill="auto"/>
            <w:vAlign w:val="center"/>
          </w:tcPr>
          <w:p w14:paraId="0843396D">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5</w:t>
            </w:r>
          </w:p>
        </w:tc>
        <w:tc>
          <w:tcPr>
            <w:tcW w:w="2840" w:type="dxa"/>
            <w:vAlign w:val="center"/>
          </w:tcPr>
          <w:p w14:paraId="2C6B1923">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中诺宏盛设计集团有限公司</w:t>
            </w:r>
          </w:p>
        </w:tc>
        <w:tc>
          <w:tcPr>
            <w:tcW w:w="3629" w:type="dxa"/>
            <w:vAlign w:val="center"/>
          </w:tcPr>
          <w:p w14:paraId="01720CCB">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为本招标项目的全过程造价咨询单位</w:t>
            </w:r>
          </w:p>
        </w:tc>
      </w:tr>
      <w:tr w14:paraId="28A3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849" w:type="dxa"/>
            <w:shd w:val="clear" w:color="auto" w:fill="auto"/>
            <w:vAlign w:val="center"/>
          </w:tcPr>
          <w:p w14:paraId="1426FF2D">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6</w:t>
            </w:r>
          </w:p>
        </w:tc>
        <w:tc>
          <w:tcPr>
            <w:tcW w:w="2840" w:type="dxa"/>
            <w:vAlign w:val="center"/>
          </w:tcPr>
          <w:p w14:paraId="39C68697">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江西核工业工程地质勘察院有限公司</w:t>
            </w:r>
          </w:p>
        </w:tc>
        <w:tc>
          <w:tcPr>
            <w:tcW w:w="3629" w:type="dxa"/>
            <w:vAlign w:val="center"/>
          </w:tcPr>
          <w:p w14:paraId="7E7654D5">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本项目工程勘察单位</w:t>
            </w:r>
          </w:p>
        </w:tc>
      </w:tr>
      <w:tr w14:paraId="6946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49" w:type="dxa"/>
            <w:vAlign w:val="center"/>
          </w:tcPr>
          <w:p w14:paraId="39300F59">
            <w:pPr>
              <w:pStyle w:val="23"/>
              <w:wordWrap w:val="0"/>
              <w:adjustRightInd w:val="0"/>
              <w:snapToGrid w:val="0"/>
              <w:spacing w:line="340" w:lineRule="exact"/>
              <w:jc w:val="center"/>
              <w:rPr>
                <w:rFonts w:hint="default"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rPr>
              <w:t>7</w:t>
            </w:r>
          </w:p>
        </w:tc>
        <w:tc>
          <w:tcPr>
            <w:tcW w:w="2840" w:type="dxa"/>
            <w:vAlign w:val="center"/>
          </w:tcPr>
          <w:p w14:paraId="59434F12">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世纪工程项目管理有限公司</w:t>
            </w:r>
            <w:r>
              <w:rPr>
                <w:rFonts w:hint="eastAsia" w:ascii="宋体" w:hAnsi="宋体" w:eastAsia="宋体" w:cs="宋体"/>
                <w:snapToGrid/>
                <w:color w:val="auto"/>
                <w:kern w:val="2"/>
                <w:sz w:val="21"/>
                <w:szCs w:val="21"/>
                <w:highlight w:val="none"/>
                <w:lang w:val="en-US" w:eastAsia="zh-CN" w:bidi="ar-SA"/>
              </w:rPr>
              <w:tab/>
            </w:r>
          </w:p>
        </w:tc>
        <w:tc>
          <w:tcPr>
            <w:tcW w:w="3629" w:type="dxa"/>
            <w:vAlign w:val="center"/>
          </w:tcPr>
          <w:p w14:paraId="080FE5C9">
            <w:pPr>
              <w:keepNext w:val="0"/>
              <w:keepLines w:val="0"/>
              <w:pageBreakBefore w:val="0"/>
              <w:widowControl w:val="0"/>
              <w:kinsoku/>
              <w:wordWrap w:val="0"/>
              <w:overflowPunct/>
              <w:topLinePunct w:val="0"/>
              <w:autoSpaceDE/>
              <w:autoSpaceDN/>
              <w:bidi w:val="0"/>
              <w:adjustRightInd w:val="0"/>
              <w:snapToGrid w:val="0"/>
              <w:spacing w:line="340" w:lineRule="exact"/>
              <w:ind w:firstLine="0" w:firstLineChars="0"/>
              <w:jc w:val="center"/>
              <w:textAlignment w:val="auto"/>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为本项目可行性研究报告单位</w:t>
            </w:r>
          </w:p>
        </w:tc>
      </w:tr>
    </w:tbl>
    <w:p w14:paraId="4042758D">
      <w:pPr>
        <w:spacing w:before="153" w:line="221" w:lineRule="auto"/>
        <w:rPr>
          <w:rFonts w:hint="eastAsia" w:ascii="宋体" w:hAnsi="宋体" w:eastAsia="宋体" w:cs="宋体"/>
          <w:b/>
          <w:bCs/>
          <w:color w:val="auto"/>
          <w:spacing w:val="-1"/>
          <w:sz w:val="24"/>
          <w:szCs w:val="24"/>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20万元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64"/>
      <w:bookmarkEnd w:id="22"/>
      <w:bookmarkStart w:id="23" w:name="bookmark78"/>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390个日历天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11449"/>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u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w:t>
      </w:r>
      <w:r>
        <w:rPr>
          <w:rFonts w:hint="eastAsia" w:ascii="宋体" w:hAnsi="宋体" w:eastAsia="宋体" w:cs="宋体"/>
          <w:color w:val="auto"/>
          <w:sz w:val="24"/>
          <w:szCs w:val="24"/>
          <w:highlight w:val="none"/>
          <w:u w:val="none"/>
        </w:rPr>
        <w:t>工程</w:t>
      </w:r>
      <w:r>
        <w:rPr>
          <w:rFonts w:hint="eastAsia" w:ascii="宋体" w:hAnsi="宋体" w:eastAsia="宋体" w:cs="宋体"/>
          <w:color w:val="auto"/>
          <w:spacing w:val="-1"/>
          <w:sz w:val="24"/>
          <w:szCs w:val="24"/>
          <w:highlight w:val="none"/>
          <w:u w:val="none"/>
        </w:rPr>
        <w:t>质量标准须</w:t>
      </w:r>
      <w:r>
        <w:rPr>
          <w:rFonts w:hint="eastAsia" w:ascii="宋体" w:hAnsi="宋体" w:eastAsia="宋体" w:cs="宋体"/>
          <w:color w:val="auto"/>
          <w:spacing w:val="-1"/>
          <w:sz w:val="24"/>
          <w:szCs w:val="24"/>
          <w:highlight w:val="none"/>
          <w:u w:val="single"/>
          <w:lang w:val="en-US" w:eastAsia="zh-CN"/>
        </w:rPr>
        <w:t>符合现行国家有关工程施工质量验收规范和标准的要求</w:t>
      </w:r>
      <w:r>
        <w:rPr>
          <w:rFonts w:hint="eastAsia" w:ascii="宋体" w:hAnsi="宋体" w:eastAsia="宋体" w:cs="宋体"/>
          <w:color w:val="auto"/>
          <w:spacing w:val="-1"/>
          <w:sz w:val="24"/>
          <w:szCs w:val="24"/>
          <w:highlight w:val="none"/>
          <w:u w:val="none"/>
          <w:lang w:val="en-US" w:eastAsia="zh-CN"/>
        </w:rPr>
        <w:t>且达到</w:t>
      </w:r>
      <w:r>
        <w:rPr>
          <w:rFonts w:hint="eastAsia" w:ascii="宋体" w:hAnsi="宋体" w:eastAsia="宋体" w:cs="宋体"/>
          <w:color w:val="auto"/>
          <w:spacing w:val="-1"/>
          <w:sz w:val="24"/>
          <w:szCs w:val="24"/>
          <w:highlight w:val="none"/>
          <w:u w:val="single"/>
          <w:lang w:val="en-US" w:eastAsia="zh-CN"/>
        </w:rPr>
        <w:t>合格</w:t>
      </w:r>
      <w:r>
        <w:rPr>
          <w:rFonts w:hint="eastAsia" w:ascii="宋体" w:hAnsi="宋体" w:eastAsia="宋体" w:cs="宋体"/>
          <w:color w:val="auto"/>
          <w:spacing w:val="-1"/>
          <w:sz w:val="24"/>
          <w:szCs w:val="24"/>
          <w:highlight w:val="none"/>
          <w:u w:val="none"/>
          <w:lang w:val="en-US" w:eastAsia="zh-CN"/>
        </w:rPr>
        <w:t>标准</w:t>
      </w:r>
      <w:r>
        <w:rPr>
          <w:rFonts w:hint="eastAsia" w:ascii="宋体" w:hAnsi="宋体" w:eastAsia="宋体" w:cs="宋体"/>
          <w:color w:val="auto"/>
          <w:spacing w:val="-1"/>
          <w:sz w:val="24"/>
          <w:szCs w:val="24"/>
          <w:highlight w:val="none"/>
          <w:u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lang w:eastAsia="zh-CN"/>
        </w:rPr>
        <w:t>本招标项目不纳入绿色建设实施范围。</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21146"/>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24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240"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240"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62AE4415">
      <w:pP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6.4</w:t>
      </w:r>
      <w:r>
        <w:rPr>
          <w:rFonts w:hint="eastAsia" w:ascii="宋体" w:hAnsi="宋体" w:eastAsia="宋体" w:cs="宋体"/>
          <w:b w:val="0"/>
          <w:bCs w:val="0"/>
          <w:color w:val="auto"/>
          <w:spacing w:val="-2"/>
          <w:sz w:val="24"/>
          <w:szCs w:val="24"/>
          <w:highlight w:val="none"/>
          <w:lang w:val="en-US" w:eastAsia="zh-CN"/>
        </w:rPr>
        <w:t xml:space="preserve"> 施工用水、用电各提供一驳接点到现场边缘。要求中标人单独安装水表、电表，其水、电费按项目所在地基建工程水、电计费标准计算并由中标人缴纳。 </w:t>
      </w:r>
    </w:p>
    <w:p w14:paraId="48BF9A50">
      <w:pP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6.5</w:t>
      </w:r>
      <w:r>
        <w:rPr>
          <w:rFonts w:hint="eastAsia" w:ascii="宋体" w:hAnsi="宋体" w:eastAsia="宋体" w:cs="宋体"/>
          <w:b w:val="0"/>
          <w:bCs w:val="0"/>
          <w:color w:val="auto"/>
          <w:spacing w:val="-2"/>
          <w:sz w:val="24"/>
          <w:szCs w:val="24"/>
          <w:highlight w:val="none"/>
          <w:lang w:val="en-US" w:eastAsia="zh-CN"/>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 </w:t>
      </w:r>
    </w:p>
    <w:p w14:paraId="2FF7D91D">
      <w:pP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6.6</w:t>
      </w:r>
      <w:r>
        <w:rPr>
          <w:rFonts w:hint="eastAsia" w:ascii="宋体" w:hAnsi="宋体" w:eastAsia="宋体" w:cs="宋体"/>
          <w:b w:val="0"/>
          <w:bCs w:val="0"/>
          <w:color w:val="auto"/>
          <w:spacing w:val="-2"/>
          <w:sz w:val="24"/>
          <w:szCs w:val="24"/>
          <w:highlight w:val="none"/>
          <w:lang w:val="en-US" w:eastAsia="zh-CN"/>
        </w:rPr>
        <w:t xml:space="preserve"> 在现场踏勘过程中，投标人应确保自身安全，投标人如果发生人身伤亡、财物或其他损失，法律法规有规定的按有关规定处理，没有规定的由投标人自行负责。 </w:t>
      </w:r>
    </w:p>
    <w:p w14:paraId="501C0A08">
      <w:pPr>
        <w:spacing w:before="153" w:line="240" w:lineRule="auto"/>
        <w:ind w:left="568"/>
        <w:rPr>
          <w:rFonts w:hint="eastAsia" w:ascii="宋体" w:hAnsi="宋体" w:eastAsia="宋体" w:cs="宋体"/>
          <w:b w:val="0"/>
          <w:bCs w:val="0"/>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 xml:space="preserve">6.7 </w:t>
      </w:r>
      <w:r>
        <w:rPr>
          <w:rFonts w:hint="eastAsia" w:ascii="宋体" w:hAnsi="宋体" w:eastAsia="宋体" w:cs="宋体"/>
          <w:b w:val="0"/>
          <w:bCs w:val="0"/>
          <w:color w:val="auto"/>
          <w:spacing w:val="-2"/>
          <w:sz w:val="24"/>
          <w:szCs w:val="24"/>
          <w:highlight w:val="none"/>
          <w:lang w:val="en-US" w:eastAsia="zh-CN"/>
        </w:rPr>
        <w:t>现场踏勘期间的交通、食宿由投标人自行安排，费用自理。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81"/>
      <w:bookmarkEnd w:id="31"/>
      <w:bookmarkStart w:id="32" w:name="bookmark69"/>
      <w:bookmarkEnd w:id="32"/>
      <w:bookmarkStart w:id="33" w:name="bookmark67"/>
      <w:bookmarkEnd w:id="33"/>
      <w:bookmarkStart w:id="34" w:name="_Toc15543"/>
      <w:bookmarkStart w:id="35" w:name="_Toc24768"/>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20958"/>
      <w:bookmarkStart w:id="37" w:name="_Toc689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本工程最高投标限价在投标截止时间前7天以补充公告的形式在广东省招标投标监管网（http://zbtb.gd.gov.cn）、全国公共资源交易平台 （广东省 · 韶关市）（https://ygp.gdzwfw.gov.cn/ggzy-portal/#/440200/index）网站公布，各投标人可在上述网站上自行下载。</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暂估价指在工程量清单中提供的、用于支付设计图纸要求必需使用但招标时‌价格尚未确定‌的材料（不含增值税）的预估价格</w:t>
      </w:r>
      <w:r>
        <w:rPr>
          <w:rFonts w:hint="eastAsia" w:ascii="宋体" w:hAnsi="宋体" w:eastAsia="宋体" w:cs="宋体"/>
          <w:color w:val="auto"/>
          <w:sz w:val="24"/>
          <w:szCs w:val="24"/>
          <w:highlight w:val="none"/>
          <w:lang w:val="en-US" w:eastAsia="zh-CN"/>
        </w:rPr>
        <w:t>以及在</w:t>
      </w:r>
      <w:r>
        <w:rPr>
          <w:rFonts w:hint="eastAsia" w:ascii="宋体" w:hAnsi="宋体" w:eastAsia="宋体" w:cs="宋体"/>
          <w:color w:val="auto"/>
          <w:sz w:val="24"/>
          <w:szCs w:val="24"/>
          <w:highlight w:val="none"/>
          <w:lang w:eastAsia="zh-CN"/>
        </w:rPr>
        <w:t>招标时设计未明确、规格不确定但必然发生的‌专业分包工程‌（如消防、智能化、幕墙等）所预估的‌含税总价</w:t>
      </w:r>
      <w:r>
        <w:rPr>
          <w:rFonts w:hint="eastAsia" w:ascii="宋体" w:hAnsi="宋体" w:eastAsia="宋体" w:cs="宋体"/>
          <w:color w:val="auto"/>
          <w:spacing w:val="-1"/>
          <w:sz w:val="24"/>
          <w:szCs w:val="24"/>
          <w:highlight w:val="none"/>
        </w:rPr>
        <w:t>‌；暂列金额指招标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092D0327">
      <w:pPr>
        <w:spacing w:before="36" w:line="278" w:lineRule="auto"/>
        <w:ind w:left="10" w:right="200" w:firstLine="480"/>
        <w:rPr>
          <w:rFonts w:hint="eastAsia" w:ascii="宋体" w:hAnsi="宋体" w:eastAsia="宋体" w:cs="宋体"/>
          <w:color w:val="auto"/>
          <w:sz w:val="24"/>
          <w:szCs w:val="24"/>
          <w:highlight w:val="none"/>
          <w:u w:val="singl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本招标项目以暂估价形式列入招标工程量清单中的材料暂估价及专业工程暂估价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pacing w:val="-2"/>
          <w:sz w:val="24"/>
          <w:szCs w:val="24"/>
          <w:highlight w:val="none"/>
          <w:lang w:val="en-US" w:eastAsia="zh-CN"/>
        </w:rPr>
        <w:t>招标人</w:t>
      </w:r>
      <w:r>
        <w:rPr>
          <w:rFonts w:hint="eastAsia" w:ascii="宋体" w:hAnsi="宋体" w:eastAsia="宋体" w:cs="宋体"/>
          <w:color w:val="auto"/>
          <w:sz w:val="24"/>
          <w:szCs w:val="24"/>
          <w:highlight w:val="none"/>
          <w:u w:val="single"/>
        </w:rPr>
        <w:t>在工程量清单中提供的、用于支付设计图纸要求必需使用但招标时‌价格尚未确定‌的材料（不含增值税）的预估价格</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在</w:t>
      </w:r>
      <w:r>
        <w:rPr>
          <w:rFonts w:hint="eastAsia" w:ascii="宋体" w:hAnsi="宋体" w:eastAsia="宋体" w:cs="宋体"/>
          <w:color w:val="auto"/>
          <w:sz w:val="24"/>
          <w:szCs w:val="24"/>
          <w:highlight w:val="none"/>
          <w:u w:val="single"/>
          <w:lang w:eastAsia="zh-CN"/>
        </w:rPr>
        <w:t>招标时设计未明确、规格不确定但必然发生的‌专业分包工程‌（如消防、智能化、幕墙等）所预估的‌含税总价</w:t>
      </w:r>
      <w:r>
        <w:rPr>
          <w:rFonts w:hint="eastAsia" w:ascii="宋体" w:hAnsi="宋体" w:eastAsia="宋体" w:cs="宋体"/>
          <w:color w:val="auto"/>
          <w:sz w:val="24"/>
          <w:szCs w:val="24"/>
          <w:highlight w:val="none"/>
          <w:u w:val="single"/>
        </w:rPr>
        <w:t>。</w:t>
      </w:r>
    </w:p>
    <w:p w14:paraId="6A226F91">
      <w:pPr>
        <w:spacing w:before="36" w:line="278" w:lineRule="auto"/>
        <w:ind w:left="10" w:right="200" w:firstLine="48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rPr>
        <w:t>材料暂估价投标时必须按招标清单给定的‌不含税暂估单价‌计入综合单价，不得擅自更改</w:t>
      </w:r>
      <w:r>
        <w:rPr>
          <w:rFonts w:hint="eastAsia" w:ascii="宋体" w:hAnsi="宋体" w:eastAsia="宋体" w:cs="宋体"/>
          <w:color w:val="auto"/>
          <w:sz w:val="24"/>
          <w:szCs w:val="24"/>
          <w:highlight w:val="none"/>
          <w:u w:val="single"/>
          <w:lang w:eastAsia="zh-CN"/>
        </w:rPr>
        <w:t>；</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专业工程暂估价投标人必须按招标工程量清单中列出金额统一报价，其结算原则按本招标文件相关条款执行。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w:t>
      </w:r>
      <w:r>
        <w:rPr>
          <w:rFonts w:hint="eastAsia" w:ascii="宋体" w:hAnsi="宋体" w:eastAsia="宋体" w:cs="宋体"/>
          <w:color w:val="auto"/>
          <w:spacing w:val="2"/>
          <w:sz w:val="24"/>
          <w:szCs w:val="24"/>
          <w:highlight w:val="none"/>
          <w:lang w:val="en-US" w:eastAsia="zh-CN"/>
        </w:rPr>
        <w:t>工程、货物（指材料暂估价下同）的类别分类汇总的金额，</w:t>
      </w:r>
      <w:r>
        <w:rPr>
          <w:rFonts w:hint="eastAsia" w:ascii="宋体" w:hAnsi="宋体" w:eastAsia="宋体" w:cs="宋体"/>
          <w:color w:val="auto"/>
          <w:spacing w:val="2"/>
          <w:sz w:val="24"/>
          <w:szCs w:val="24"/>
          <w:highlight w:val="none"/>
        </w:rPr>
        <w:t>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Cs/>
          <w:color w:val="auto"/>
          <w:spacing w:val="-1"/>
          <w:sz w:val="24"/>
          <w:szCs w:val="24"/>
          <w:highlight w:val="none"/>
          <w:u w:val="single"/>
        </w:rPr>
        <w:t>中标人招标，招标人参与管理</w:t>
      </w:r>
      <w:r>
        <w:rPr>
          <w:rFonts w:hint="eastAsia" w:ascii="宋体" w:hAnsi="宋体" w:eastAsia="宋体" w:cs="宋体"/>
          <w:bCs/>
          <w:color w:val="auto"/>
          <w:spacing w:val="-1"/>
          <w:sz w:val="24"/>
          <w:szCs w:val="24"/>
          <w:highlight w:val="none"/>
        </w:rPr>
        <w:t>，</w:t>
      </w:r>
      <w:r>
        <w:rPr>
          <w:rFonts w:hint="eastAsia" w:ascii="宋体" w:hAnsi="宋体" w:eastAsia="宋体" w:cs="宋体"/>
          <w:bCs/>
          <w:color w:val="auto"/>
          <w:spacing w:val="-1"/>
          <w:sz w:val="24"/>
          <w:szCs w:val="24"/>
          <w:highlight w:val="none"/>
          <w:lang w:val="en-US" w:eastAsia="zh-CN"/>
        </w:rPr>
        <w:t>确</w:t>
      </w:r>
      <w:r>
        <w:rPr>
          <w:rFonts w:hint="eastAsia" w:ascii="宋体" w:hAnsi="宋体" w:eastAsia="宋体" w:cs="宋体"/>
          <w:color w:val="auto"/>
          <w:spacing w:val="-1"/>
          <w:sz w:val="24"/>
          <w:szCs w:val="24"/>
          <w:highlight w:val="none"/>
          <w:lang w:val="en-US" w:eastAsia="zh-CN"/>
        </w:rPr>
        <w:t>定专业工程承包人（或材料供应商）和合同价格</w:t>
      </w:r>
      <w:r>
        <w:rPr>
          <w:rFonts w:hint="eastAsia" w:ascii="宋体" w:hAnsi="宋体" w:eastAsia="宋体" w:cs="宋体"/>
          <w:color w:val="auto"/>
          <w:spacing w:val="-1"/>
          <w:sz w:val="24"/>
          <w:szCs w:val="24"/>
          <w:highlight w:val="none"/>
        </w:rPr>
        <w:t>。</w:t>
      </w:r>
    </w:p>
    <w:p w14:paraId="5BC4F323">
      <w:pPr>
        <w:spacing w:before="154" w:line="309" w:lineRule="auto"/>
        <w:ind w:left="11" w:right="65" w:firstLine="48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（2）暂估价项目按工程、货物的类别分类汇总的金额，未达到必须招标规模标准但适用政府采购规定的，按照政府采购规定确定专业工程承包人（或材料供应商）和合同价格。</w:t>
      </w:r>
    </w:p>
    <w:p w14:paraId="1420A4A1">
      <w:pPr>
        <w:spacing w:before="154" w:line="309" w:lineRule="auto"/>
        <w:ind w:left="11" w:right="65" w:firstLine="489"/>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3</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14:paraId="6D932638">
      <w:pPr>
        <w:spacing w:before="155" w:line="333" w:lineRule="auto"/>
        <w:ind w:left="10" w:right="65" w:firstLine="478"/>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 xml:space="preserve">（4）暂估价项目按工程、货物的类别分类汇总的金额，未达到必须招标规模标准也不适用政府采购规定，中标人既不具备相应资格条件又不具备分包权的，由招标人另行发包。 </w:t>
      </w:r>
    </w:p>
    <w:p w14:paraId="3CDC8A65">
      <w:pPr>
        <w:spacing w:before="155" w:line="333" w:lineRule="auto"/>
        <w:ind w:left="10" w:right="65" w:firstLine="478"/>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（5）暂估价项目由其他承包人承包的，纳入中标人的管理和协调范围，由其他承包人向中标人承担质量、安全、文明施工、工期责任，中标人向招标人承担责任。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8.</w:t>
      </w:r>
      <w:r>
        <w:rPr>
          <w:rFonts w:hint="eastAsia" w:ascii="宋体" w:hAnsi="宋体" w:eastAsia="宋体" w:cs="宋体"/>
          <w:b/>
          <w:bCs/>
          <w:color w:val="auto"/>
          <w:spacing w:val="-1"/>
          <w:sz w:val="24"/>
          <w:szCs w:val="24"/>
          <w:highlight w:val="none"/>
          <w:lang w:val="en-US" w:eastAsia="zh-CN"/>
        </w:rPr>
        <w:t>3</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6911"/>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w:t>
      </w:r>
      <w:r>
        <w:rPr>
          <w:rFonts w:hint="eastAsia" w:ascii="宋体" w:hAnsi="宋体" w:eastAsia="宋体" w:cs="宋体"/>
          <w:color w:val="auto"/>
          <w:sz w:val="24"/>
          <w:szCs w:val="24"/>
          <w:highlight w:val="none"/>
          <w:lang w:val="en-US" w:eastAsia="zh-CN"/>
        </w:rPr>
        <w:t>专业工程</w:t>
      </w:r>
      <w:r>
        <w:rPr>
          <w:rFonts w:hint="eastAsia" w:ascii="宋体" w:hAnsi="宋体" w:eastAsia="宋体" w:cs="宋体"/>
          <w:color w:val="auto"/>
          <w:sz w:val="24"/>
          <w:szCs w:val="24"/>
          <w:highlight w:val="none"/>
        </w:rPr>
        <w:t>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66C435F">
      <w:pPr>
        <w:pStyle w:val="5"/>
        <w:keepNext w:val="0"/>
        <w:keepLines w:val="0"/>
        <w:pageBreakBefore w:val="0"/>
        <w:widowControl/>
        <w:kinsoku w:val="0"/>
        <w:wordWrap/>
        <w:overflowPunct/>
        <w:topLinePunct w:val="0"/>
        <w:autoSpaceDE w:val="0"/>
        <w:autoSpaceDN w:val="0"/>
        <w:bidi w:val="0"/>
        <w:adjustRightInd w:val="0"/>
        <w:snapToGrid w:val="0"/>
        <w:spacing w:line="300" w:lineRule="auto"/>
        <w:ind w:firstLine="482" w:firstLineChars="200"/>
        <w:textAlignment w:val="baseline"/>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snapToGrid w:val="0"/>
          <w:color w:val="auto"/>
          <w:sz w:val="24"/>
          <w:szCs w:val="24"/>
          <w:highlight w:val="none"/>
          <w:lang w:val="en-US" w:eastAsia="en-US" w:bidi="ar-SA"/>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2937"/>
      <w:bookmarkStart w:id="45"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19D1E9E0">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4223BCAD">
      <w:pPr>
        <w:keepNext w:val="0"/>
        <w:keepLines w:val="0"/>
        <w:pageBreakBefore w:val="0"/>
        <w:widowControl w:val="0"/>
        <w:shd w:val="clear" w:color="auto" w:fill="auto"/>
        <w:tabs>
          <w:tab w:val="left" w:pos="7020"/>
        </w:tabs>
        <w:kinsoku/>
        <w:wordWrap w:val="0"/>
        <w:overflowPunct/>
        <w:topLinePunct w:val="0"/>
        <w:autoSpaceDE/>
        <w:autoSpaceDN/>
        <w:bidi w:val="0"/>
        <w:adjustRightInd w:val="0"/>
        <w:snapToGrid w:val="0"/>
        <w:spacing w:line="414" w:lineRule="exact"/>
        <w:ind w:firstLine="482" w:firstLineChars="200"/>
        <w:jc w:val="both"/>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a．</w:t>
      </w:r>
      <w:r>
        <w:rPr>
          <w:rFonts w:hint="eastAsia" w:ascii="宋体" w:hAnsi="宋体" w:eastAsia="宋体" w:cs="宋体"/>
          <w:snapToGrid w:val="0"/>
          <w:color w:val="auto"/>
          <w:kern w:val="0"/>
          <w:sz w:val="24"/>
          <w:szCs w:val="24"/>
          <w:highlight w:val="none"/>
          <w:lang w:eastAsia="zh-CN"/>
        </w:rPr>
        <w:t>《投标总价扉页》后应附编制人的造价工程师注册证书彩色扫描 件（须扫描至变更注册栏，一级造价师或二级造价师均可提供电子证书）；投标人委托造价咨询单位编制《投标总价》的，在该扉页“投标人 ”栏目加盖造价咨询人公章，并在该扉页后附造价咨询人的营业执照彩色扫描件。</w:t>
      </w:r>
    </w:p>
    <w:p w14:paraId="722B1CB1">
      <w:pPr>
        <w:keepNext w:val="0"/>
        <w:keepLines w:val="0"/>
        <w:pageBreakBefore w:val="0"/>
        <w:widowControl w:val="0"/>
        <w:shd w:val="clear" w:color="auto" w:fill="auto"/>
        <w:tabs>
          <w:tab w:val="left" w:pos="7020"/>
        </w:tabs>
        <w:kinsoku/>
        <w:wordWrap w:val="0"/>
        <w:overflowPunct/>
        <w:topLinePunct w:val="0"/>
        <w:autoSpaceDE/>
        <w:autoSpaceDN/>
        <w:bidi w:val="0"/>
        <w:adjustRightInd w:val="0"/>
        <w:snapToGrid w:val="0"/>
        <w:spacing w:line="414" w:lineRule="exact"/>
        <w:ind w:firstLine="482" w:firstLineChars="200"/>
        <w:jc w:val="both"/>
        <w:textAlignment w:val="auto"/>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lang w:eastAsia="zh-CN"/>
        </w:rPr>
        <w:t>投标人认为有必要补充的其他资料（例如关于投标总价下浮率超过 15%的书面说明和佐证材料）。</w:t>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4"/>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bookmarkStart w:id="55" w:name="_Toc21936"/>
      <w:bookmarkStart w:id="56" w:name="_Toc10599"/>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（3）定标因素评审资料（格式十七）</w:t>
      </w:r>
    </w:p>
    <w:p w14:paraId="62050842">
      <w:pPr>
        <w:pStyle w:val="8"/>
        <w:ind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w:t>
      </w:r>
      <w:r>
        <w:rPr>
          <w:rFonts w:hint="eastAsia" w:hAnsi="宋体" w:eastAsia="宋体" w:cs="宋体"/>
          <w:snapToGrid w:val="0"/>
          <w:color w:val="auto"/>
          <w:kern w:val="0"/>
          <w:sz w:val="24"/>
          <w:szCs w:val="24"/>
          <w:highlight w:val="none"/>
          <w:lang w:val="en-US" w:eastAsia="zh-CN" w:bidi="ar-SA"/>
        </w:rPr>
        <w:t>至第（3）项</w:t>
      </w:r>
      <w:r>
        <w:rPr>
          <w:rFonts w:hint="eastAsia" w:ascii="宋体" w:hAnsi="宋体" w:eastAsia="宋体" w:cs="宋体"/>
          <w:snapToGrid w:val="0"/>
          <w:color w:val="auto"/>
          <w:kern w:val="0"/>
          <w:sz w:val="24"/>
          <w:szCs w:val="24"/>
          <w:highlight w:val="none"/>
          <w:lang w:val="en-US" w:eastAsia="zh-CN" w:bidi="ar-SA"/>
        </w:rPr>
        <w:t>所有投标人均应提供。</w:t>
      </w:r>
    </w:p>
    <w:p w14:paraId="02DC3960">
      <w:pPr>
        <w:spacing w:before="78" w:line="221" w:lineRule="auto"/>
        <w:ind w:left="496"/>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8314"/>
      <w:bookmarkStart w:id="66" w:name="_Toc15587"/>
      <w:bookmarkStart w:id="67" w:name="_Toc10685"/>
      <w:bookmarkStart w:id="68" w:name="_Toc10291"/>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16292"/>
      <w:bookmarkStart w:id="70" w:name="_Toc2011"/>
      <w:bookmarkStart w:id="71" w:name="_Toc30853"/>
      <w:bookmarkStart w:id="72" w:name="_Toc20238"/>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31716"/>
      <w:bookmarkStart w:id="74" w:name="_Toc26494"/>
      <w:bookmarkStart w:id="75" w:name="_Toc1974"/>
      <w:bookmarkStart w:id="76" w:name="_Toc17462"/>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8179"/>
      <w:bookmarkStart w:id="78" w:name="_Toc27967"/>
      <w:bookmarkStart w:id="79" w:name="_Toc15860"/>
      <w:bookmarkStart w:id="80"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199"/>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554"/>
      <w:bookmarkStart w:id="86"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w:t>
      </w:r>
      <w:r>
        <w:rPr>
          <w:rFonts w:hint="eastAsia" w:ascii="宋体" w:hAnsi="宋体" w:eastAsia="宋体" w:cs="宋体"/>
          <w:color w:val="auto"/>
          <w:sz w:val="24"/>
          <w:szCs w:val="24"/>
          <w:highlight w:val="none"/>
          <w:lang w:eastAsia="zh-CN"/>
        </w:rPr>
        <w:t>其中招标人代表</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eastAsia="zh-CN"/>
        </w:rPr>
        <w:t>人，专家</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lang w:eastAsia="zh-CN"/>
        </w:rPr>
        <w:t>人</w:t>
      </w:r>
      <w:r>
        <w:rPr>
          <w:rFonts w:hint="eastAsia" w:ascii="宋体" w:hAnsi="宋体" w:eastAsia="宋体" w:cs="宋体"/>
          <w:color w:val="auto"/>
          <w:sz w:val="24"/>
          <w:szCs w:val="24"/>
          <w:highlight w:val="none"/>
        </w:rPr>
        <w:t>。专家从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4CE798F0">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fill="auto"/>
        <w:kinsoku/>
        <w:wordWrap/>
        <w:overflowPunct/>
        <w:topLinePunct w:val="0"/>
        <w:bidi w:val="0"/>
        <w:adjustRightInd/>
        <w:snapToGrid/>
        <w:spacing w:line="340" w:lineRule="exact"/>
        <w:ind w:left="0" w:leftChars="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15C81B7D">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1642B4B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163002D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w:t>
      </w:r>
      <w:r>
        <w:rPr>
          <w:rFonts w:hint="eastAsia" w:ascii="宋体" w:hAnsi="宋体" w:eastAsia="宋体" w:cs="宋体"/>
          <w:b/>
          <w:bCs/>
          <w:color w:val="auto"/>
          <w:spacing w:val="-4"/>
          <w:sz w:val="24"/>
          <w:szCs w:val="24"/>
          <w:highlight w:val="none"/>
          <w:u w:val="single"/>
          <w:lang w:val="en-US" w:eastAsia="zh-CN"/>
        </w:rPr>
        <w:t>估</w:t>
      </w:r>
      <w:r>
        <w:rPr>
          <w:rFonts w:hint="eastAsia" w:ascii="宋体" w:hAnsi="宋体" w:eastAsia="宋体" w:cs="宋体"/>
          <w:b/>
          <w:bCs/>
          <w:color w:val="auto"/>
          <w:spacing w:val="-4"/>
          <w:sz w:val="24"/>
          <w:szCs w:val="24"/>
          <w:highlight w:val="none"/>
          <w:u w:val="single"/>
          <w:lang w:eastAsia="zh-CN"/>
        </w:rPr>
        <w:t>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如果“禁止投标条款”包括严重失信主体名单的，投标人信用信息的获取采用现场实时查询的方式实施。由招标代理机构工作人员在交易场所工作人员见证下，登录信用中国网站（https://www.creditchina.gov.cn），在企业查询界面下载和打印《法人和非法人组织公共信用信息报告》，作为评审依据移交评标委员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20481"/>
      <w:bookmarkStart w:id="92" w:name="_Toc23632"/>
      <w:bookmarkStart w:id="93" w:name="_Toc13304"/>
      <w:bookmarkStart w:id="94" w:name="_Toc491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28409"/>
      <w:bookmarkStart w:id="96" w:name="_Toc10806"/>
      <w:bookmarkStart w:id="97" w:name="_Toc27432"/>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22562"/>
      <w:bookmarkStart w:id="100" w:name="_Toc14202"/>
      <w:bookmarkStart w:id="101" w:name="_Toc16645"/>
      <w:bookmarkStart w:id="102" w:name="_Toc2264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w:t>
      </w:r>
      <w:r>
        <w:rPr>
          <w:rFonts w:hint="eastAsia" w:ascii="宋体" w:hAnsi="宋体" w:eastAsia="宋体" w:cs="宋体"/>
          <w:color w:val="auto"/>
          <w:spacing w:val="-1"/>
          <w:sz w:val="24"/>
          <w:szCs w:val="24"/>
          <w:highlight w:val="none"/>
          <w:lang w:val="en-US" w:eastAsia="zh-CN"/>
        </w:rPr>
        <w:t>专业工程</w:t>
      </w:r>
      <w:r>
        <w:rPr>
          <w:rFonts w:hint="eastAsia" w:ascii="宋体" w:hAnsi="宋体" w:eastAsia="宋体" w:cs="宋体"/>
          <w:color w:val="auto"/>
          <w:spacing w:val="-1"/>
          <w:sz w:val="24"/>
          <w:szCs w:val="24"/>
          <w:highlight w:val="none"/>
        </w:rPr>
        <w:t>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8204"/>
      <w:bookmarkStart w:id="105" w:name="_Toc19814"/>
      <w:bookmarkStart w:id="106" w:name="_Toc15367"/>
      <w:bookmarkStart w:id="107" w:name="_Toc3211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0288"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10503"/>
      <w:bookmarkStart w:id="110" w:name="_Toc4119"/>
      <w:bookmarkStart w:id="111" w:name="_Toc14991"/>
      <w:bookmarkStart w:id="112" w:name="_Toc28572"/>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7510"/>
      <w:bookmarkStart w:id="114" w:name="_Toc22949"/>
      <w:bookmarkStart w:id="115" w:name="_Toc10398"/>
      <w:bookmarkStart w:id="116" w:name="_Toc1802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3958"/>
      <w:bookmarkStart w:id="118" w:name="_Toc14059"/>
      <w:bookmarkStart w:id="119" w:name="_Toc27609"/>
      <w:bookmarkStart w:id="120" w:name="_Toc16136"/>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4990"/>
      <w:bookmarkStart w:id="122" w:name="_Toc7915"/>
      <w:bookmarkStart w:id="123" w:name="_Toc576"/>
      <w:bookmarkStart w:id="124" w:name="_Toc3861"/>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25214"/>
      <w:bookmarkStart w:id="126" w:name="_Toc30671"/>
      <w:bookmarkStart w:id="127" w:name="_Toc2885"/>
      <w:bookmarkStart w:id="128" w:name="_Toc3238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69F380A8">
      <w:pPr>
        <w:rPr>
          <w:rFonts w:hint="eastAsia" w:ascii="宋体" w:hAnsi="宋体" w:eastAsia="宋体" w:cs="宋体"/>
          <w:b/>
          <w:bCs/>
          <w:color w:val="auto"/>
          <w:spacing w:val="-6"/>
          <w:sz w:val="30"/>
          <w:szCs w:val="30"/>
          <w:highlight w:val="none"/>
        </w:rPr>
      </w:pPr>
      <w:bookmarkStart w:id="129" w:name="_Toc16801"/>
      <w:bookmarkStart w:id="130" w:name="_Toc3020"/>
      <w:bookmarkStart w:id="131" w:name="_Toc17375"/>
    </w:p>
    <w:p w14:paraId="1B558A12">
      <w:pPr>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br w:type="page"/>
      </w:r>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9603" w:type="dxa"/>
        <w:jc w:val="center"/>
        <w:tblLayout w:type="fixed"/>
        <w:tblCellMar>
          <w:top w:w="0" w:type="dxa"/>
          <w:left w:w="108" w:type="dxa"/>
          <w:bottom w:w="0" w:type="dxa"/>
          <w:right w:w="108" w:type="dxa"/>
        </w:tblCellMar>
      </w:tblPr>
      <w:tblGrid>
        <w:gridCol w:w="1226"/>
        <w:gridCol w:w="413"/>
        <w:gridCol w:w="3634"/>
        <w:gridCol w:w="4330"/>
      </w:tblGrid>
      <w:tr w14:paraId="676F0660">
        <w:tblPrEx>
          <w:tblCellMar>
            <w:top w:w="0" w:type="dxa"/>
            <w:left w:w="108" w:type="dxa"/>
            <w:bottom w:w="0" w:type="dxa"/>
            <w:right w:w="108" w:type="dxa"/>
          </w:tblCellMar>
        </w:tblPrEx>
        <w:trPr>
          <w:trHeight w:val="628"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081CD9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bookmarkStart w:id="132" w:name="_Toc31744"/>
            <w:bookmarkStart w:id="133" w:name="_Toc9725"/>
            <w:bookmarkStart w:id="134" w:name="_Toc17436"/>
            <w:bookmarkStart w:id="135" w:name="_Toc5769"/>
            <w:r>
              <w:rPr>
                <w:rFonts w:hint="eastAsia" w:ascii="宋体" w:hAnsi="宋体" w:eastAsia="宋体" w:cs="宋体"/>
                <w:color w:val="auto"/>
                <w:spacing w:val="0"/>
                <w:sz w:val="24"/>
                <w:szCs w:val="24"/>
                <w:highlight w:val="none"/>
                <w:lang w:val="en-US" w:eastAsia="zh-CN"/>
              </w:rPr>
              <w:t>商务部分，满分：  80  分。</w:t>
            </w:r>
          </w:p>
        </w:tc>
      </w:tr>
      <w:tr w14:paraId="4F4A6260">
        <w:tblPrEx>
          <w:tblCellMar>
            <w:top w:w="0" w:type="dxa"/>
            <w:left w:w="108" w:type="dxa"/>
            <w:bottom w:w="0" w:type="dxa"/>
            <w:right w:w="108" w:type="dxa"/>
          </w:tblCellMar>
        </w:tblPrEx>
        <w:trPr>
          <w:trHeight w:val="782" w:hRule="exac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BD790E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评分因素</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3D08610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评分标准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364530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备注</w:t>
            </w:r>
          </w:p>
        </w:tc>
      </w:tr>
      <w:tr w14:paraId="58957E87">
        <w:tblPrEx>
          <w:tblCellMar>
            <w:top w:w="0" w:type="dxa"/>
            <w:left w:w="108" w:type="dxa"/>
            <w:bottom w:w="0" w:type="dxa"/>
            <w:right w:w="108" w:type="dxa"/>
          </w:tblCellMar>
        </w:tblPrEx>
        <w:trPr>
          <w:trHeight w:val="6646"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71A96C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企业奖项</w:t>
            </w:r>
          </w:p>
          <w:p w14:paraId="1DFF810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02040B0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企业近 5 年来（2021年1月1日至今）获得市政公用工程类或房屋建筑工程类奖项情况：</w:t>
            </w:r>
          </w:p>
          <w:p w14:paraId="54E7B97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1．获得国家级奖项的，每个得 10 分。</w:t>
            </w:r>
          </w:p>
          <w:p w14:paraId="349AB0E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2．获得省级奖项的，每个得 6 分。</w:t>
            </w:r>
          </w:p>
          <w:p w14:paraId="0A37323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3．获得地市级奖项的，每个得 3 分。</w:t>
            </w:r>
          </w:p>
          <w:p w14:paraId="7879636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4．以上奖项均未获得的，不予计分。</w:t>
            </w:r>
          </w:p>
          <w:p w14:paraId="616A19F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5．本项最高得15分。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61F1668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1．允许投标人提交多个业绩，但同一业绩只按最高级别奖项计分一次。</w:t>
            </w:r>
          </w:p>
          <w:p w14:paraId="78F2123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2．需附有关奖项证明彩色扫描件。（奖项如电子证书的除外）。</w:t>
            </w:r>
          </w:p>
          <w:p w14:paraId="3971C66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3．颁发机构限定以下范围：</w:t>
            </w:r>
          </w:p>
          <w:p w14:paraId="31C66AD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①国家级奖项：国务院、住建部、国家建筑行业协会；</w:t>
            </w:r>
          </w:p>
          <w:p w14:paraId="2A06EDA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②省级奖项：省级人民政府、省级住建部门、省建筑行业协会、省建筑安全协会；</w:t>
            </w:r>
          </w:p>
          <w:p w14:paraId="5D41CC5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③地市级奖项：地市级人民政府、地市级住建部门、地市级建筑行业协会。</w:t>
            </w:r>
          </w:p>
          <w:p w14:paraId="3FCAA87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4．获奖时间以奖项证明的落款日期为准。</w:t>
            </w:r>
          </w:p>
          <w:p w14:paraId="0F8EF9B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5．任一奖项有以下情形之一的，该奖项视为无效，不予计分：</w:t>
            </w:r>
          </w:p>
          <w:p w14:paraId="4F06B3B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①奖项不属于指定类别的；</w:t>
            </w:r>
          </w:p>
          <w:p w14:paraId="3AF28E4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②颁发机构不符合要求的；</w:t>
            </w:r>
          </w:p>
          <w:p w14:paraId="1711414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③获奖时间不符合要求的。</w:t>
            </w:r>
          </w:p>
          <w:p w14:paraId="2133209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说明：以上所称“要求”均指本表评分标准及备注的要求，下同。</w:t>
            </w:r>
          </w:p>
        </w:tc>
      </w:tr>
      <w:tr w14:paraId="03B2E9B2">
        <w:tblPrEx>
          <w:tblCellMar>
            <w:top w:w="0" w:type="dxa"/>
            <w:left w:w="108" w:type="dxa"/>
            <w:bottom w:w="0" w:type="dxa"/>
            <w:right w:w="108" w:type="dxa"/>
          </w:tblCellMar>
        </w:tblPrEx>
        <w:trPr>
          <w:trHeight w:val="2915"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377769F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项目经理</w:t>
            </w:r>
          </w:p>
          <w:p w14:paraId="4321855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综合素质</w:t>
            </w:r>
          </w:p>
          <w:p w14:paraId="3CC0DEA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2F50C68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项目经理工程类技术职称情况： </w:t>
            </w:r>
          </w:p>
          <w:p w14:paraId="2A1E454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1.具备工程师或以上职称的，得15 分。</w:t>
            </w:r>
          </w:p>
          <w:p w14:paraId="51F6F58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2.具备助理工程师的，得 10分。</w:t>
            </w:r>
          </w:p>
          <w:p w14:paraId="700AAB9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3.不具备以上职称的，不予计分。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456528F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需附职称证彩色扫描件（职称证为电子证书的除外）。</w:t>
            </w:r>
          </w:p>
        </w:tc>
      </w:tr>
      <w:tr w14:paraId="3BB26B4A">
        <w:tblPrEx>
          <w:tblCellMar>
            <w:top w:w="0" w:type="dxa"/>
            <w:left w:w="108" w:type="dxa"/>
            <w:bottom w:w="0" w:type="dxa"/>
            <w:right w:w="108" w:type="dxa"/>
          </w:tblCellMar>
        </w:tblPrEx>
        <w:trPr>
          <w:trHeight w:val="4484"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22C2535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企业业绩</w:t>
            </w:r>
          </w:p>
          <w:p w14:paraId="01C0A8B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45227C9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企业近 5 年来（2021年1月1日至今）业绩情况：</w:t>
            </w:r>
          </w:p>
          <w:p w14:paraId="435F7B4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1．承接 过类似工程的，每个得 10分。</w:t>
            </w:r>
          </w:p>
          <w:p w14:paraId="2E03D27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2．未承接 过类似工程的，不予计分。</w:t>
            </w:r>
          </w:p>
          <w:p w14:paraId="37FBE5E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3．本项最高得20分。 </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2650C5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1．类似工程指：合同金额≥1500万元的市政公用工程或房屋建筑工程。</w:t>
            </w:r>
          </w:p>
          <w:p w14:paraId="3E2252B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2．需附有关业绩（仅限于以施工总承包单位身份参建的项目）合同协议书复印件（或打印件）。</w:t>
            </w:r>
          </w:p>
          <w:p w14:paraId="727F152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3．业绩时间以合同协议书日期为准。</w:t>
            </w:r>
          </w:p>
          <w:p w14:paraId="26D6728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4．任一业绩有以下情形之一的，该业绩视为无效，不予计分：</w:t>
            </w:r>
          </w:p>
          <w:p w14:paraId="60F261F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①业绩不属于类似工程的；</w:t>
            </w:r>
          </w:p>
          <w:p w14:paraId="197B5D3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②不是以指定身份参建的；</w:t>
            </w:r>
          </w:p>
          <w:p w14:paraId="1E79188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③业绩时间不符合要求的。</w:t>
            </w:r>
          </w:p>
        </w:tc>
      </w:tr>
      <w:tr w14:paraId="71036176">
        <w:tblPrEx>
          <w:tblCellMar>
            <w:top w:w="0" w:type="dxa"/>
            <w:left w:w="108" w:type="dxa"/>
            <w:bottom w:w="0" w:type="dxa"/>
            <w:right w:w="108" w:type="dxa"/>
          </w:tblCellMar>
        </w:tblPrEx>
        <w:trPr>
          <w:trHeight w:val="2366"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F5CF03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企业管理</w:t>
            </w:r>
          </w:p>
          <w:p w14:paraId="34BB745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体系认证</w:t>
            </w:r>
          </w:p>
          <w:p w14:paraId="25C4BB1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E0C7C9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1．质量管理体系认证、职业健康安全管理体系认证、环境管理体系认证中，每获得1项得5分，满分15分。</w:t>
            </w:r>
          </w:p>
          <w:p w14:paraId="2A13E99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2．未获得以上认证的，不予计分。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0620FD4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1．需附在有效期内的认证证书彩色扫描件。</w:t>
            </w:r>
          </w:p>
          <w:p w14:paraId="1D14C0C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2．认证证书不在有效期内的，该认证证书视为无效，不予计分：</w:t>
            </w:r>
          </w:p>
        </w:tc>
      </w:tr>
      <w:tr w14:paraId="3A456C2B">
        <w:tblPrEx>
          <w:tblCellMar>
            <w:top w:w="0" w:type="dxa"/>
            <w:left w:w="108" w:type="dxa"/>
            <w:bottom w:w="0" w:type="dxa"/>
            <w:right w:w="108" w:type="dxa"/>
          </w:tblCellMar>
        </w:tblPrEx>
        <w:trPr>
          <w:trHeight w:val="3519"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444B57C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企业财务状况</w:t>
            </w:r>
          </w:p>
          <w:p w14:paraId="2D52D35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0BD9914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1．提供不少于115万元银行授信证明的，得 5 分。</w:t>
            </w:r>
          </w:p>
          <w:p w14:paraId="25A30D8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2.提供投标人基本账户在本项目招标公告发布之日起至投标截止时间期间出现过至少连续3日不少于115万元存款余额资金流水证明的，得5分。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A5465E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1．需附在有效期内的有关证明复印件（或打印件）。</w:t>
            </w:r>
          </w:p>
          <w:p w14:paraId="256D892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2．银行授信证明有以下情形之一的，视为无效，不予计分：</w:t>
            </w:r>
          </w:p>
          <w:p w14:paraId="0AE99EB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①授信证明不在有效期内的；</w:t>
            </w:r>
          </w:p>
          <w:p w14:paraId="5126DA1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②授信额度不符合要求的；</w:t>
            </w:r>
          </w:p>
          <w:p w14:paraId="4120C52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3．存款余额资金流水证明有以下情形之一的，视为无效，不予计分：</w:t>
            </w:r>
          </w:p>
          <w:p w14:paraId="4B02708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①存款账户不是基本账户的；</w:t>
            </w:r>
          </w:p>
          <w:p w14:paraId="077C512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②存款时间不符合要求的；</w:t>
            </w:r>
          </w:p>
          <w:p w14:paraId="3B479E9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③存款额度不符合要求的。</w:t>
            </w:r>
          </w:p>
        </w:tc>
      </w:tr>
      <w:tr w14:paraId="79D1D71A">
        <w:tblPrEx>
          <w:tblCellMar>
            <w:top w:w="0" w:type="dxa"/>
            <w:left w:w="108" w:type="dxa"/>
            <w:bottom w:w="0" w:type="dxa"/>
            <w:right w:w="108" w:type="dxa"/>
          </w:tblCellMar>
        </w:tblPrEx>
        <w:trPr>
          <w:trHeight w:val="2928" w:hRule="atLeast"/>
          <w:jc w:val="center"/>
        </w:trPr>
        <w:tc>
          <w:tcPr>
            <w:tcW w:w="122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F3D9F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企业纳税（5分）</w:t>
            </w:r>
          </w:p>
        </w:tc>
        <w:tc>
          <w:tcPr>
            <w:tcW w:w="4047"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65D9DD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企业2021年度至今获得过纳税信用 A 级纳税人的，得5分</w:t>
            </w:r>
          </w:p>
        </w:tc>
        <w:tc>
          <w:tcPr>
            <w:tcW w:w="43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75099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1．必须提供企业纳税信用A级纳税人证明材料（或证书）彩色扫描件及国家税务总局（或省级电子税务局）网上查询截图打印件，否则不得分。</w:t>
            </w:r>
          </w:p>
          <w:p w14:paraId="14CB12B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2．只计算投标人自身（不计算投标人的分公司、子公司及分支机构）。</w:t>
            </w:r>
          </w:p>
        </w:tc>
      </w:tr>
      <w:tr w14:paraId="08CF6C87">
        <w:tblPrEx>
          <w:tblCellMar>
            <w:top w:w="0" w:type="dxa"/>
            <w:left w:w="108" w:type="dxa"/>
            <w:bottom w:w="0" w:type="dxa"/>
            <w:right w:w="108" w:type="dxa"/>
          </w:tblCellMar>
        </w:tblPrEx>
        <w:trPr>
          <w:trHeight w:val="624"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485D42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技术部分（施工组织设计），满分：  20  分。</w:t>
            </w:r>
          </w:p>
        </w:tc>
      </w:tr>
      <w:tr w14:paraId="6803CC05">
        <w:tblPrEx>
          <w:tblCellMar>
            <w:top w:w="0" w:type="dxa"/>
            <w:left w:w="108" w:type="dxa"/>
            <w:bottom w:w="0" w:type="dxa"/>
            <w:right w:w="108" w:type="dxa"/>
          </w:tblCellMar>
        </w:tblPrEx>
        <w:trPr>
          <w:trHeight w:val="624" w:hRule="exac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76B2199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评分因素</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74C1361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评分标准</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0FD7E5D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备注</w:t>
            </w:r>
          </w:p>
        </w:tc>
      </w:tr>
      <w:tr w14:paraId="10B1C31A">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9F3AC7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 总体概述</w:t>
            </w:r>
          </w:p>
          <w:p w14:paraId="04B36E1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4E9FB43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6BDB89C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029D7B9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4F14857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758F5DA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【优】对项目总体有深刻认识，表述清晰、完整、严谨、合理，措施先进、具体、有效、成熟，采用了新技术、新工艺、新材料、新设备；施工段划分呼应总体表述，划分清晰、合理，符合规范要求。</w:t>
            </w:r>
          </w:p>
          <w:p w14:paraId="420015E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【良】对项目总体有一定认识，表述清晰、完整，措施具体有效；施工段划分呼应总体表述，划分清晰，符合规范要求。</w:t>
            </w:r>
          </w:p>
          <w:p w14:paraId="0FC1AF1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【中】对项目总体有认识，有一定的措施但部分不具体；施工段划分较合理，符合规范要求。</w:t>
            </w:r>
          </w:p>
          <w:p w14:paraId="36C4EE2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【差】对项目认识不足，表述不清晰，措施不具体；施工段划分不合理。</w:t>
            </w:r>
          </w:p>
        </w:tc>
      </w:tr>
      <w:tr w14:paraId="45E0C68B">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7176C5F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施工总进</w:t>
            </w:r>
          </w:p>
          <w:p w14:paraId="7F83BD8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度计划及</w:t>
            </w:r>
          </w:p>
          <w:p w14:paraId="2BE8C9A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保证措施</w:t>
            </w:r>
          </w:p>
          <w:p w14:paraId="799D88E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08A97DF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0CA1BDA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711356C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0656DBD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597F355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3E710FC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783C2CD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【中】关键线路基本准确，计划编制基本合理。关键节点的控制措施基本可行。人、材、机需求和进场计划与进度计划相呼应，基本满足施工需要，调配投入计划基本合理。进度违约责任承诺具体。</w:t>
            </w:r>
          </w:p>
          <w:p w14:paraId="5012511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【差】关键线路不准确，计划编制不合理。关键节点的控制不可行。人、材、机需求和进场计划与进度计划不相呼应，不能满足施工需要。没有违约责任承诺。</w:t>
            </w:r>
          </w:p>
        </w:tc>
      </w:tr>
      <w:tr w14:paraId="0CC90F66">
        <w:tblPrEx>
          <w:tblCellMar>
            <w:top w:w="0" w:type="dxa"/>
            <w:left w:w="108" w:type="dxa"/>
            <w:bottom w:w="0" w:type="dxa"/>
            <w:right w:w="108" w:type="dxa"/>
          </w:tblCellMar>
        </w:tblPrEx>
        <w:trPr>
          <w:trHeight w:val="1740"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798421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质量</w:t>
            </w:r>
          </w:p>
          <w:p w14:paraId="4DB5FE0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保证措施</w:t>
            </w:r>
          </w:p>
          <w:p w14:paraId="31DB238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692671C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4F75D29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5BF724F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7258447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646A3A1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【优】应用新技术、新工艺、新材料、新设备，针对项目实际提出先进、可行、具体的保证措施。超过招标文件的质量要求。</w:t>
            </w:r>
          </w:p>
          <w:p w14:paraId="696557D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【良】针对项目实际提出先进、可行、具体的保证措施。满足招标文件的质量要求。</w:t>
            </w:r>
          </w:p>
          <w:p w14:paraId="3E05716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【中】具体措施可行。满足招标文件的质量要求。</w:t>
            </w:r>
          </w:p>
          <w:p w14:paraId="3D74087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【差】措施不可行，没有质量违约责任承诺。</w:t>
            </w:r>
          </w:p>
        </w:tc>
      </w:tr>
      <w:tr w14:paraId="718C8A4F">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2D80BEB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w:t>
            </w:r>
          </w:p>
          <w:p w14:paraId="7A63E07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技术措施</w:t>
            </w:r>
          </w:p>
          <w:p w14:paraId="13DC7B2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2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3BC6370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1B07735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499A0E1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5DFD731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C97981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2B6B42C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67E4327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E99D2E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【差】对项目关键技术有表述，对重点、难点有建议，解决方案不可行。采用的新技术针对性不强或验证材料不可靠，对节约投资、工期没有具体收益。无违约责任承诺。</w:t>
            </w:r>
          </w:p>
        </w:tc>
      </w:tr>
      <w:tr w14:paraId="74FB4537">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7EE05C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绿色施工、</w:t>
            </w:r>
          </w:p>
          <w:p w14:paraId="01F9B7E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安全防护、</w:t>
            </w:r>
          </w:p>
          <w:p w14:paraId="0843F19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文明施工</w:t>
            </w:r>
          </w:p>
          <w:p w14:paraId="6E24445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措施计划</w:t>
            </w:r>
          </w:p>
          <w:p w14:paraId="7314D85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2A1B811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7E09320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07D2E9C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7FEF19E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2FFC3FA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【优】针对项目实际情况，有先进、具体、完整、可行的措施，采用规范准确、清晰。</w:t>
            </w:r>
          </w:p>
          <w:p w14:paraId="6D92CDA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【良】针对项目实际情况，有合理的措施且具体、完整，采用规范准确。</w:t>
            </w:r>
          </w:p>
          <w:p w14:paraId="3DEAB4C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【中】有基本合理的措施，采用规范准确。</w:t>
            </w:r>
          </w:p>
          <w:p w14:paraId="5B508DF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【差】措施不力，采用规范不正确。</w:t>
            </w:r>
          </w:p>
        </w:tc>
      </w:tr>
      <w:tr w14:paraId="276D737A">
        <w:tblPrEx>
          <w:tblCellMar>
            <w:top w:w="0" w:type="dxa"/>
            <w:left w:w="108" w:type="dxa"/>
            <w:bottom w:w="0" w:type="dxa"/>
            <w:right w:w="108" w:type="dxa"/>
          </w:tblCellMar>
        </w:tblPrEx>
        <w:trPr>
          <w:trHeight w:val="457"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68D6A65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施工平面</w:t>
            </w:r>
          </w:p>
          <w:p w14:paraId="28F1F1F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布置和临时设施布置</w:t>
            </w:r>
          </w:p>
          <w:p w14:paraId="2F21457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2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65F57DA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46EFA3A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29C618E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7F20DF4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65890EB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【优】总体布置有针对性、合理，较好满足施工需要，符合绿色施工、安全防护、文明施工要求。</w:t>
            </w:r>
          </w:p>
          <w:p w14:paraId="3A9A153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【良】总体布置合理，能满足施工需要，基本符合绿色施工、安全防护、文明施工要求。</w:t>
            </w:r>
          </w:p>
          <w:p w14:paraId="3323689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【中】总体布置基本合理，基本满足施工需要。</w:t>
            </w:r>
          </w:p>
          <w:p w14:paraId="7B209E6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【差】总体布置不合理，不符合绿色施工、安全防护、文明施工要求。</w:t>
            </w:r>
          </w:p>
        </w:tc>
      </w:tr>
      <w:tr w14:paraId="678F8402">
        <w:tblPrEx>
          <w:tblCellMar>
            <w:top w:w="0" w:type="dxa"/>
            <w:left w:w="108" w:type="dxa"/>
            <w:bottom w:w="0" w:type="dxa"/>
            <w:right w:w="108" w:type="dxa"/>
          </w:tblCellMar>
        </w:tblPrEx>
        <w:trPr>
          <w:trHeight w:val="7255" w:hRule="atLeast"/>
          <w:jc w:val="center"/>
        </w:trPr>
        <w:tc>
          <w:tcPr>
            <w:tcW w:w="1226" w:type="dxa"/>
            <w:tcBorders>
              <w:top w:val="single" w:color="auto" w:sz="4" w:space="0"/>
              <w:left w:val="single" w:color="auto" w:sz="4" w:space="0"/>
              <w:bottom w:val="single" w:color="auto" w:sz="4" w:space="0"/>
              <w:right w:val="single" w:color="auto" w:sz="4" w:space="0"/>
            </w:tcBorders>
            <w:noWrap w:val="0"/>
            <w:vAlign w:val="center"/>
          </w:tcPr>
          <w:p w14:paraId="5B5A0FB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项目</w:t>
            </w:r>
          </w:p>
          <w:p w14:paraId="7B99857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管理机构</w:t>
            </w:r>
          </w:p>
          <w:p w14:paraId="2AF3F650">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3 分）</w:t>
            </w:r>
          </w:p>
        </w:tc>
        <w:tc>
          <w:tcPr>
            <w:tcW w:w="4047" w:type="dxa"/>
            <w:gridSpan w:val="2"/>
            <w:tcBorders>
              <w:top w:val="single" w:color="auto" w:sz="4" w:space="0"/>
              <w:left w:val="single" w:color="auto" w:sz="4" w:space="0"/>
              <w:bottom w:val="single" w:color="auto" w:sz="4" w:space="0"/>
              <w:right w:val="single" w:color="auto" w:sz="4" w:space="0"/>
            </w:tcBorders>
            <w:noWrap w:val="0"/>
            <w:vAlign w:val="center"/>
          </w:tcPr>
          <w:p w14:paraId="356BFC0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【优】得该项评分因素分值的90%～100%（含90%）。</w:t>
            </w:r>
          </w:p>
          <w:p w14:paraId="3D2966E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【良】得该项评分因素分值的80%～90%（含80%）。</w:t>
            </w:r>
          </w:p>
          <w:p w14:paraId="00CE688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【中】得该项评分因素分值的70%～80%（含70%）。</w:t>
            </w:r>
          </w:p>
          <w:p w14:paraId="0F2DBB0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【差】得该项评分因素分值的60～70%（含60%）。</w:t>
            </w:r>
          </w:p>
        </w:tc>
        <w:tc>
          <w:tcPr>
            <w:tcW w:w="4330" w:type="dxa"/>
            <w:tcBorders>
              <w:top w:val="single" w:color="auto" w:sz="4" w:space="0"/>
              <w:left w:val="single" w:color="auto" w:sz="4" w:space="0"/>
              <w:bottom w:val="single" w:color="auto" w:sz="4" w:space="0"/>
              <w:right w:val="single" w:color="auto" w:sz="4" w:space="0"/>
            </w:tcBorders>
            <w:noWrap w:val="0"/>
            <w:vAlign w:val="center"/>
          </w:tcPr>
          <w:p w14:paraId="34B3F42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【优】组织机构形式合理，有完善的指挥系统，生产及质量、绿色施工、安全、文明施工、创优达标监控系统、联络协调系统。</w:t>
            </w:r>
          </w:p>
          <w:p w14:paraId="6D98755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【良】组织机构形式合理，指挥系统，生产及质量、绿色施工、安全、文明施工、创优达标监控系统、联络协调系统不齐全。</w:t>
            </w:r>
          </w:p>
          <w:p w14:paraId="7247A19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【中】组织机构形式基本合理，有指挥系统，生产及质量、绿色施工、安全、文明施工、创优达标监控系统、联络协调系统不齐全。</w:t>
            </w:r>
          </w:p>
          <w:p w14:paraId="647CC8E3">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【差】组织机构形不合理，指挥系统，生产及质量、绿色施工、安全、文明施工、创优达标监控系统、联络协调系统不齐全。</w:t>
            </w:r>
          </w:p>
        </w:tc>
      </w:tr>
      <w:tr w14:paraId="572A2B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5" w:hRule="exact"/>
          <w:jc w:val="center"/>
        </w:trPr>
        <w:tc>
          <w:tcPr>
            <w:tcW w:w="960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CD57B6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投标报价部分，满分：100分。</w:t>
            </w:r>
          </w:p>
        </w:tc>
      </w:tr>
      <w:tr w14:paraId="1F0CFA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3" w:hRule="exac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545B235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评分事项</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7DB7BB7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评分方法</w:t>
            </w:r>
          </w:p>
        </w:tc>
      </w:tr>
      <w:tr w14:paraId="4CC795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81" w:hRule="atLeas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3AC3F81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评标基准价D</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219A2BD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确定招标控制价下浮系数n：用1～21号球分别代表一个下浮系数，由评委代表从这21个号码中随机抽取 3 次，每次抽取1个号码，抽出的号球不参与下次抽取。所抽取的3个号码对应下浮系数的算术平均值作为招标控制价下浮系数n（保留3位小数）。具体号码对应的下浮系数详见下表：</w:t>
            </w:r>
          </w:p>
          <w:tbl>
            <w:tblPr>
              <w:tblStyle w:val="14"/>
              <w:tblW w:w="0" w:type="auto"/>
              <w:tblInd w:w="113" w:type="dxa"/>
              <w:tblLayout w:type="fixed"/>
              <w:tblCellMar>
                <w:top w:w="0" w:type="dxa"/>
                <w:left w:w="108" w:type="dxa"/>
                <w:bottom w:w="0" w:type="dxa"/>
                <w:right w:w="108" w:type="dxa"/>
              </w:tblCellMar>
            </w:tblPr>
            <w:tblGrid>
              <w:gridCol w:w="1693"/>
              <w:gridCol w:w="610"/>
              <w:gridCol w:w="846"/>
              <w:gridCol w:w="881"/>
              <w:gridCol w:w="864"/>
              <w:gridCol w:w="899"/>
              <w:gridCol w:w="845"/>
              <w:gridCol w:w="835"/>
            </w:tblGrid>
            <w:tr w14:paraId="63CACE0D">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23DBF7C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D48812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CD418C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45B0C95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91FC03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4</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18A8FB06">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5</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275D93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6</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44CA28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7</w:t>
                  </w:r>
                </w:p>
              </w:tc>
            </w:tr>
            <w:tr w14:paraId="2026101D">
              <w:tblPrEx>
                <w:tblCellMar>
                  <w:top w:w="0" w:type="dxa"/>
                  <w:left w:w="108" w:type="dxa"/>
                  <w:bottom w:w="0" w:type="dxa"/>
                  <w:right w:w="108" w:type="dxa"/>
                </w:tblCellMar>
              </w:tblPrEx>
              <w:trPr>
                <w:trHeight w:val="588"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0122FE1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5170B60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444EE50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1.1</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789C91D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7203225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1.3</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5E34AC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1.4</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5213627B">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66C84A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1.6</w:t>
                  </w:r>
                </w:p>
              </w:tc>
            </w:tr>
            <w:tr w14:paraId="7C12637B">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3DA4A1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425E61E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8</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72E792F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9</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378086B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BAF902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11</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5E72982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12</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6F20ED8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13</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565561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14</w:t>
                  </w:r>
                </w:p>
              </w:tc>
            </w:tr>
            <w:tr w14:paraId="429D18B7">
              <w:tblPrEx>
                <w:tblCellMar>
                  <w:top w:w="0" w:type="dxa"/>
                  <w:left w:w="108" w:type="dxa"/>
                  <w:bottom w:w="0" w:type="dxa"/>
                  <w:right w:w="108" w:type="dxa"/>
                </w:tblCellMar>
              </w:tblPrEx>
              <w:trPr>
                <w:trHeight w:val="588"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6DDB681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1FDDBA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1.7</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0342841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1.8</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653CFED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3BD3046C">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0C22D18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2.1</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33FB971E">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2.2</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9E18B6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2.3</w:t>
                  </w:r>
                </w:p>
              </w:tc>
            </w:tr>
            <w:tr w14:paraId="08281E53">
              <w:tblPrEx>
                <w:tblCellMar>
                  <w:top w:w="0" w:type="dxa"/>
                  <w:left w:w="108" w:type="dxa"/>
                  <w:bottom w:w="0" w:type="dxa"/>
                  <w:right w:w="108" w:type="dxa"/>
                </w:tblCellMar>
              </w:tblPrEx>
              <w:trPr>
                <w:trHeight w:val="383"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7614829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号球</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3128B4B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15</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726A352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16</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16885A8F">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17</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25662F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18</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39CDFE9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19</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23C7546D">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20</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8C7399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21</w:t>
                  </w:r>
                </w:p>
              </w:tc>
            </w:tr>
            <w:tr w14:paraId="3F25A9B9">
              <w:tblPrEx>
                <w:tblCellMar>
                  <w:top w:w="0" w:type="dxa"/>
                  <w:left w:w="108" w:type="dxa"/>
                  <w:bottom w:w="0" w:type="dxa"/>
                  <w:right w:w="108" w:type="dxa"/>
                </w:tblCellMar>
              </w:tblPrEx>
              <w:trPr>
                <w:trHeight w:val="601" w:hRule="atLeast"/>
              </w:trPr>
              <w:tc>
                <w:tcPr>
                  <w:tcW w:w="1693" w:type="dxa"/>
                  <w:tcBorders>
                    <w:top w:val="single" w:color="000000" w:sz="4" w:space="0"/>
                    <w:left w:val="single" w:color="000000" w:sz="4" w:space="0"/>
                    <w:bottom w:val="single" w:color="000000" w:sz="4" w:space="0"/>
                    <w:right w:val="single" w:color="000000" w:sz="4" w:space="0"/>
                  </w:tcBorders>
                  <w:noWrap w:val="0"/>
                  <w:vAlign w:val="center"/>
                </w:tcPr>
                <w:p w14:paraId="44D0813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下浮系数（%）</w:t>
                  </w:r>
                </w:p>
              </w:tc>
              <w:tc>
                <w:tcPr>
                  <w:tcW w:w="610" w:type="dxa"/>
                  <w:tcBorders>
                    <w:top w:val="single" w:color="000000" w:sz="4" w:space="0"/>
                    <w:left w:val="single" w:color="000000" w:sz="4" w:space="0"/>
                    <w:bottom w:val="single" w:color="000000" w:sz="4" w:space="0"/>
                    <w:right w:val="single" w:color="000000" w:sz="4" w:space="0"/>
                  </w:tcBorders>
                  <w:noWrap w:val="0"/>
                  <w:vAlign w:val="center"/>
                </w:tcPr>
                <w:p w14:paraId="19A1048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2.4</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9C4AC5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2.5</w:t>
                  </w:r>
                </w:p>
              </w:tc>
              <w:tc>
                <w:tcPr>
                  <w:tcW w:w="881" w:type="dxa"/>
                  <w:tcBorders>
                    <w:top w:val="single" w:color="000000" w:sz="4" w:space="0"/>
                    <w:left w:val="single" w:color="000000" w:sz="4" w:space="0"/>
                    <w:bottom w:val="single" w:color="000000" w:sz="4" w:space="0"/>
                    <w:right w:val="single" w:color="000000" w:sz="4" w:space="0"/>
                  </w:tcBorders>
                  <w:noWrap w:val="0"/>
                  <w:vAlign w:val="center"/>
                </w:tcPr>
                <w:p w14:paraId="2F072DE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2E864D25">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2.7</w:t>
                  </w:r>
                </w:p>
              </w:tc>
              <w:tc>
                <w:tcPr>
                  <w:tcW w:w="899" w:type="dxa"/>
                  <w:tcBorders>
                    <w:top w:val="single" w:color="000000" w:sz="4" w:space="0"/>
                    <w:left w:val="single" w:color="000000" w:sz="4" w:space="0"/>
                    <w:bottom w:val="single" w:color="000000" w:sz="4" w:space="0"/>
                    <w:right w:val="single" w:color="000000" w:sz="4" w:space="0"/>
                  </w:tcBorders>
                  <w:noWrap w:val="0"/>
                  <w:vAlign w:val="center"/>
                </w:tcPr>
                <w:p w14:paraId="415CE83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2.8</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EF22338">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2.9</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7B1DAEF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3.0</w:t>
                  </w:r>
                </w:p>
              </w:tc>
            </w:tr>
          </w:tbl>
          <w:p w14:paraId="730FFD59">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（2）评标基准价D＝招标控制价×（1－n）</w:t>
            </w:r>
          </w:p>
        </w:tc>
      </w:tr>
      <w:tr w14:paraId="229132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 w:hRule="atLeast"/>
          <w:jc w:val="center"/>
        </w:trPr>
        <w:tc>
          <w:tcPr>
            <w:tcW w:w="1639" w:type="dxa"/>
            <w:gridSpan w:val="2"/>
            <w:tcBorders>
              <w:top w:val="single" w:color="auto" w:sz="4" w:space="0"/>
              <w:left w:val="single" w:color="auto" w:sz="4" w:space="0"/>
              <w:bottom w:val="single" w:color="auto" w:sz="4" w:space="0"/>
              <w:right w:val="single" w:color="auto" w:sz="4" w:space="0"/>
            </w:tcBorders>
            <w:noWrap w:val="0"/>
            <w:vAlign w:val="center"/>
          </w:tcPr>
          <w:p w14:paraId="6FF165E4">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投标报价</w:t>
            </w:r>
          </w:p>
          <w:p w14:paraId="795AFDF2">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得分N</w:t>
            </w:r>
          </w:p>
        </w:tc>
        <w:tc>
          <w:tcPr>
            <w:tcW w:w="7964" w:type="dxa"/>
            <w:gridSpan w:val="2"/>
            <w:tcBorders>
              <w:top w:val="single" w:color="auto" w:sz="4" w:space="0"/>
              <w:left w:val="single" w:color="auto" w:sz="4" w:space="0"/>
              <w:bottom w:val="single" w:color="auto" w:sz="4" w:space="0"/>
              <w:right w:val="single" w:color="auto" w:sz="4" w:space="0"/>
            </w:tcBorders>
            <w:noWrap w:val="0"/>
            <w:vAlign w:val="center"/>
          </w:tcPr>
          <w:p w14:paraId="19E360B7">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采用内插法计算某投标人的投标报价得分N，即当投标人的投标总价等于评标基准价时得100分，每高于评标基准价一个百分点扣1 分，每低于评标基准价一个百分点扣0.5分，扣完为止。公式如下：</w:t>
            </w:r>
          </w:p>
          <w:p w14:paraId="1C50E44A">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N＝100－（| Di－D | ÷D）×100×E</w:t>
            </w:r>
          </w:p>
          <w:p w14:paraId="0EF81E61">
            <w:pPr>
              <w:keepNext w:val="0"/>
              <w:keepLines w:val="0"/>
              <w:pageBreakBefore w:val="0"/>
              <w:wordWrap w:val="0"/>
              <w:overflowPunct/>
              <w:topLinePunct w:val="0"/>
              <w:bidi w:val="0"/>
              <w:spacing w:before="5" w:line="360" w:lineRule="auto"/>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式中：D为评标基准价；Di为某投标人的投标总价；E为扣分因子，当Di＞D时，E＝1 ；当Di＜D时，E＝0.5。</w:t>
            </w:r>
          </w:p>
        </w:tc>
      </w:tr>
    </w:tbl>
    <w:p w14:paraId="5FE5989B">
      <w:pPr>
        <w:keepNext w:val="0"/>
        <w:keepLines w:val="0"/>
        <w:pageBreakBefore w:val="0"/>
        <w:wordWrap w:val="0"/>
        <w:overflowPunct/>
        <w:topLinePunct w:val="0"/>
        <w:bidi w:val="0"/>
        <w:spacing w:before="5" w:line="360" w:lineRule="auto"/>
        <w:rPr>
          <w:rFonts w:hint="eastAsia" w:ascii="宋体" w:hAnsi="宋体" w:eastAsia="宋体" w:cs="宋体"/>
          <w:color w:val="auto"/>
          <w:spacing w:val="0"/>
          <w:highlight w:val="none"/>
          <w:lang w:val="en-US" w:eastAsia="zh-CN"/>
        </w:rPr>
      </w:pPr>
    </w:p>
    <w:p w14:paraId="4FB64261">
      <w:pPr>
        <w:keepNext w:val="0"/>
        <w:keepLines w:val="0"/>
        <w:pageBreakBefore w:val="0"/>
        <w:wordWrap w:val="0"/>
        <w:overflowPunct/>
        <w:topLinePunct w:val="0"/>
        <w:bidi w:val="0"/>
        <w:spacing w:before="5" w:line="360" w:lineRule="auto"/>
        <w:rPr>
          <w:rFonts w:hint="eastAsia" w:ascii="宋体" w:hAnsi="宋体" w:eastAsia="宋体" w:cs="宋体"/>
          <w:color w:val="auto"/>
          <w:spacing w:val="0"/>
          <w:highlight w:val="none"/>
        </w:rPr>
      </w:pPr>
    </w:p>
    <w:p w14:paraId="119BC86A">
      <w:pPr>
        <w:spacing w:before="155" w:line="211" w:lineRule="auto"/>
        <w:ind w:firstLine="470" w:firstLineChars="200"/>
        <w:outlineLvl w:val="9"/>
        <w:rPr>
          <w:rFonts w:hint="eastAsia" w:ascii="宋体" w:hAnsi="宋体" w:eastAsia="宋体" w:cs="宋体"/>
          <w:b/>
          <w:bCs/>
          <w:color w:val="auto"/>
          <w:spacing w:val="-3"/>
          <w:sz w:val="24"/>
          <w:szCs w:val="24"/>
          <w:highlight w:val="none"/>
        </w:rPr>
      </w:pPr>
    </w:p>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7"/>
      <w:bookmarkEnd w:id="136"/>
      <w:bookmarkStart w:id="137" w:name="bookmark138"/>
      <w:bookmarkEnd w:id="137"/>
      <w:bookmarkStart w:id="138" w:name="_Toc19232"/>
      <w:bookmarkStart w:id="139" w:name="_Toc2769"/>
      <w:bookmarkStart w:id="140" w:name="_Toc18711"/>
      <w:bookmarkStart w:id="141" w:name="_Toc7762"/>
      <w:bookmarkStart w:id="142" w:name="_Toc13897"/>
      <w:bookmarkStart w:id="143" w:name="_Toc32569"/>
      <w:bookmarkStart w:id="144" w:name="_Toc10900"/>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全国公共资源交易平台（广东省·韶关市）</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266A4FA3">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16.2</w:t>
      </w:r>
      <w:r>
        <w:rPr>
          <w:rFonts w:hint="eastAsia" w:ascii="宋体" w:hAnsi="宋体" w:eastAsia="宋体" w:cs="宋体"/>
          <w:snapToGrid w:val="0"/>
          <w:color w:val="auto"/>
          <w:kern w:val="0"/>
          <w:sz w:val="24"/>
          <w:szCs w:val="24"/>
          <w:highlight w:val="none"/>
          <w:lang w:val="en-US" w:eastAsia="zh-CN"/>
        </w:rPr>
        <w:t xml:space="preserve"> 投标人或其他利害关系人对定标候选人有异议的，应当在公示期内提出。异议及投诉处理，严格按照招标投标有关法律法规及《韶关市工程建设项目招标投标活动异议和投诉处理办法》的规定执行。招标人及其评标委员会发现招标投标活动存在违反法律法规规定的，由招标人向有关监管部门投诉。</w:t>
      </w:r>
    </w:p>
    <w:p w14:paraId="26AE14CF">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058147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3BF46C7">
      <w:pPr>
        <w:rPr>
          <w:rFonts w:hint="eastAsia" w:ascii="宋体" w:hAnsi="宋体" w:eastAsia="宋体" w:cs="宋体"/>
          <w:b/>
          <w:bCs/>
          <w:color w:val="auto"/>
          <w:spacing w:val="-3"/>
          <w:sz w:val="24"/>
          <w:szCs w:val="24"/>
          <w:highlight w:val="none"/>
        </w:rPr>
      </w:pPr>
      <w:bookmarkStart w:id="145" w:name="_Toc16554"/>
      <w:r>
        <w:rPr>
          <w:rFonts w:hint="eastAsia" w:ascii="宋体" w:hAnsi="宋体" w:eastAsia="宋体" w:cs="宋体"/>
          <w:b/>
          <w:bCs/>
          <w:color w:val="auto"/>
          <w:spacing w:val="-3"/>
          <w:sz w:val="24"/>
          <w:szCs w:val="24"/>
          <w:highlight w:val="none"/>
        </w:rPr>
        <w:br w:type="page"/>
      </w:r>
    </w:p>
    <w:p w14:paraId="5C1476C7">
      <w:pPr>
        <w:spacing w:before="78" w:line="220" w:lineRule="auto"/>
        <w:ind w:left="9"/>
        <w:jc w:val="center"/>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w:t>
      </w:r>
      <w:r>
        <w:rPr>
          <w:rFonts w:hint="eastAsia" w:ascii="宋体" w:hAnsi="宋体" w:eastAsia="宋体" w:cs="宋体"/>
          <w:color w:val="auto"/>
          <w:spacing w:val="-2"/>
          <w:sz w:val="24"/>
          <w:szCs w:val="24"/>
          <w:highlight w:val="none"/>
          <w:lang w:val="en-US" w:eastAsia="zh-CN"/>
        </w:rPr>
        <w:t>专业工程</w:t>
      </w:r>
      <w:r>
        <w:rPr>
          <w:rFonts w:hint="eastAsia" w:ascii="宋体" w:hAnsi="宋体" w:eastAsia="宋体" w:cs="宋体"/>
          <w:color w:val="auto"/>
          <w:spacing w:val="-2"/>
          <w:sz w:val="24"/>
          <w:szCs w:val="24"/>
          <w:highlight w:val="none"/>
        </w:rPr>
        <w:t>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9" w:type="default"/>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rPr>
      </w:pPr>
      <w:r>
        <w:rPr>
          <w:rStyle w:val="21"/>
          <w:rFonts w:hint="eastAsia" w:hAnsi="宋体" w:eastAsia="宋体" w:cs="宋体"/>
          <w:b/>
          <w:bCs/>
          <w:color w:val="auto"/>
          <w:kern w:val="0"/>
          <w:sz w:val="24"/>
          <w:szCs w:val="24"/>
          <w:highlight w:val="none"/>
          <w:lang w:val="en-US" w:eastAsia="zh-CN"/>
        </w:rPr>
        <w:t>1.</w:t>
      </w:r>
      <w:r>
        <w:rPr>
          <w:rStyle w:val="21"/>
          <w:rFonts w:hint="eastAsia" w:ascii="宋体" w:hAnsi="宋体" w:eastAsia="宋体" w:cs="宋体"/>
          <w:b/>
          <w:bCs/>
          <w:color w:val="auto"/>
          <w:kern w:val="0"/>
          <w:sz w:val="24"/>
          <w:szCs w:val="24"/>
          <w:highlight w:val="none"/>
          <w:lang w:eastAsia="zh-CN"/>
        </w:rPr>
        <w:t>确定</w:t>
      </w:r>
      <w:r>
        <w:rPr>
          <w:rStyle w:val="21"/>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rPr>
      </w:pPr>
      <w:r>
        <w:rPr>
          <w:rStyle w:val="21"/>
          <w:rFonts w:hint="eastAsia" w:ascii="宋体" w:hAnsi="宋体" w:eastAsia="宋体" w:cs="宋体"/>
          <w:color w:val="auto"/>
          <w:kern w:val="0"/>
          <w:sz w:val="24"/>
          <w:szCs w:val="24"/>
          <w:highlight w:val="none"/>
        </w:rPr>
        <w:t>招标人</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自</w:t>
      </w:r>
      <w:r>
        <w:rPr>
          <w:rStyle w:val="21"/>
          <w:rFonts w:hint="eastAsia" w:ascii="宋体" w:hAnsi="宋体" w:eastAsia="宋体" w:cs="宋体"/>
          <w:color w:val="auto"/>
          <w:kern w:val="0"/>
          <w:sz w:val="24"/>
          <w:szCs w:val="24"/>
          <w:highlight w:val="none"/>
          <w:lang w:val="en-US" w:eastAsia="zh-CN"/>
        </w:rPr>
        <w:t>定标候选人</w:t>
      </w:r>
      <w:r>
        <w:rPr>
          <w:rStyle w:val="21"/>
          <w:rFonts w:hint="eastAsia" w:ascii="宋体" w:hAnsi="宋体" w:eastAsia="宋体" w:cs="宋体"/>
          <w:color w:val="auto"/>
          <w:kern w:val="0"/>
          <w:sz w:val="24"/>
          <w:szCs w:val="24"/>
          <w:highlight w:val="none"/>
        </w:rPr>
        <w:t>公示期满后</w:t>
      </w:r>
      <w:r>
        <w:rPr>
          <w:rStyle w:val="21"/>
          <w:rFonts w:hint="eastAsia" w:ascii="宋体" w:hAnsi="宋体" w:eastAsia="宋体" w:cs="宋体"/>
          <w:color w:val="auto"/>
          <w:kern w:val="0"/>
          <w:sz w:val="24"/>
          <w:szCs w:val="24"/>
          <w:highlight w:val="none"/>
          <w:lang w:val="en-US" w:eastAsia="zh-CN"/>
        </w:rPr>
        <w:t>5</w:t>
      </w:r>
      <w:r>
        <w:rPr>
          <w:rStyle w:val="21"/>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1"/>
          <w:rFonts w:hint="eastAsia" w:ascii="宋体" w:hAnsi="宋体" w:eastAsia="宋体" w:cs="宋体"/>
          <w:color w:val="auto"/>
          <w:kern w:val="0"/>
          <w:sz w:val="24"/>
          <w:szCs w:val="24"/>
          <w:highlight w:val="none"/>
          <w:lang w:eastAsia="zh-CN"/>
        </w:rPr>
        <w:t>应</w:t>
      </w:r>
      <w:r>
        <w:rPr>
          <w:rStyle w:val="21"/>
          <w:rFonts w:hint="eastAsia" w:ascii="宋体" w:hAnsi="宋体" w:eastAsia="宋体" w:cs="宋体"/>
          <w:color w:val="auto"/>
          <w:kern w:val="0"/>
          <w:sz w:val="24"/>
          <w:szCs w:val="24"/>
          <w:highlight w:val="none"/>
        </w:rPr>
        <w:t>通过</w:t>
      </w:r>
      <w:r>
        <w:rPr>
          <w:rStyle w:val="21"/>
          <w:rFonts w:hint="eastAsia" w:ascii="宋体" w:hAnsi="宋体" w:eastAsia="宋体" w:cs="宋体"/>
          <w:color w:val="auto"/>
          <w:kern w:val="0"/>
          <w:sz w:val="24"/>
          <w:szCs w:val="24"/>
          <w:highlight w:val="none"/>
          <w:lang w:val="en-US" w:eastAsia="zh-CN"/>
        </w:rPr>
        <w:t>广东省招标投标监管网和全国公共资源交易平台（广东省·韶关市）</w:t>
      </w:r>
      <w:r>
        <w:rPr>
          <w:rStyle w:val="21"/>
          <w:rFonts w:hint="eastAsia" w:ascii="宋体" w:hAnsi="宋体" w:eastAsia="宋体" w:cs="宋体"/>
          <w:color w:val="auto"/>
          <w:kern w:val="0"/>
          <w:sz w:val="24"/>
          <w:szCs w:val="24"/>
          <w:highlight w:val="none"/>
        </w:rPr>
        <w:t>公布延期原因和定标时间。</w:t>
      </w:r>
    </w:p>
    <w:p w14:paraId="5FB42728">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2</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hAnsi="宋体" w:eastAsia="宋体" w:cs="宋体"/>
          <w:color w:val="auto"/>
          <w:kern w:val="0"/>
          <w:sz w:val="24"/>
          <w:szCs w:val="24"/>
          <w:highlight w:val="none"/>
          <w:lang w:val="en-US" w:eastAsia="zh-CN"/>
        </w:rPr>
        <w:t>2.1</w:t>
      </w:r>
      <w:r>
        <w:rPr>
          <w:rStyle w:val="21"/>
          <w:rFonts w:hint="eastAsia" w:ascii="宋体" w:hAnsi="宋体" w:eastAsia="宋体" w:cs="宋体"/>
          <w:color w:val="auto"/>
          <w:kern w:val="0"/>
          <w:sz w:val="24"/>
          <w:szCs w:val="24"/>
          <w:highlight w:val="none"/>
          <w:lang w:val="en-US" w:eastAsia="zh-CN"/>
        </w:rPr>
        <w:t>定标委员会由招标人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1"/>
          <w:rFonts w:hint="eastAsia" w:hAnsi="宋体" w:eastAsia="宋体" w:cs="宋体"/>
          <w:color w:val="auto"/>
          <w:kern w:val="0"/>
          <w:sz w:val="24"/>
          <w:szCs w:val="24"/>
          <w:highlight w:val="none"/>
          <w:lang w:val="en-US" w:eastAsia="zh-CN"/>
        </w:rPr>
        <w:t>2</w:t>
      </w:r>
      <w:r>
        <w:rPr>
          <w:rStyle w:val="21"/>
          <w:rFonts w:hint="eastAsia" w:ascii="宋体" w:hAnsi="宋体" w:eastAsia="宋体" w:cs="宋体"/>
          <w:color w:val="auto"/>
          <w:kern w:val="0"/>
          <w:sz w:val="24"/>
          <w:szCs w:val="24"/>
          <w:highlight w:val="none"/>
        </w:rPr>
        <w:t>.</w:t>
      </w:r>
      <w:r>
        <w:rPr>
          <w:rStyle w:val="21"/>
          <w:rFonts w:hint="eastAsia" w:hAnsi="宋体" w:eastAsia="宋体" w:cs="宋体"/>
          <w:color w:val="auto"/>
          <w:kern w:val="0"/>
          <w:sz w:val="24"/>
          <w:szCs w:val="24"/>
          <w:highlight w:val="none"/>
          <w:lang w:val="en-US" w:eastAsia="zh-CN"/>
        </w:rPr>
        <w:t>3</w:t>
      </w:r>
      <w:r>
        <w:rPr>
          <w:rStyle w:val="21"/>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3</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招标人应组建招标监督小组，招标监督小组原则上由不少于 3 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应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4</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1"/>
          <w:rFonts w:hint="eastAsia"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w:t>
      </w:r>
      <w:r>
        <w:rPr>
          <w:rFonts w:hint="eastAsia" w:ascii="宋体" w:hAnsi="宋体" w:eastAsia="宋体" w:cs="宋体"/>
          <w:b w:val="0"/>
          <w:bCs/>
          <w:color w:val="auto"/>
          <w:sz w:val="24"/>
          <w:szCs w:val="24"/>
          <w:highlight w:val="none"/>
          <w:lang w:val="en-US" w:eastAsia="zh-CN"/>
        </w:rPr>
        <w:t>定标会议</w:t>
      </w:r>
      <w:r>
        <w:rPr>
          <w:rFonts w:hint="eastAsia" w:ascii="宋体" w:hAnsi="宋体" w:eastAsia="宋体" w:cs="宋体"/>
          <w:b w:val="0"/>
          <w:bCs/>
          <w:color w:val="auto"/>
          <w:sz w:val="24"/>
          <w:szCs w:val="24"/>
          <w:highlight w:val="none"/>
          <w:lang w:eastAsia="zh-CN"/>
        </w:rPr>
        <w:t>的全过程进行监督，确保程序合规、记录完整，结论形成过程公正、透明。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1"/>
          <w:rFonts w:hint="eastAsia" w:ascii="宋体" w:hAnsi="宋体" w:eastAsia="宋体" w:cs="宋体"/>
          <w:b w:val="0"/>
          <w:bCs w:val="0"/>
          <w:color w:val="auto"/>
          <w:kern w:val="0"/>
          <w:sz w:val="24"/>
          <w:szCs w:val="24"/>
          <w:highlight w:val="none"/>
          <w:lang w:val="en-US" w:eastAsia="zh-CN"/>
        </w:rPr>
        <w:t>后</w:t>
      </w:r>
      <w:r>
        <w:rPr>
          <w:rStyle w:val="21"/>
          <w:rFonts w:hint="eastAsia" w:ascii="宋体" w:hAnsi="宋体" w:eastAsia="宋体" w:cs="宋体"/>
          <w:color w:val="auto"/>
          <w:kern w:val="0"/>
          <w:sz w:val="24"/>
          <w:szCs w:val="24"/>
          <w:highlight w:val="none"/>
          <w:lang w:val="en-US" w:eastAsia="zh-CN"/>
        </w:rPr>
        <w:t>，招标人应当自收到定标报告之日起3日内将中标候选人和定标情况在广东省招标投标监管网和全国公共资源交易平台（广东省·韶关市）上公示，公示时间不少于3日。公示主要内容包括：定标报告（定标成员信息除外）、中标人候选人名单、投标报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4AEC3161">
      <w:pPr>
        <w:rPr>
          <w:rFonts w:hint="eastAsia" w:ascii="宋体" w:hAnsi="宋体" w:eastAsia="宋体" w:cs="宋体"/>
          <w:b/>
          <w:bCs/>
          <w:color w:val="auto"/>
          <w:spacing w:val="-7"/>
          <w:sz w:val="24"/>
          <w:szCs w:val="24"/>
          <w:highlight w:val="none"/>
        </w:rPr>
      </w:pPr>
    </w:p>
    <w:p w14:paraId="154A867D">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4926"/>
      <w:bookmarkStart w:id="154" w:name="_Toc209"/>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1.中标人确定过程</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中标人确定。中标候选人公示期满无异议的，招标人确认排名第一的中标候选人为中标人，中标人的投标报价即为中标价。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招标人应当自中标通知书发出之日起15日内，通过广东省招标投标监管网和全国公共资源交易平台（广东省 ·韶关市）发布中标结果公示。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定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8"/>
          <w:rFonts w:hint="eastAsia" w:ascii="宋体" w:hAnsi="宋体" w:eastAsia="宋体" w:cs="宋体"/>
          <w:b/>
          <w:bCs/>
          <w:i w:val="0"/>
          <w:color w:val="auto"/>
          <w:sz w:val="24"/>
          <w:szCs w:val="24"/>
          <w:highlight w:val="none"/>
          <w:lang w:val="en-US" w:eastAsia="zh-CN"/>
        </w:rPr>
        <w:t>3</w:t>
      </w:r>
      <w:r>
        <w:rPr>
          <w:rStyle w:val="18"/>
          <w:rFonts w:hint="eastAsia" w:ascii="宋体" w:hAnsi="宋体" w:eastAsia="宋体" w:cs="宋体"/>
          <w:b/>
          <w:bCs/>
          <w:i w:val="0"/>
          <w:color w:val="auto"/>
          <w:sz w:val="24"/>
          <w:szCs w:val="24"/>
          <w:highlight w:val="none"/>
        </w:rPr>
        <w:t>．废除授标</w:t>
      </w:r>
      <w:bookmarkEnd w:id="155"/>
      <w:r>
        <w:rPr>
          <w:rStyle w:val="18"/>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w:t>
      </w:r>
      <w:r>
        <w:rPr>
          <w:rFonts w:hint="eastAsia" w:ascii="宋体" w:hAnsi="宋体" w:eastAsia="宋体" w:cs="宋体"/>
          <w:color w:val="auto"/>
          <w:spacing w:val="-2"/>
          <w:sz w:val="24"/>
          <w:szCs w:val="24"/>
          <w:highlight w:val="none"/>
          <w:lang w:val="en-US" w:eastAsia="zh-CN"/>
        </w:rPr>
        <w:t>定</w:t>
      </w:r>
      <w:r>
        <w:rPr>
          <w:rFonts w:hint="eastAsia" w:ascii="宋体" w:hAnsi="宋体" w:eastAsia="宋体" w:cs="宋体"/>
          <w:color w:val="auto"/>
          <w:spacing w:val="-2"/>
          <w:sz w:val="24"/>
          <w:szCs w:val="24"/>
          <w:highlight w:val="none"/>
        </w:rPr>
        <w:t>标委员会提交的</w:t>
      </w:r>
      <w:r>
        <w:rPr>
          <w:rFonts w:hint="eastAsia" w:ascii="宋体" w:hAnsi="宋体" w:eastAsia="宋体" w:cs="宋体"/>
          <w:color w:val="auto"/>
          <w:spacing w:val="-2"/>
          <w:sz w:val="24"/>
          <w:szCs w:val="24"/>
          <w:highlight w:val="none"/>
          <w:lang w:val="en-US" w:eastAsia="zh-CN"/>
        </w:rPr>
        <w:t>中</w:t>
      </w:r>
      <w:r>
        <w:rPr>
          <w:rFonts w:hint="eastAsia" w:ascii="宋体" w:hAnsi="宋体" w:eastAsia="宋体" w:cs="宋体"/>
          <w:color w:val="auto"/>
          <w:spacing w:val="-2"/>
          <w:sz w:val="24"/>
          <w:szCs w:val="24"/>
          <w:highlight w:val="none"/>
        </w:rPr>
        <w:t>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w:t>
      </w:r>
      <w:r>
        <w:rPr>
          <w:rFonts w:hint="eastAsia" w:ascii="宋体" w:hAnsi="宋体" w:eastAsia="宋体" w:cs="宋体"/>
          <w:color w:val="auto"/>
          <w:spacing w:val="-2"/>
          <w:sz w:val="24"/>
          <w:szCs w:val="24"/>
          <w:highlight w:val="none"/>
          <w:lang w:val="en-US" w:eastAsia="zh-CN"/>
        </w:rPr>
        <w:t>定</w:t>
      </w:r>
      <w:r>
        <w:rPr>
          <w:rFonts w:hint="eastAsia" w:ascii="宋体" w:hAnsi="宋体" w:eastAsia="宋体" w:cs="宋体"/>
          <w:color w:val="auto"/>
          <w:spacing w:val="-2"/>
          <w:sz w:val="24"/>
          <w:szCs w:val="24"/>
          <w:highlight w:val="none"/>
        </w:rPr>
        <w:t>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8478"/>
      <w:bookmarkStart w:id="171" w:name="_Toc12035"/>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w:t>
      </w:r>
      <w:r>
        <w:rPr>
          <w:rFonts w:hint="eastAsia" w:ascii="宋体" w:hAnsi="宋体" w:eastAsia="宋体" w:cs="宋体"/>
          <w:b/>
          <w:bCs/>
          <w:color w:val="auto"/>
          <w:spacing w:val="-4"/>
          <w:sz w:val="24"/>
          <w:szCs w:val="24"/>
          <w:highlight w:val="none"/>
          <w:lang w:val="en-US" w:eastAsia="zh-CN"/>
        </w:rPr>
        <w:t>专业工程</w:t>
      </w:r>
      <w:r>
        <w:rPr>
          <w:rFonts w:hint="eastAsia" w:ascii="宋体" w:hAnsi="宋体" w:eastAsia="宋体" w:cs="宋体"/>
          <w:b/>
          <w:bCs/>
          <w:color w:val="auto"/>
          <w:spacing w:val="-4"/>
          <w:sz w:val="24"/>
          <w:szCs w:val="24"/>
          <w:highlight w:val="none"/>
        </w:rPr>
        <w:t>暂估价）/（</w:t>
      </w:r>
      <w:bookmarkEnd w:id="170"/>
      <w:bookmarkEnd w:id="171"/>
      <w:bookmarkStart w:id="173" w:name="_Toc15512"/>
      <w:bookmarkStart w:id="174" w:name="_Toc1360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w:t>
      </w:r>
      <w:r>
        <w:rPr>
          <w:rFonts w:hint="eastAsia" w:ascii="宋体" w:hAnsi="宋体" w:eastAsia="宋体" w:cs="宋体"/>
          <w:b/>
          <w:bCs/>
          <w:color w:val="auto"/>
          <w:spacing w:val="-4"/>
          <w:sz w:val="24"/>
          <w:szCs w:val="24"/>
          <w:highlight w:val="none"/>
          <w:lang w:val="en-US" w:eastAsia="zh-CN"/>
        </w:rPr>
        <w:t>专业工程</w:t>
      </w:r>
      <w:r>
        <w:rPr>
          <w:rFonts w:hint="eastAsia" w:ascii="宋体" w:hAnsi="宋体" w:eastAsia="宋体" w:cs="宋体"/>
          <w:b/>
          <w:bCs/>
          <w:color w:val="auto"/>
          <w:spacing w:val="-4"/>
          <w:sz w:val="24"/>
          <w:szCs w:val="24"/>
          <w:highlight w:val="none"/>
        </w:rPr>
        <w:t>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1"/>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w:t>
      </w:r>
      <w:r>
        <w:rPr>
          <w:rFonts w:hint="eastAsia" w:ascii="宋体" w:hAnsi="宋体" w:eastAsia="宋体" w:cs="宋体"/>
          <w:b/>
          <w:bCs/>
          <w:color w:val="auto"/>
          <w:spacing w:val="-3"/>
          <w:sz w:val="24"/>
          <w:szCs w:val="24"/>
          <w:highlight w:val="none"/>
          <w:lang w:val="en-US" w:eastAsia="zh-CN"/>
        </w:rPr>
        <w:t>专业工程</w:t>
      </w:r>
      <w:r>
        <w:rPr>
          <w:rFonts w:hint="eastAsia" w:ascii="宋体" w:hAnsi="宋体" w:eastAsia="宋体" w:cs="宋体"/>
          <w:b/>
          <w:bCs/>
          <w:color w:val="auto"/>
          <w:spacing w:val="-3"/>
          <w:sz w:val="24"/>
          <w:szCs w:val="24"/>
          <w:highlight w:val="none"/>
        </w:rPr>
        <w:t>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w:t>
      </w:r>
      <w:r>
        <w:rPr>
          <w:rFonts w:hint="eastAsia" w:ascii="宋体" w:hAnsi="宋体" w:eastAsia="宋体" w:cs="宋体"/>
          <w:b/>
          <w:bCs/>
          <w:color w:val="auto"/>
          <w:spacing w:val="-3"/>
          <w:sz w:val="24"/>
          <w:szCs w:val="24"/>
          <w:highlight w:val="none"/>
          <w:lang w:val="en-US" w:eastAsia="zh-CN"/>
        </w:rPr>
        <w:t>专业工程</w:t>
      </w:r>
      <w:r>
        <w:rPr>
          <w:rFonts w:hint="eastAsia" w:ascii="宋体" w:hAnsi="宋体" w:eastAsia="宋体" w:cs="宋体"/>
          <w:b/>
          <w:bCs/>
          <w:color w:val="auto"/>
          <w:spacing w:val="-3"/>
          <w:sz w:val="24"/>
          <w:szCs w:val="24"/>
          <w:highlight w:val="none"/>
        </w:rPr>
        <w:t>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lang w:val="en-US" w:eastAsia="zh-CN"/>
        </w:rPr>
        <w:t>专业工程</w:t>
      </w:r>
      <w:r>
        <w:rPr>
          <w:rFonts w:hint="eastAsia" w:ascii="宋体" w:hAnsi="宋体" w:eastAsia="宋体" w:cs="宋体"/>
          <w:b w:val="0"/>
          <w:bCs w:val="0"/>
          <w:snapToGrid w:val="0"/>
          <w:color w:val="auto"/>
          <w:kern w:val="0"/>
          <w:sz w:val="24"/>
          <w:szCs w:val="24"/>
          <w:highlight w:val="none"/>
          <w:lang w:eastAsia="zh-CN"/>
        </w:rPr>
        <w:t>暂</w:t>
      </w:r>
      <w:r>
        <w:rPr>
          <w:rFonts w:hint="eastAsia" w:ascii="宋体" w:hAnsi="宋体" w:eastAsia="宋体" w:cs="宋体"/>
          <w:snapToGrid w:val="0"/>
          <w:color w:val="auto"/>
          <w:kern w:val="0"/>
          <w:sz w:val="24"/>
          <w:szCs w:val="24"/>
          <w:highlight w:val="none"/>
          <w:lang w:eastAsia="zh-CN"/>
        </w:rPr>
        <w:t xml:space="preserve">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条的规定确定专业工程承包人后，将专业工程合同价款取代相应暂估价，并调整合同价款。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w:t>
      </w:r>
      <w:r>
        <w:rPr>
          <w:rFonts w:hint="eastAsia" w:ascii="宋体" w:hAnsi="宋体" w:eastAsia="宋体" w:cs="宋体"/>
          <w:color w:val="auto"/>
          <w:spacing w:val="-8"/>
          <w:sz w:val="24"/>
          <w:szCs w:val="24"/>
          <w:highlight w:val="none"/>
          <w:lang w:val="en-US" w:eastAsia="en-US"/>
        </w:rPr>
        <w:t>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r>
        <w:rPr>
          <w:rFonts w:hint="eastAsia" w:ascii="宋体" w:hAnsi="宋体" w:eastAsia="宋体" w:cs="宋体"/>
          <w:color w:val="auto"/>
          <w:spacing w:val="-8"/>
          <w:sz w:val="24"/>
          <w:szCs w:val="24"/>
          <w:highlight w:val="none"/>
        </w:rPr>
        <w:t>。</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30"/>
        <w:snapToGrid w:val="0"/>
        <w:spacing w:line="440" w:lineRule="exact"/>
        <w:ind w:firstLine="480"/>
        <w:jc w:val="both"/>
        <w:outlineLvl w:val="2"/>
        <w:rPr>
          <w:rStyle w:val="21"/>
          <w:rFonts w:hint="eastAsia" w:ascii="宋体" w:hAnsi="宋体" w:eastAsia="宋体" w:cs="宋体"/>
          <w:b/>
          <w:bCs/>
          <w:color w:val="auto"/>
          <w:sz w:val="24"/>
          <w:szCs w:val="24"/>
          <w:highlight w:val="none"/>
        </w:rPr>
      </w:pPr>
      <w:bookmarkStart w:id="177" w:name="_Toc1816"/>
      <w:bookmarkStart w:id="178" w:name="_Toc5247"/>
      <w:r>
        <w:rPr>
          <w:rStyle w:val="21"/>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施工预付款支付比例为：按施工合同价扣除“暂列金额、专业工程暂估价、</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支付，其中施工合同价(暂列金额、专业工程暂估价、</w:t>
      </w:r>
      <w:r>
        <w:rPr>
          <w:rFonts w:hint="eastAsia" w:ascii="宋体" w:hAnsi="宋体" w:eastAsia="宋体" w:cs="宋体"/>
          <w:snapToGrid w:val="0"/>
          <w:color w:val="auto"/>
          <w:kern w:val="0"/>
          <w:sz w:val="24"/>
          <w:szCs w:val="20"/>
          <w:highlight w:val="none"/>
          <w:lang w:val="en-US" w:eastAsia="zh-CN"/>
        </w:rPr>
        <w:t>安全生产措施费除外</w:t>
      </w:r>
      <w:r>
        <w:rPr>
          <w:rFonts w:hint="eastAsia" w:ascii="宋体" w:hAnsi="宋体" w:eastAsia="宋体" w:cs="宋体"/>
          <w:snapToGrid w:val="0"/>
          <w:color w:val="auto"/>
          <w:kern w:val="0"/>
          <w:sz w:val="24"/>
          <w:szCs w:val="20"/>
          <w:highlight w:val="none"/>
          <w:lang w:eastAsia="zh-CN"/>
        </w:rPr>
        <w:t>)5%直接拨付至农民工工资专用账户且</w:t>
      </w:r>
      <w:r>
        <w:rPr>
          <w:rFonts w:hint="eastAsia" w:ascii="宋体" w:hAnsi="宋体" w:eastAsia="宋体" w:cs="宋体"/>
          <w:snapToGrid w:val="0"/>
          <w:color w:val="auto"/>
          <w:kern w:val="0"/>
          <w:sz w:val="24"/>
          <w:szCs w:val="20"/>
          <w:highlight w:val="none"/>
          <w:lang w:val="en-US" w:eastAsia="zh-CN"/>
        </w:rPr>
        <w:t>应留存至最后一期支付进度款时全额扣回。</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1A18493">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val="en-US"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施工单位严格按照实际工程量编制进度款申请，确保数据真实、完整，确保农民工工资每月足额拨付，并确保在项目结算前农民工工资不拖欠）。</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安全生产措施费拨付按照《建设工程工程量清单计价标准》（GB/T50500一2024）执行，参照《关于印发&lt;广东省建设厅建筑工程安全防护、文明施工措施费用管理办法&gt;的通知》支付。承包人应在签订合同后，在项目开工、开通建设工程安措费专用账户、购买安全生产责任保险的前提下向发包人提交安全生产措施费中请，项目预付安全生产措施费总额的50%，其余部分应按照提前安排的原则进行分解，并与工程进度款同期支付。发承包双方在计算应付工程进度款时，预付款</w:t>
      </w:r>
      <w:r>
        <w:rPr>
          <w:rFonts w:hint="eastAsia" w:ascii="宋体" w:hAnsi="宋体" w:eastAsia="宋体" w:cs="宋体"/>
          <w:snapToGrid w:val="0"/>
          <w:color w:val="auto"/>
          <w:kern w:val="0"/>
          <w:sz w:val="24"/>
          <w:szCs w:val="20"/>
          <w:highlight w:val="none"/>
          <w:lang w:val="en-US" w:eastAsia="zh-CN"/>
        </w:rPr>
        <w:t>中</w:t>
      </w:r>
      <w:r>
        <w:rPr>
          <w:rFonts w:hint="eastAsia" w:ascii="宋体" w:hAnsi="宋体" w:eastAsia="宋体" w:cs="宋体"/>
          <w:snapToGrid w:val="0"/>
          <w:color w:val="auto"/>
          <w:kern w:val="0"/>
          <w:sz w:val="24"/>
          <w:szCs w:val="20"/>
          <w:highlight w:val="none"/>
          <w:lang w:eastAsia="zh-CN"/>
        </w:rPr>
        <w:t>不扣回安全生产措施费。安全生产措施费必须专款专用，并由发包人单独拨付到承包人的建设工程安全生产措施费专用账户。</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工程款（预付款+累计支付进度款）支付至合同价款的80%时停止支付，结算审核完成后，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专业</w:t>
      </w:r>
      <w:r>
        <w:rPr>
          <w:rFonts w:hint="eastAsia" w:ascii="宋体" w:hAnsi="宋体" w:eastAsia="宋体" w:cs="宋体"/>
          <w:snapToGrid w:val="0"/>
          <w:color w:val="auto"/>
          <w:kern w:val="0"/>
          <w:sz w:val="24"/>
          <w:szCs w:val="20"/>
          <w:highlight w:val="none"/>
          <w:lang w:eastAsia="zh-CN"/>
        </w:rPr>
        <w:t>暂估价支付方式：</w:t>
      </w:r>
      <w:r>
        <w:rPr>
          <w:rFonts w:hint="eastAsia" w:ascii="宋体" w:hAnsi="宋体" w:eastAsia="宋体" w:cs="宋体"/>
          <w:snapToGrid w:val="0"/>
          <w:color w:val="auto"/>
          <w:kern w:val="0"/>
          <w:sz w:val="24"/>
          <w:szCs w:val="20"/>
          <w:highlight w:val="none"/>
          <w:u w:val="single"/>
          <w:lang w:eastAsia="zh-CN"/>
        </w:rPr>
        <w:t>专业工程暂估价与每个月的工程进度款一并报送，但需要列明详细项目内容，该部分专业工程暂估价按该部分实际完成工程量的50%支付，工程竣工验收合格后支付至8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2"/>
        <w:rPr>
          <w:rFonts w:hint="default"/>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本招标项目施工标准工期为</w:t>
      </w:r>
      <w:r>
        <w:rPr>
          <w:rFonts w:hint="eastAsia" w:ascii="宋体" w:hAnsi="宋体" w:eastAsia="宋体" w:cs="宋体"/>
          <w:bCs/>
          <w:snapToGrid w:val="0"/>
          <w:color w:val="auto"/>
          <w:kern w:val="0"/>
          <w:sz w:val="24"/>
          <w:szCs w:val="24"/>
          <w:highlight w:val="none"/>
          <w:u w:val="single"/>
          <w:lang w:val="en-US" w:eastAsia="zh-CN"/>
        </w:rPr>
        <w:t>390</w:t>
      </w:r>
      <w:r>
        <w:rPr>
          <w:rFonts w:hint="eastAsia" w:ascii="宋体" w:hAnsi="宋体" w:eastAsia="宋体" w:cs="宋体"/>
          <w:bCs/>
          <w:snapToGrid w:val="0"/>
          <w:color w:val="auto"/>
          <w:kern w:val="0"/>
          <w:sz w:val="24"/>
          <w:szCs w:val="24"/>
          <w:highlight w:val="none"/>
          <w:lang w:val="en-US" w:eastAsia="zh-CN"/>
        </w:rPr>
        <w:t>个日历天，招标工期为</w:t>
      </w:r>
      <w:r>
        <w:rPr>
          <w:rFonts w:hint="eastAsia" w:ascii="宋体" w:hAnsi="宋体" w:eastAsia="宋体" w:cs="宋体"/>
          <w:bCs/>
          <w:snapToGrid w:val="0"/>
          <w:color w:val="auto"/>
          <w:kern w:val="0"/>
          <w:sz w:val="24"/>
          <w:szCs w:val="24"/>
          <w:highlight w:val="none"/>
          <w:u w:val="single"/>
          <w:lang w:val="en-US" w:eastAsia="zh-CN"/>
        </w:rPr>
        <w:t>390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，如发包人在日常检查中发现不同步的现象的，视为违约并扣除违约金1000元/每次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0155"/>
      <w:bookmarkStart w:id="183" w:name="_Toc19340"/>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2084"/>
      <w:bookmarkStart w:id="185" w:name="_Toc1629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5158"/>
      <w:bookmarkStart w:id="187" w:name="_Toc1177"/>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233"/>
      <w:bookmarkStart w:id="189" w:name="_Toc2461"/>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8109"/>
      <w:bookmarkStart w:id="191" w:name="_Toc5777"/>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5652"/>
      <w:bookmarkStart w:id="193" w:name="_Toc16340"/>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30781"/>
      <w:bookmarkStart w:id="195" w:name="_Toc8494"/>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31143"/>
      <w:bookmarkStart w:id="197" w:name="_Toc1738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32476"/>
      <w:bookmarkStart w:id="199" w:name="_Toc954"/>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7185"/>
      <w:bookmarkStart w:id="201" w:name="_Toc27898"/>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17281"/>
      <w:bookmarkStart w:id="203" w:name="_Toc29669"/>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31812"/>
      <w:bookmarkStart w:id="205" w:name="_Toc9161"/>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6405"/>
      <w:bookmarkStart w:id="207" w:name="_Toc1825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31813"/>
      <w:bookmarkStart w:id="209"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46"/>
      <w:bookmarkEnd w:id="210"/>
      <w:bookmarkStart w:id="211" w:name="bookmark100"/>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4446"/>
      <w:bookmarkStart w:id="214" w:name="_Toc2170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本招标文件随文另附施工图（电子文件）一套。</w:t>
      </w:r>
    </w:p>
    <w:p w14:paraId="19E440D0">
      <w:pPr>
        <w:spacing w:before="150" w:line="330" w:lineRule="auto"/>
        <w:ind w:left="230" w:firstLine="48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本工程</w:t>
      </w:r>
      <w:r>
        <w:rPr>
          <w:rFonts w:hint="eastAsia" w:ascii="宋体" w:hAnsi="宋体" w:eastAsia="宋体" w:cs="宋体"/>
          <w:color w:val="auto"/>
          <w:spacing w:val="1"/>
          <w:sz w:val="24"/>
          <w:szCs w:val="24"/>
          <w:highlight w:val="none"/>
          <w:lang w:val="en-US" w:eastAsia="zh-CN"/>
        </w:rPr>
        <w:t>图纸</w:t>
      </w:r>
      <w:r>
        <w:rPr>
          <w:rFonts w:hint="eastAsia" w:ascii="宋体" w:hAnsi="宋体" w:eastAsia="宋体" w:cs="宋体"/>
          <w:color w:val="auto"/>
          <w:spacing w:val="1"/>
          <w:sz w:val="24"/>
          <w:szCs w:val="24"/>
          <w:highlight w:val="none"/>
        </w:rPr>
        <w:t>在</w:t>
      </w:r>
      <w:r>
        <w:rPr>
          <w:rFonts w:hint="eastAsia" w:ascii="宋体" w:hAnsi="宋体" w:eastAsia="宋体" w:cs="宋体"/>
          <w:color w:val="auto"/>
          <w:spacing w:val="1"/>
          <w:sz w:val="24"/>
          <w:szCs w:val="24"/>
          <w:highlight w:val="none"/>
          <w:lang w:val="en-US" w:eastAsia="zh-CN"/>
        </w:rPr>
        <w:t>投标截止时间</w:t>
      </w:r>
      <w:r>
        <w:rPr>
          <w:rFonts w:hint="eastAsia" w:ascii="宋体" w:hAnsi="宋体" w:eastAsia="宋体" w:cs="宋体"/>
          <w:color w:val="auto"/>
          <w:spacing w:val="1"/>
          <w:sz w:val="24"/>
          <w:szCs w:val="24"/>
          <w:highlight w:val="none"/>
        </w:rPr>
        <w:t>前</w:t>
      </w:r>
      <w:r>
        <w:rPr>
          <w:rFonts w:hint="eastAsia" w:ascii="宋体" w:hAnsi="宋体" w:eastAsia="宋体" w:cs="宋体"/>
          <w:color w:val="auto"/>
          <w:spacing w:val="1"/>
          <w:sz w:val="24"/>
          <w:szCs w:val="24"/>
          <w:highlight w:val="none"/>
          <w:lang w:eastAsia="zh-CN"/>
        </w:rPr>
        <w:t>7天</w:t>
      </w:r>
      <w:r>
        <w:rPr>
          <w:rFonts w:hint="eastAsia" w:ascii="宋体" w:hAnsi="宋体" w:eastAsia="宋体" w:cs="宋体"/>
          <w:color w:val="auto"/>
          <w:spacing w:val="1"/>
          <w:sz w:val="24"/>
          <w:szCs w:val="24"/>
          <w:highlight w:val="none"/>
          <w:lang w:val="en-US" w:eastAsia="zh-CN"/>
        </w:rPr>
        <w:t>以补充公告的形式在广东省招标投标监管网（http://zbtb.gd.gov.cn）、全国公共资源交易平台 （广东省 · 韶关市）（https://ygp.gdzwfw.gov.cn/ggzy-portal/#/440200/index）网站公布，各投标人可在上述网站上自行下载</w:t>
      </w: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9064"/>
      <w:bookmarkStart w:id="216" w:name="_Toc24419"/>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04C18481">
      <w:pPr>
        <w:widowControl w:val="0"/>
        <w:numPr>
          <w:ilvl w:val="0"/>
          <w:numId w:val="0"/>
        </w:numPr>
        <w:shd w:val="clear" w:color="auto" w:fill="auto"/>
        <w:kinsoku/>
        <w:autoSpaceDE/>
        <w:autoSpaceDN/>
        <w:adjustRightInd/>
        <w:snapToGrid/>
        <w:spacing w:before="117" w:line="312" w:lineRule="auto"/>
        <w:ind w:left="705" w:leftChars="0"/>
        <w:jc w:val="both"/>
        <w:textAlignment w:val="auto"/>
        <w:rPr>
          <w:rFonts w:hint="eastAsia" w:ascii="宋体" w:hAnsi="宋体" w:eastAsia="宋体" w:cs="宋体"/>
          <w:b w:val="0"/>
          <w:bCs w:val="0"/>
          <w:snapToGrid/>
          <w:color w:val="auto"/>
          <w:spacing w:val="-3"/>
          <w:kern w:val="2"/>
          <w:sz w:val="24"/>
          <w:szCs w:val="24"/>
          <w:highlight w:val="none"/>
          <w:lang w:eastAsia="zh-CN"/>
        </w:rPr>
      </w:pPr>
      <w:r>
        <w:rPr>
          <w:rFonts w:hint="eastAsia" w:ascii="宋体" w:hAnsi="宋体" w:eastAsia="宋体" w:cs="宋体"/>
          <w:b w:val="0"/>
          <w:bCs w:val="0"/>
          <w:snapToGrid/>
          <w:color w:val="auto"/>
          <w:spacing w:val="-3"/>
          <w:kern w:val="2"/>
          <w:sz w:val="24"/>
          <w:szCs w:val="24"/>
          <w:highlight w:val="none"/>
          <w:lang w:eastAsia="zh-CN"/>
        </w:rPr>
        <w:t>□本招标文件随文另附招标工程量清单一份。</w:t>
      </w:r>
    </w:p>
    <w:p w14:paraId="44D595E6">
      <w:pPr>
        <w:widowControl w:val="0"/>
        <w:numPr>
          <w:ilvl w:val="0"/>
          <w:numId w:val="0"/>
        </w:numPr>
        <w:shd w:val="clear" w:color="auto" w:fill="auto"/>
        <w:kinsoku/>
        <w:autoSpaceDE/>
        <w:autoSpaceDN/>
        <w:adjustRightInd/>
        <w:snapToGrid/>
        <w:spacing w:before="117" w:line="312" w:lineRule="auto"/>
        <w:ind w:left="705" w:leftChars="0"/>
        <w:jc w:val="both"/>
        <w:textAlignment w:val="auto"/>
        <w:rPr>
          <w:rFonts w:ascii="宋体" w:hAnsi="宋体" w:eastAsia="宋体" w:cs="宋体"/>
          <w:b w:val="0"/>
          <w:bCs w:val="0"/>
          <w:snapToGrid/>
          <w:color w:val="auto"/>
          <w:spacing w:val="-3"/>
          <w:kern w:val="2"/>
          <w:sz w:val="24"/>
          <w:szCs w:val="24"/>
          <w:highlight w:val="none"/>
          <w:lang w:eastAsia="zh-CN"/>
        </w:rPr>
      </w:pPr>
      <w:r>
        <w:rPr>
          <w:rFonts w:hint="eastAsia" w:ascii="宋体" w:hAnsi="宋体" w:eastAsia="宋体" w:cs="宋体"/>
          <w:b w:val="0"/>
          <w:bCs w:val="0"/>
          <w:snapToGrid/>
          <w:color w:val="auto"/>
          <w:spacing w:val="-3"/>
          <w:kern w:val="2"/>
          <w:sz w:val="24"/>
          <w:szCs w:val="24"/>
          <w:highlight w:val="none"/>
          <w:lang w:eastAsia="zh-CN"/>
        </w:rPr>
        <w:t>☑本工程招标工程量清单在</w:t>
      </w:r>
      <w:r>
        <w:rPr>
          <w:rFonts w:hint="eastAsia" w:ascii="宋体" w:hAnsi="宋体" w:eastAsia="宋体" w:cs="宋体"/>
          <w:b w:val="0"/>
          <w:bCs w:val="0"/>
          <w:snapToGrid/>
          <w:color w:val="auto"/>
          <w:spacing w:val="-3"/>
          <w:kern w:val="2"/>
          <w:sz w:val="24"/>
          <w:szCs w:val="24"/>
          <w:highlight w:val="none"/>
          <w:lang w:val="en-US" w:eastAsia="zh-CN"/>
        </w:rPr>
        <w:t>投标截止时间</w:t>
      </w:r>
      <w:r>
        <w:rPr>
          <w:rFonts w:hint="eastAsia" w:ascii="宋体" w:hAnsi="宋体" w:eastAsia="宋体" w:cs="宋体"/>
          <w:b w:val="0"/>
          <w:bCs w:val="0"/>
          <w:snapToGrid/>
          <w:color w:val="auto"/>
          <w:spacing w:val="-3"/>
          <w:kern w:val="2"/>
          <w:sz w:val="24"/>
          <w:szCs w:val="24"/>
          <w:highlight w:val="none"/>
          <w:lang w:eastAsia="zh-CN"/>
        </w:rPr>
        <w:t>前7天</w:t>
      </w:r>
      <w:r>
        <w:rPr>
          <w:rFonts w:hint="eastAsia" w:ascii="宋体" w:hAnsi="宋体" w:eastAsia="宋体" w:cs="宋体"/>
          <w:b w:val="0"/>
          <w:bCs w:val="0"/>
          <w:snapToGrid/>
          <w:color w:val="auto"/>
          <w:spacing w:val="-3"/>
          <w:kern w:val="2"/>
          <w:sz w:val="24"/>
          <w:szCs w:val="24"/>
          <w:highlight w:val="none"/>
          <w:lang w:val="en-US" w:eastAsia="zh-CN"/>
        </w:rPr>
        <w:t>以补充公告的形式在广东省招标投标监管网（http://zbtb.gd.gov.cn）、全国公共资源交易平台 （广东省 · 韶关市）（https://ygp.gdzwfw.gov.cn/ggzy-portal/#/440200/index）网站公布，各投标人可在上述网站上自行下载</w:t>
      </w:r>
    </w:p>
    <w:p w14:paraId="7B802B52">
      <w:pPr>
        <w:spacing w:before="78" w:line="219" w:lineRule="auto"/>
        <w:ind w:left="478" w:firstLine="238" w:firstLineChars="100"/>
        <w:rPr>
          <w:rFonts w:hint="eastAsia" w:ascii="宋体" w:hAnsi="宋体" w:eastAsia="宋体" w:cs="宋体"/>
          <w:color w:val="auto"/>
          <w:sz w:val="24"/>
          <w:szCs w:val="24"/>
          <w:highlight w:val="none"/>
        </w:rPr>
      </w:pPr>
      <w:r>
        <w:rPr>
          <w:rFonts w:ascii="Times New Roman" w:hAnsi="Times New Roman" w:eastAsia="Times New Roman" w:cs="Times New Roman"/>
          <w:b/>
          <w:bCs/>
          <w:snapToGrid/>
          <w:color w:val="auto"/>
          <w:spacing w:val="-1"/>
          <w:kern w:val="2"/>
          <w:sz w:val="24"/>
          <w:szCs w:val="24"/>
          <w:highlight w:val="none"/>
          <w:lang w:eastAsia="zh-CN"/>
        </w:rPr>
        <w:t xml:space="preserve">2.2  </w:t>
      </w:r>
      <w:r>
        <w:rPr>
          <w:rFonts w:ascii="宋体" w:hAnsi="宋体" w:eastAsia="宋体" w:cs="宋体"/>
          <w:snapToGrid/>
          <w:color w:val="auto"/>
          <w:spacing w:val="-1"/>
          <w:kern w:val="2"/>
          <w:sz w:val="24"/>
          <w:szCs w:val="24"/>
          <w:highlight w:val="none"/>
          <w:lang w:eastAsia="zh-CN"/>
        </w:rPr>
        <w:t>本工程按照以下依据编制</w:t>
      </w:r>
      <w:r>
        <w:rPr>
          <w:rFonts w:ascii="宋体" w:hAnsi="宋体" w:eastAsia="宋体" w:cs="宋体"/>
          <w:snapToGrid/>
          <w:color w:val="auto"/>
          <w:spacing w:val="-1"/>
          <w:kern w:val="2"/>
          <w:sz w:val="24"/>
          <w:szCs w:val="24"/>
          <w:highlight w:val="none"/>
          <w:u w:val="single" w:color="auto"/>
          <w:lang w:eastAsia="zh-CN"/>
        </w:rPr>
        <w:t>招标工程量清单</w:t>
      </w:r>
      <w:r>
        <w:rPr>
          <w:rFonts w:ascii="宋体" w:hAnsi="宋体" w:eastAsia="宋体" w:cs="宋体"/>
          <w:snapToGrid/>
          <w:color w:val="auto"/>
          <w:spacing w:val="-1"/>
          <w:kern w:val="2"/>
          <w:sz w:val="24"/>
          <w:szCs w:val="24"/>
          <w:highlight w:val="none"/>
          <w:lang w:eastAsia="zh-CN"/>
        </w:rPr>
        <w:t>、</w:t>
      </w:r>
      <w:r>
        <w:rPr>
          <w:rFonts w:hint="eastAsia" w:ascii="宋体" w:hAnsi="宋体" w:eastAsia="宋体" w:cs="宋体"/>
          <w:snapToGrid/>
          <w:color w:val="auto"/>
          <w:spacing w:val="1"/>
          <w:kern w:val="2"/>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w:t>
      </w:r>
      <w:r>
        <w:rPr>
          <w:rFonts w:hint="eastAsia" w:ascii="宋体" w:hAnsi="宋体" w:eastAsia="宋体" w:cs="宋体"/>
          <w:b/>
          <w:bCs/>
          <w:color w:val="auto"/>
          <w:spacing w:val="-6"/>
          <w:sz w:val="24"/>
          <w:szCs w:val="24"/>
          <w:highlight w:val="none"/>
          <w:u w:val="single"/>
          <w:lang w:val="en-US" w:eastAsia="zh-CN"/>
        </w:rPr>
        <w:t>专业工程</w:t>
      </w:r>
      <w:r>
        <w:rPr>
          <w:rFonts w:hint="eastAsia" w:ascii="宋体" w:hAnsi="宋体" w:eastAsia="宋体" w:cs="宋体"/>
          <w:b/>
          <w:bCs/>
          <w:color w:val="auto"/>
          <w:spacing w:val="-6"/>
          <w:sz w:val="24"/>
          <w:szCs w:val="24"/>
          <w:highlight w:val="none"/>
          <w:u w:val="single"/>
        </w:rPr>
        <w:t>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7"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7"/>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18"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8"/>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19" w:name="bookmark105"/>
      <w:bookmarkEnd w:id="219"/>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40"/>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0" w:name="_Toc24492"/>
      <w:r>
        <w:rPr>
          <w:rFonts w:hint="eastAsia" w:ascii="宋体" w:hAnsi="宋体" w:eastAsia="宋体" w:cs="宋体"/>
          <w:b/>
          <w:bCs/>
          <w:color w:val="auto"/>
          <w:spacing w:val="-4"/>
          <w:sz w:val="24"/>
          <w:szCs w:val="24"/>
          <w:highlight w:val="none"/>
        </w:rPr>
        <w:t>格式二 投标函</w:t>
      </w:r>
      <w:bookmarkEnd w:id="220"/>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1" w:name="bookmark148"/>
      <w:bookmarkEnd w:id="221"/>
      <w:bookmarkStart w:id="222" w:name="_Toc297"/>
      <w:bookmarkStart w:id="223" w:name="_Toc317"/>
      <w:bookmarkStart w:id="224" w:name="_Toc273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2"/>
      <w:bookmarkEnd w:id="223"/>
      <w:bookmarkEnd w:id="224"/>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w:t>
      </w:r>
      <w:r>
        <w:rPr>
          <w:rFonts w:hint="eastAsia" w:ascii="宋体" w:hAnsi="宋体" w:eastAsia="宋体" w:cs="宋体"/>
          <w:color w:val="auto"/>
          <w:spacing w:val="-3"/>
          <w:sz w:val="24"/>
          <w:szCs w:val="24"/>
          <w:highlight w:val="none"/>
          <w:u w:val="none"/>
          <w:lang w:val="en-US" w:eastAsia="zh-CN"/>
        </w:rPr>
        <w:t>专业工程暂估价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5" w:name="OLE_LINK34"/>
      <w:r>
        <w:rPr>
          <w:rFonts w:hint="eastAsia" w:ascii="宋体" w:hAnsi="宋体" w:eastAsia="宋体" w:cs="宋体"/>
          <w:color w:val="auto"/>
          <w:sz w:val="24"/>
          <w:szCs w:val="24"/>
          <w:highlight w:val="none"/>
          <w:u w:val="single"/>
          <w:lang w:val="en-US" w:eastAsia="zh-CN"/>
        </w:rPr>
        <w:t xml:space="preserve">     </w:t>
      </w:r>
      <w:bookmarkEnd w:id="225"/>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6" w:name="_Toc15958"/>
      <w:r>
        <w:rPr>
          <w:rFonts w:hint="eastAsia" w:ascii="宋体" w:hAnsi="宋体" w:eastAsia="宋体" w:cs="宋体"/>
          <w:b/>
          <w:bCs/>
          <w:color w:val="auto"/>
          <w:spacing w:val="-4"/>
          <w:sz w:val="24"/>
          <w:szCs w:val="24"/>
          <w:highlight w:val="none"/>
        </w:rPr>
        <w:t>格式三 各项承诺一览表</w:t>
      </w:r>
      <w:bookmarkEnd w:id="226"/>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7" w:name="bookmark149"/>
      <w:bookmarkEnd w:id="227"/>
      <w:bookmarkStart w:id="228" w:name="_Toc2936"/>
      <w:bookmarkStart w:id="229" w:name="_Toc4767"/>
      <w:bookmarkStart w:id="230" w:name="_Toc10326"/>
      <w:r>
        <w:rPr>
          <w:rFonts w:hint="eastAsia" w:ascii="宋体" w:hAnsi="宋体" w:eastAsia="宋体" w:cs="宋体"/>
          <w:b/>
          <w:bCs/>
          <w:color w:val="auto"/>
          <w:spacing w:val="-5"/>
          <w:sz w:val="30"/>
          <w:szCs w:val="30"/>
          <w:highlight w:val="none"/>
        </w:rPr>
        <w:t>各项承诺一览表</w:t>
      </w:r>
      <w:bookmarkEnd w:id="228"/>
      <w:bookmarkEnd w:id="229"/>
      <w:bookmarkEnd w:id="230"/>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1312"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3473C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C9BB7E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1" w:name="_Toc16537"/>
      <w:r>
        <w:rPr>
          <w:rFonts w:hint="eastAsia" w:ascii="宋体" w:hAnsi="宋体" w:eastAsia="宋体" w:cs="宋体"/>
          <w:b/>
          <w:bCs/>
          <w:color w:val="auto"/>
          <w:spacing w:val="-4"/>
          <w:sz w:val="24"/>
          <w:szCs w:val="24"/>
          <w:highlight w:val="none"/>
        </w:rPr>
        <w:t>格式四 授权委托书</w:t>
      </w:r>
      <w:bookmarkEnd w:id="231"/>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2" w:name="bookmark151"/>
      <w:bookmarkEnd w:id="232"/>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2570" w:hRule="atLeast"/>
        </w:trPr>
        <w:tc>
          <w:tcPr>
            <w:tcW w:w="5600" w:type="dxa"/>
            <w:vAlign w:val="top"/>
          </w:tcPr>
          <w:p w14:paraId="49F11E44">
            <w:pPr>
              <w:pStyle w:val="22"/>
              <w:spacing w:line="245" w:lineRule="auto"/>
              <w:rPr>
                <w:rFonts w:hint="eastAsia" w:ascii="宋体" w:hAnsi="宋体" w:eastAsia="宋体" w:cs="宋体"/>
                <w:color w:val="auto"/>
                <w:highlight w:val="none"/>
              </w:rPr>
            </w:pPr>
          </w:p>
          <w:p w14:paraId="3EAC8CC5">
            <w:pPr>
              <w:pStyle w:val="22"/>
              <w:spacing w:line="245" w:lineRule="auto"/>
              <w:rPr>
                <w:rFonts w:hint="eastAsia" w:ascii="宋体" w:hAnsi="宋体" w:eastAsia="宋体" w:cs="宋体"/>
                <w:color w:val="auto"/>
                <w:highlight w:val="none"/>
              </w:rPr>
            </w:pPr>
          </w:p>
          <w:p w14:paraId="19684FD2">
            <w:pPr>
              <w:pStyle w:val="22"/>
              <w:spacing w:line="245" w:lineRule="auto"/>
              <w:rPr>
                <w:rFonts w:hint="eastAsia" w:ascii="宋体" w:hAnsi="宋体" w:eastAsia="宋体" w:cs="宋体"/>
                <w:color w:val="auto"/>
                <w:highlight w:val="none"/>
              </w:rPr>
            </w:pPr>
          </w:p>
          <w:p w14:paraId="7DA52306">
            <w:pPr>
              <w:pStyle w:val="22"/>
              <w:spacing w:line="245" w:lineRule="auto"/>
              <w:rPr>
                <w:rFonts w:hint="eastAsia" w:ascii="宋体" w:hAnsi="宋体" w:eastAsia="宋体" w:cs="宋体"/>
                <w:color w:val="auto"/>
                <w:highlight w:val="none"/>
              </w:rPr>
            </w:pPr>
          </w:p>
          <w:p w14:paraId="2B4D522A">
            <w:pPr>
              <w:pStyle w:val="22"/>
              <w:spacing w:line="245" w:lineRule="auto"/>
              <w:rPr>
                <w:rFonts w:hint="eastAsia" w:ascii="宋体" w:hAnsi="宋体" w:eastAsia="宋体" w:cs="宋体"/>
                <w:color w:val="auto"/>
                <w:highlight w:val="none"/>
              </w:rPr>
            </w:pPr>
          </w:p>
          <w:p w14:paraId="6375CF52">
            <w:pPr>
              <w:pStyle w:val="22"/>
              <w:spacing w:line="245" w:lineRule="auto"/>
              <w:rPr>
                <w:rFonts w:hint="eastAsia" w:ascii="宋体" w:hAnsi="宋体" w:eastAsia="宋体" w:cs="宋体"/>
                <w:color w:val="auto"/>
                <w:highlight w:val="none"/>
              </w:rPr>
            </w:pPr>
          </w:p>
          <w:p w14:paraId="761F0736">
            <w:pPr>
              <w:pStyle w:val="22"/>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3" w:name="_Toc30394"/>
      <w:r>
        <w:rPr>
          <w:rFonts w:hint="eastAsia" w:ascii="宋体" w:hAnsi="宋体" w:eastAsia="宋体" w:cs="宋体"/>
          <w:b/>
          <w:bCs/>
          <w:color w:val="auto"/>
          <w:spacing w:val="-4"/>
          <w:sz w:val="24"/>
          <w:szCs w:val="24"/>
          <w:highlight w:val="none"/>
        </w:rPr>
        <w:t>格式五 法定代表人身份证明</w:t>
      </w:r>
      <w:bookmarkEnd w:id="233"/>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4" w:name="bookmark152"/>
      <w:bookmarkEnd w:id="234"/>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5" w:name="_Toc5771"/>
      <w:r>
        <w:rPr>
          <w:rFonts w:hint="eastAsia" w:ascii="宋体" w:hAnsi="宋体" w:eastAsia="宋体" w:cs="宋体"/>
          <w:b/>
          <w:bCs/>
          <w:color w:val="auto"/>
          <w:spacing w:val="-4"/>
          <w:sz w:val="24"/>
          <w:szCs w:val="24"/>
          <w:highlight w:val="none"/>
        </w:rPr>
        <w:t>格式六 联合体协议书</w:t>
      </w:r>
      <w:bookmarkEnd w:id="235"/>
    </w:p>
    <w:p w14:paraId="48BC7635">
      <w:pPr>
        <w:spacing w:before="98" w:line="219" w:lineRule="auto"/>
        <w:ind w:left="3638"/>
        <w:rPr>
          <w:rFonts w:hint="eastAsia" w:ascii="宋体" w:hAnsi="宋体" w:eastAsia="宋体" w:cs="宋体"/>
          <w:color w:val="auto"/>
          <w:sz w:val="30"/>
          <w:szCs w:val="30"/>
          <w:highlight w:val="none"/>
        </w:rPr>
      </w:pPr>
      <w:bookmarkStart w:id="236" w:name="bookmark153"/>
      <w:bookmarkEnd w:id="236"/>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7" w:name="_Toc5365"/>
      <w:bookmarkStart w:id="238"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7"/>
      <w:bookmarkEnd w:id="238"/>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39" w:name="_Toc26708"/>
      <w:bookmarkStart w:id="240"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39"/>
      <w:bookmarkEnd w:id="240"/>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1" w:name="bookmark154"/>
      <w:bookmarkEnd w:id="241"/>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2" w:name="_Toc17838"/>
      <w:r>
        <w:rPr>
          <w:rFonts w:hint="eastAsia" w:ascii="宋体" w:hAnsi="宋体" w:eastAsia="宋体" w:cs="宋体"/>
          <w:b/>
          <w:bCs/>
          <w:color w:val="auto"/>
          <w:spacing w:val="-4"/>
          <w:sz w:val="24"/>
          <w:szCs w:val="24"/>
          <w:highlight w:val="none"/>
        </w:rPr>
        <w:t>格式七 投标人基本情况表</w:t>
      </w:r>
      <w:bookmarkEnd w:id="242"/>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2"/>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2"/>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2"/>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2"/>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2"/>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2"/>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2"/>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2"/>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2"/>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2"/>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2"/>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2"/>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2"/>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2"/>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2"/>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2"/>
              <w:spacing w:line="254" w:lineRule="auto"/>
              <w:rPr>
                <w:rFonts w:hint="eastAsia" w:ascii="宋体" w:hAnsi="宋体" w:eastAsia="宋体" w:cs="宋体"/>
                <w:color w:val="auto"/>
                <w:sz w:val="24"/>
                <w:szCs w:val="24"/>
                <w:highlight w:val="none"/>
              </w:rPr>
            </w:pPr>
          </w:p>
          <w:p w14:paraId="02C0E7FA">
            <w:pPr>
              <w:pStyle w:val="22"/>
              <w:spacing w:line="254" w:lineRule="auto"/>
              <w:rPr>
                <w:rFonts w:hint="eastAsia" w:ascii="宋体" w:hAnsi="宋体" w:eastAsia="宋体" w:cs="宋体"/>
                <w:color w:val="auto"/>
                <w:sz w:val="24"/>
                <w:szCs w:val="24"/>
                <w:highlight w:val="none"/>
              </w:rPr>
            </w:pPr>
          </w:p>
          <w:p w14:paraId="1FBAEACC">
            <w:pPr>
              <w:pStyle w:val="22"/>
              <w:spacing w:line="254" w:lineRule="auto"/>
              <w:rPr>
                <w:rFonts w:hint="eastAsia" w:ascii="宋体" w:hAnsi="宋体" w:eastAsia="宋体" w:cs="宋体"/>
                <w:color w:val="auto"/>
                <w:sz w:val="24"/>
                <w:szCs w:val="24"/>
                <w:highlight w:val="none"/>
              </w:rPr>
            </w:pPr>
          </w:p>
          <w:p w14:paraId="64C94A08">
            <w:pPr>
              <w:pStyle w:val="22"/>
              <w:spacing w:line="254" w:lineRule="auto"/>
              <w:rPr>
                <w:rFonts w:hint="eastAsia" w:ascii="宋体" w:hAnsi="宋体" w:eastAsia="宋体" w:cs="宋体"/>
                <w:color w:val="auto"/>
                <w:sz w:val="24"/>
                <w:szCs w:val="24"/>
                <w:highlight w:val="none"/>
              </w:rPr>
            </w:pPr>
          </w:p>
          <w:p w14:paraId="69BBE9A7">
            <w:pPr>
              <w:pStyle w:val="22"/>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2"/>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2"/>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2"/>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2"/>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2"/>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2"/>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2"/>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2"/>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2"/>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2"/>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2"/>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2"/>
              <w:spacing w:line="295" w:lineRule="auto"/>
              <w:rPr>
                <w:rFonts w:hint="eastAsia" w:ascii="宋体" w:hAnsi="宋体" w:eastAsia="宋体" w:cs="宋体"/>
                <w:color w:val="auto"/>
                <w:sz w:val="24"/>
                <w:szCs w:val="24"/>
                <w:highlight w:val="none"/>
              </w:rPr>
            </w:pPr>
          </w:p>
          <w:p w14:paraId="598814F5">
            <w:pPr>
              <w:pStyle w:val="22"/>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2"/>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3" w:name="_Toc5131"/>
      <w:bookmarkStart w:id="244" w:name="_Toc14048"/>
      <w:r>
        <w:rPr>
          <w:rFonts w:hint="eastAsia" w:ascii="宋体" w:hAnsi="宋体" w:eastAsia="宋体" w:cs="宋体"/>
          <w:color w:val="auto"/>
          <w:spacing w:val="4"/>
          <w:sz w:val="18"/>
          <w:szCs w:val="18"/>
          <w:highlight w:val="none"/>
        </w:rPr>
        <w:t>1 ．《投标人基本情况表》后应附以下资料：</w:t>
      </w:r>
      <w:bookmarkEnd w:id="243"/>
      <w:bookmarkEnd w:id="244"/>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5" w:name="_Toc19699"/>
      <w:r>
        <w:rPr>
          <w:rFonts w:hint="eastAsia" w:ascii="宋体" w:hAnsi="宋体" w:eastAsia="宋体" w:cs="宋体"/>
          <w:b/>
          <w:bCs/>
          <w:color w:val="auto"/>
          <w:spacing w:val="-4"/>
          <w:sz w:val="24"/>
          <w:szCs w:val="24"/>
          <w:highlight w:val="none"/>
        </w:rPr>
        <w:t>格式八 项目经理简历表</w:t>
      </w:r>
      <w:bookmarkEnd w:id="245"/>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6" w:name="bookmark89"/>
      <w:bookmarkEnd w:id="246"/>
      <w:bookmarkStart w:id="247" w:name="bookmark156"/>
      <w:bookmarkEnd w:id="247"/>
      <w:bookmarkStart w:id="248" w:name="_Toc24489"/>
      <w:bookmarkStart w:id="249" w:name="_Toc31533"/>
      <w:r>
        <w:rPr>
          <w:rFonts w:hint="eastAsia" w:ascii="宋体" w:hAnsi="宋体" w:eastAsia="宋体" w:cs="宋体"/>
          <w:b/>
          <w:bCs/>
          <w:color w:val="auto"/>
          <w:spacing w:val="-5"/>
          <w:sz w:val="30"/>
          <w:szCs w:val="30"/>
          <w:highlight w:val="none"/>
        </w:rPr>
        <w:t>项目经理简历表</w:t>
      </w:r>
      <w:bookmarkEnd w:id="248"/>
      <w:bookmarkEnd w:id="249"/>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2"/>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2"/>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2"/>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2"/>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2"/>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2"/>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2"/>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2"/>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2"/>
              <w:rPr>
                <w:rFonts w:hint="eastAsia" w:ascii="宋体" w:hAnsi="宋体" w:eastAsia="宋体" w:cs="宋体"/>
                <w:color w:val="auto"/>
                <w:sz w:val="24"/>
                <w:szCs w:val="24"/>
                <w:highlight w:val="none"/>
              </w:rPr>
            </w:pPr>
          </w:p>
        </w:tc>
        <w:tc>
          <w:tcPr>
            <w:tcW w:w="2037" w:type="dxa"/>
            <w:gridSpan w:val="2"/>
            <w:vAlign w:val="top"/>
          </w:tcPr>
          <w:p w14:paraId="78888A3B">
            <w:pPr>
              <w:pStyle w:val="22"/>
              <w:rPr>
                <w:rFonts w:hint="eastAsia" w:ascii="宋体" w:hAnsi="宋体" w:eastAsia="宋体" w:cs="宋体"/>
                <w:color w:val="auto"/>
                <w:sz w:val="24"/>
                <w:szCs w:val="24"/>
                <w:highlight w:val="none"/>
              </w:rPr>
            </w:pPr>
          </w:p>
        </w:tc>
        <w:tc>
          <w:tcPr>
            <w:tcW w:w="2062" w:type="dxa"/>
            <w:vAlign w:val="top"/>
          </w:tcPr>
          <w:p w14:paraId="74289F65">
            <w:pPr>
              <w:pStyle w:val="22"/>
              <w:rPr>
                <w:rFonts w:hint="eastAsia" w:ascii="宋体" w:hAnsi="宋体" w:eastAsia="宋体" w:cs="宋体"/>
                <w:color w:val="auto"/>
                <w:sz w:val="24"/>
                <w:szCs w:val="24"/>
                <w:highlight w:val="none"/>
              </w:rPr>
            </w:pPr>
          </w:p>
        </w:tc>
        <w:tc>
          <w:tcPr>
            <w:tcW w:w="1798" w:type="dxa"/>
            <w:vAlign w:val="top"/>
          </w:tcPr>
          <w:p w14:paraId="22429141">
            <w:pPr>
              <w:pStyle w:val="22"/>
              <w:rPr>
                <w:rFonts w:hint="eastAsia" w:ascii="宋体" w:hAnsi="宋体" w:eastAsia="宋体" w:cs="宋体"/>
                <w:color w:val="auto"/>
                <w:sz w:val="24"/>
                <w:szCs w:val="24"/>
                <w:highlight w:val="none"/>
              </w:rPr>
            </w:pPr>
          </w:p>
        </w:tc>
        <w:tc>
          <w:tcPr>
            <w:tcW w:w="1398" w:type="dxa"/>
            <w:vAlign w:val="top"/>
          </w:tcPr>
          <w:p w14:paraId="0CCA428D">
            <w:pPr>
              <w:pStyle w:val="22"/>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2"/>
              <w:rPr>
                <w:rFonts w:hint="eastAsia" w:ascii="宋体" w:hAnsi="宋体" w:eastAsia="宋体" w:cs="宋体"/>
                <w:color w:val="auto"/>
                <w:sz w:val="24"/>
                <w:szCs w:val="24"/>
                <w:highlight w:val="none"/>
              </w:rPr>
            </w:pPr>
          </w:p>
        </w:tc>
        <w:tc>
          <w:tcPr>
            <w:tcW w:w="2037" w:type="dxa"/>
            <w:gridSpan w:val="2"/>
            <w:vAlign w:val="top"/>
          </w:tcPr>
          <w:p w14:paraId="6061C8EF">
            <w:pPr>
              <w:pStyle w:val="22"/>
              <w:rPr>
                <w:rFonts w:hint="eastAsia" w:ascii="宋体" w:hAnsi="宋体" w:eastAsia="宋体" w:cs="宋体"/>
                <w:color w:val="auto"/>
                <w:sz w:val="24"/>
                <w:szCs w:val="24"/>
                <w:highlight w:val="none"/>
              </w:rPr>
            </w:pPr>
          </w:p>
        </w:tc>
        <w:tc>
          <w:tcPr>
            <w:tcW w:w="2062" w:type="dxa"/>
            <w:vAlign w:val="top"/>
          </w:tcPr>
          <w:p w14:paraId="37C2C8FD">
            <w:pPr>
              <w:pStyle w:val="22"/>
              <w:rPr>
                <w:rFonts w:hint="eastAsia" w:ascii="宋体" w:hAnsi="宋体" w:eastAsia="宋体" w:cs="宋体"/>
                <w:color w:val="auto"/>
                <w:sz w:val="24"/>
                <w:szCs w:val="24"/>
                <w:highlight w:val="none"/>
              </w:rPr>
            </w:pPr>
          </w:p>
        </w:tc>
        <w:tc>
          <w:tcPr>
            <w:tcW w:w="1798" w:type="dxa"/>
            <w:vAlign w:val="top"/>
          </w:tcPr>
          <w:p w14:paraId="35838BEB">
            <w:pPr>
              <w:pStyle w:val="22"/>
              <w:rPr>
                <w:rFonts w:hint="eastAsia" w:ascii="宋体" w:hAnsi="宋体" w:eastAsia="宋体" w:cs="宋体"/>
                <w:color w:val="auto"/>
                <w:sz w:val="24"/>
                <w:szCs w:val="24"/>
                <w:highlight w:val="none"/>
              </w:rPr>
            </w:pPr>
          </w:p>
        </w:tc>
        <w:tc>
          <w:tcPr>
            <w:tcW w:w="1398" w:type="dxa"/>
            <w:vAlign w:val="top"/>
          </w:tcPr>
          <w:p w14:paraId="1A7FF52A">
            <w:pPr>
              <w:pStyle w:val="22"/>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2"/>
              <w:rPr>
                <w:rFonts w:hint="eastAsia" w:ascii="宋体" w:hAnsi="宋体" w:eastAsia="宋体" w:cs="宋体"/>
                <w:color w:val="auto"/>
                <w:sz w:val="24"/>
                <w:szCs w:val="24"/>
                <w:highlight w:val="none"/>
              </w:rPr>
            </w:pPr>
          </w:p>
        </w:tc>
        <w:tc>
          <w:tcPr>
            <w:tcW w:w="2037" w:type="dxa"/>
            <w:gridSpan w:val="2"/>
            <w:vAlign w:val="top"/>
          </w:tcPr>
          <w:p w14:paraId="49395E10">
            <w:pPr>
              <w:pStyle w:val="22"/>
              <w:rPr>
                <w:rFonts w:hint="eastAsia" w:ascii="宋体" w:hAnsi="宋体" w:eastAsia="宋体" w:cs="宋体"/>
                <w:color w:val="auto"/>
                <w:sz w:val="24"/>
                <w:szCs w:val="24"/>
                <w:highlight w:val="none"/>
              </w:rPr>
            </w:pPr>
          </w:p>
        </w:tc>
        <w:tc>
          <w:tcPr>
            <w:tcW w:w="2062" w:type="dxa"/>
            <w:vAlign w:val="top"/>
          </w:tcPr>
          <w:p w14:paraId="38C89432">
            <w:pPr>
              <w:pStyle w:val="22"/>
              <w:rPr>
                <w:rFonts w:hint="eastAsia" w:ascii="宋体" w:hAnsi="宋体" w:eastAsia="宋体" w:cs="宋体"/>
                <w:color w:val="auto"/>
                <w:sz w:val="24"/>
                <w:szCs w:val="24"/>
                <w:highlight w:val="none"/>
              </w:rPr>
            </w:pPr>
          </w:p>
        </w:tc>
        <w:tc>
          <w:tcPr>
            <w:tcW w:w="1798" w:type="dxa"/>
            <w:vAlign w:val="top"/>
          </w:tcPr>
          <w:p w14:paraId="5214B6C3">
            <w:pPr>
              <w:pStyle w:val="22"/>
              <w:rPr>
                <w:rFonts w:hint="eastAsia" w:ascii="宋体" w:hAnsi="宋体" w:eastAsia="宋体" w:cs="宋体"/>
                <w:color w:val="auto"/>
                <w:sz w:val="24"/>
                <w:szCs w:val="24"/>
                <w:highlight w:val="none"/>
              </w:rPr>
            </w:pPr>
          </w:p>
        </w:tc>
        <w:tc>
          <w:tcPr>
            <w:tcW w:w="1398" w:type="dxa"/>
            <w:vAlign w:val="top"/>
          </w:tcPr>
          <w:p w14:paraId="359AD966">
            <w:pPr>
              <w:pStyle w:val="22"/>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2"/>
              <w:rPr>
                <w:rFonts w:hint="eastAsia" w:ascii="宋体" w:hAnsi="宋体" w:eastAsia="宋体" w:cs="宋体"/>
                <w:color w:val="auto"/>
                <w:sz w:val="24"/>
                <w:szCs w:val="24"/>
                <w:highlight w:val="none"/>
              </w:rPr>
            </w:pPr>
          </w:p>
        </w:tc>
        <w:tc>
          <w:tcPr>
            <w:tcW w:w="2037" w:type="dxa"/>
            <w:gridSpan w:val="2"/>
            <w:vAlign w:val="top"/>
          </w:tcPr>
          <w:p w14:paraId="13591C1A">
            <w:pPr>
              <w:pStyle w:val="22"/>
              <w:rPr>
                <w:rFonts w:hint="eastAsia" w:ascii="宋体" w:hAnsi="宋体" w:eastAsia="宋体" w:cs="宋体"/>
                <w:color w:val="auto"/>
                <w:sz w:val="24"/>
                <w:szCs w:val="24"/>
                <w:highlight w:val="none"/>
              </w:rPr>
            </w:pPr>
          </w:p>
        </w:tc>
        <w:tc>
          <w:tcPr>
            <w:tcW w:w="2062" w:type="dxa"/>
            <w:vAlign w:val="top"/>
          </w:tcPr>
          <w:p w14:paraId="7E190888">
            <w:pPr>
              <w:pStyle w:val="22"/>
              <w:rPr>
                <w:rFonts w:hint="eastAsia" w:ascii="宋体" w:hAnsi="宋体" w:eastAsia="宋体" w:cs="宋体"/>
                <w:color w:val="auto"/>
                <w:sz w:val="24"/>
                <w:szCs w:val="24"/>
                <w:highlight w:val="none"/>
              </w:rPr>
            </w:pPr>
          </w:p>
        </w:tc>
        <w:tc>
          <w:tcPr>
            <w:tcW w:w="1798" w:type="dxa"/>
            <w:vAlign w:val="top"/>
          </w:tcPr>
          <w:p w14:paraId="465A33C8">
            <w:pPr>
              <w:pStyle w:val="22"/>
              <w:rPr>
                <w:rFonts w:hint="eastAsia" w:ascii="宋体" w:hAnsi="宋体" w:eastAsia="宋体" w:cs="宋体"/>
                <w:color w:val="auto"/>
                <w:sz w:val="24"/>
                <w:szCs w:val="24"/>
                <w:highlight w:val="none"/>
              </w:rPr>
            </w:pPr>
          </w:p>
        </w:tc>
        <w:tc>
          <w:tcPr>
            <w:tcW w:w="1398" w:type="dxa"/>
            <w:vAlign w:val="top"/>
          </w:tcPr>
          <w:p w14:paraId="3E8CFEF8">
            <w:pPr>
              <w:pStyle w:val="22"/>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0" w:name="_Toc25271"/>
      <w:bookmarkStart w:id="251"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0"/>
      <w:bookmarkEnd w:id="251"/>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的证明（至少1个月，其中必须有2026年7月）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2" w:name="_Toc30661"/>
      <w:r>
        <w:rPr>
          <w:rFonts w:hint="eastAsia" w:ascii="宋体" w:hAnsi="宋体" w:eastAsia="宋体" w:cs="宋体"/>
          <w:b/>
          <w:bCs/>
          <w:color w:val="auto"/>
          <w:spacing w:val="-4"/>
          <w:sz w:val="24"/>
          <w:szCs w:val="24"/>
          <w:highlight w:val="none"/>
        </w:rPr>
        <w:t>格式九 项目经理任职声明</w:t>
      </w:r>
      <w:bookmarkEnd w:id="252"/>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3" w:name="bookmark157"/>
      <w:bookmarkEnd w:id="253"/>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4" w:name="_Toc31071"/>
      <w:r>
        <w:rPr>
          <w:rFonts w:hint="eastAsia" w:ascii="宋体" w:hAnsi="宋体" w:eastAsia="宋体" w:cs="宋体"/>
          <w:b/>
          <w:bCs/>
          <w:color w:val="auto"/>
          <w:spacing w:val="-4"/>
          <w:sz w:val="24"/>
          <w:szCs w:val="24"/>
          <w:highlight w:val="none"/>
        </w:rPr>
        <w:t>格式十 项目技术负责人简历表</w:t>
      </w:r>
      <w:bookmarkEnd w:id="254"/>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5" w:name="_Toc1553"/>
      <w:bookmarkStart w:id="256" w:name="_Toc25712"/>
      <w:r>
        <w:rPr>
          <w:rFonts w:hint="eastAsia" w:ascii="宋体" w:hAnsi="宋体" w:eastAsia="宋体" w:cs="宋体"/>
          <w:b/>
          <w:bCs/>
          <w:color w:val="auto"/>
          <w:spacing w:val="-4"/>
          <w:sz w:val="30"/>
          <w:szCs w:val="30"/>
          <w:highlight w:val="none"/>
        </w:rPr>
        <w:t>项目技术负责人简历表</w:t>
      </w:r>
      <w:bookmarkEnd w:id="255"/>
      <w:bookmarkEnd w:id="256"/>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2"/>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2"/>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2"/>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2"/>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2"/>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2"/>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2"/>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2"/>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2"/>
              <w:rPr>
                <w:rFonts w:hint="eastAsia" w:ascii="宋体" w:hAnsi="宋体" w:eastAsia="宋体" w:cs="宋体"/>
                <w:color w:val="auto"/>
                <w:sz w:val="24"/>
                <w:szCs w:val="24"/>
                <w:highlight w:val="none"/>
              </w:rPr>
            </w:pPr>
          </w:p>
        </w:tc>
        <w:tc>
          <w:tcPr>
            <w:tcW w:w="2021" w:type="dxa"/>
            <w:gridSpan w:val="2"/>
            <w:vAlign w:val="top"/>
          </w:tcPr>
          <w:p w14:paraId="270436EC">
            <w:pPr>
              <w:pStyle w:val="22"/>
              <w:rPr>
                <w:rFonts w:hint="eastAsia" w:ascii="宋体" w:hAnsi="宋体" w:eastAsia="宋体" w:cs="宋体"/>
                <w:color w:val="auto"/>
                <w:sz w:val="24"/>
                <w:szCs w:val="24"/>
                <w:highlight w:val="none"/>
              </w:rPr>
            </w:pPr>
          </w:p>
        </w:tc>
        <w:tc>
          <w:tcPr>
            <w:tcW w:w="2047" w:type="dxa"/>
            <w:vAlign w:val="top"/>
          </w:tcPr>
          <w:p w14:paraId="254FE938">
            <w:pPr>
              <w:pStyle w:val="22"/>
              <w:rPr>
                <w:rFonts w:hint="eastAsia" w:ascii="宋体" w:hAnsi="宋体" w:eastAsia="宋体" w:cs="宋体"/>
                <w:color w:val="auto"/>
                <w:sz w:val="24"/>
                <w:szCs w:val="24"/>
                <w:highlight w:val="none"/>
              </w:rPr>
            </w:pPr>
          </w:p>
        </w:tc>
        <w:tc>
          <w:tcPr>
            <w:tcW w:w="1783" w:type="dxa"/>
            <w:vAlign w:val="top"/>
          </w:tcPr>
          <w:p w14:paraId="355EA15C">
            <w:pPr>
              <w:pStyle w:val="22"/>
              <w:rPr>
                <w:rFonts w:hint="eastAsia" w:ascii="宋体" w:hAnsi="宋体" w:eastAsia="宋体" w:cs="宋体"/>
                <w:color w:val="auto"/>
                <w:sz w:val="24"/>
                <w:szCs w:val="24"/>
                <w:highlight w:val="none"/>
              </w:rPr>
            </w:pPr>
          </w:p>
        </w:tc>
        <w:tc>
          <w:tcPr>
            <w:tcW w:w="1386" w:type="dxa"/>
            <w:vAlign w:val="top"/>
          </w:tcPr>
          <w:p w14:paraId="3A063067">
            <w:pPr>
              <w:pStyle w:val="22"/>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2"/>
              <w:rPr>
                <w:rFonts w:hint="eastAsia" w:ascii="宋体" w:hAnsi="宋体" w:eastAsia="宋体" w:cs="宋体"/>
                <w:color w:val="auto"/>
                <w:sz w:val="24"/>
                <w:szCs w:val="24"/>
                <w:highlight w:val="none"/>
              </w:rPr>
            </w:pPr>
          </w:p>
        </w:tc>
        <w:tc>
          <w:tcPr>
            <w:tcW w:w="2021" w:type="dxa"/>
            <w:gridSpan w:val="2"/>
            <w:vAlign w:val="top"/>
          </w:tcPr>
          <w:p w14:paraId="4FF33181">
            <w:pPr>
              <w:pStyle w:val="22"/>
              <w:rPr>
                <w:rFonts w:hint="eastAsia" w:ascii="宋体" w:hAnsi="宋体" w:eastAsia="宋体" w:cs="宋体"/>
                <w:color w:val="auto"/>
                <w:sz w:val="24"/>
                <w:szCs w:val="24"/>
                <w:highlight w:val="none"/>
              </w:rPr>
            </w:pPr>
          </w:p>
        </w:tc>
        <w:tc>
          <w:tcPr>
            <w:tcW w:w="2047" w:type="dxa"/>
            <w:vAlign w:val="top"/>
          </w:tcPr>
          <w:p w14:paraId="7DB0E2CE">
            <w:pPr>
              <w:pStyle w:val="22"/>
              <w:rPr>
                <w:rFonts w:hint="eastAsia" w:ascii="宋体" w:hAnsi="宋体" w:eastAsia="宋体" w:cs="宋体"/>
                <w:color w:val="auto"/>
                <w:sz w:val="24"/>
                <w:szCs w:val="24"/>
                <w:highlight w:val="none"/>
              </w:rPr>
            </w:pPr>
          </w:p>
        </w:tc>
        <w:tc>
          <w:tcPr>
            <w:tcW w:w="1783" w:type="dxa"/>
            <w:vAlign w:val="top"/>
          </w:tcPr>
          <w:p w14:paraId="026AE2C4">
            <w:pPr>
              <w:pStyle w:val="22"/>
              <w:rPr>
                <w:rFonts w:hint="eastAsia" w:ascii="宋体" w:hAnsi="宋体" w:eastAsia="宋体" w:cs="宋体"/>
                <w:color w:val="auto"/>
                <w:sz w:val="24"/>
                <w:szCs w:val="24"/>
                <w:highlight w:val="none"/>
              </w:rPr>
            </w:pPr>
          </w:p>
        </w:tc>
        <w:tc>
          <w:tcPr>
            <w:tcW w:w="1386" w:type="dxa"/>
            <w:vAlign w:val="top"/>
          </w:tcPr>
          <w:p w14:paraId="371023C5">
            <w:pPr>
              <w:pStyle w:val="22"/>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2"/>
              <w:rPr>
                <w:rFonts w:hint="eastAsia" w:ascii="宋体" w:hAnsi="宋体" w:eastAsia="宋体" w:cs="宋体"/>
                <w:color w:val="auto"/>
                <w:sz w:val="24"/>
                <w:szCs w:val="24"/>
                <w:highlight w:val="none"/>
              </w:rPr>
            </w:pPr>
          </w:p>
        </w:tc>
        <w:tc>
          <w:tcPr>
            <w:tcW w:w="2021" w:type="dxa"/>
            <w:gridSpan w:val="2"/>
            <w:vAlign w:val="top"/>
          </w:tcPr>
          <w:p w14:paraId="5DC4416F">
            <w:pPr>
              <w:pStyle w:val="22"/>
              <w:rPr>
                <w:rFonts w:hint="eastAsia" w:ascii="宋体" w:hAnsi="宋体" w:eastAsia="宋体" w:cs="宋体"/>
                <w:color w:val="auto"/>
                <w:sz w:val="24"/>
                <w:szCs w:val="24"/>
                <w:highlight w:val="none"/>
              </w:rPr>
            </w:pPr>
          </w:p>
        </w:tc>
        <w:tc>
          <w:tcPr>
            <w:tcW w:w="2047" w:type="dxa"/>
            <w:vAlign w:val="top"/>
          </w:tcPr>
          <w:p w14:paraId="2AF0F04E">
            <w:pPr>
              <w:pStyle w:val="22"/>
              <w:rPr>
                <w:rFonts w:hint="eastAsia" w:ascii="宋体" w:hAnsi="宋体" w:eastAsia="宋体" w:cs="宋体"/>
                <w:color w:val="auto"/>
                <w:sz w:val="24"/>
                <w:szCs w:val="24"/>
                <w:highlight w:val="none"/>
              </w:rPr>
            </w:pPr>
          </w:p>
        </w:tc>
        <w:tc>
          <w:tcPr>
            <w:tcW w:w="1783" w:type="dxa"/>
            <w:vAlign w:val="top"/>
          </w:tcPr>
          <w:p w14:paraId="400EE5B7">
            <w:pPr>
              <w:pStyle w:val="22"/>
              <w:rPr>
                <w:rFonts w:hint="eastAsia" w:ascii="宋体" w:hAnsi="宋体" w:eastAsia="宋体" w:cs="宋体"/>
                <w:color w:val="auto"/>
                <w:sz w:val="24"/>
                <w:szCs w:val="24"/>
                <w:highlight w:val="none"/>
              </w:rPr>
            </w:pPr>
          </w:p>
        </w:tc>
        <w:tc>
          <w:tcPr>
            <w:tcW w:w="1386" w:type="dxa"/>
            <w:vAlign w:val="top"/>
          </w:tcPr>
          <w:p w14:paraId="1734BD0B">
            <w:pPr>
              <w:pStyle w:val="22"/>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2"/>
              <w:rPr>
                <w:rFonts w:hint="eastAsia" w:ascii="宋体" w:hAnsi="宋体" w:eastAsia="宋体" w:cs="宋体"/>
                <w:color w:val="auto"/>
                <w:sz w:val="24"/>
                <w:szCs w:val="24"/>
                <w:highlight w:val="none"/>
              </w:rPr>
            </w:pPr>
          </w:p>
        </w:tc>
        <w:tc>
          <w:tcPr>
            <w:tcW w:w="1610" w:type="dxa"/>
            <w:gridSpan w:val="2"/>
            <w:vAlign w:val="top"/>
          </w:tcPr>
          <w:p w14:paraId="698F5787">
            <w:pPr>
              <w:pStyle w:val="22"/>
              <w:rPr>
                <w:rFonts w:hint="eastAsia" w:ascii="宋体" w:hAnsi="宋体" w:eastAsia="宋体" w:cs="宋体"/>
                <w:color w:val="auto"/>
                <w:sz w:val="24"/>
                <w:szCs w:val="24"/>
                <w:highlight w:val="none"/>
              </w:rPr>
            </w:pPr>
          </w:p>
        </w:tc>
        <w:tc>
          <w:tcPr>
            <w:tcW w:w="2021" w:type="dxa"/>
            <w:gridSpan w:val="2"/>
            <w:vAlign w:val="top"/>
          </w:tcPr>
          <w:p w14:paraId="69858A0D">
            <w:pPr>
              <w:pStyle w:val="22"/>
              <w:rPr>
                <w:rFonts w:hint="eastAsia" w:ascii="宋体" w:hAnsi="宋体" w:eastAsia="宋体" w:cs="宋体"/>
                <w:color w:val="auto"/>
                <w:sz w:val="24"/>
                <w:szCs w:val="24"/>
                <w:highlight w:val="none"/>
              </w:rPr>
            </w:pPr>
          </w:p>
        </w:tc>
        <w:tc>
          <w:tcPr>
            <w:tcW w:w="2047" w:type="dxa"/>
            <w:vAlign w:val="top"/>
          </w:tcPr>
          <w:p w14:paraId="2BD7DCDB">
            <w:pPr>
              <w:pStyle w:val="22"/>
              <w:rPr>
                <w:rFonts w:hint="eastAsia" w:ascii="宋体" w:hAnsi="宋体" w:eastAsia="宋体" w:cs="宋体"/>
                <w:color w:val="auto"/>
                <w:sz w:val="24"/>
                <w:szCs w:val="24"/>
                <w:highlight w:val="none"/>
              </w:rPr>
            </w:pPr>
          </w:p>
        </w:tc>
        <w:tc>
          <w:tcPr>
            <w:tcW w:w="1783" w:type="dxa"/>
            <w:vAlign w:val="top"/>
          </w:tcPr>
          <w:p w14:paraId="4D125A3E">
            <w:pPr>
              <w:pStyle w:val="22"/>
              <w:rPr>
                <w:rFonts w:hint="eastAsia" w:ascii="宋体" w:hAnsi="宋体" w:eastAsia="宋体" w:cs="宋体"/>
                <w:color w:val="auto"/>
                <w:sz w:val="24"/>
                <w:szCs w:val="24"/>
                <w:highlight w:val="none"/>
              </w:rPr>
            </w:pPr>
          </w:p>
        </w:tc>
        <w:tc>
          <w:tcPr>
            <w:tcW w:w="1386" w:type="dxa"/>
            <w:vAlign w:val="top"/>
          </w:tcPr>
          <w:p w14:paraId="39C6E406">
            <w:pPr>
              <w:pStyle w:val="22"/>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2"/>
              <w:rPr>
                <w:rFonts w:hint="eastAsia" w:ascii="宋体" w:hAnsi="宋体" w:eastAsia="宋体" w:cs="宋体"/>
                <w:color w:val="auto"/>
                <w:sz w:val="24"/>
                <w:szCs w:val="24"/>
                <w:highlight w:val="none"/>
              </w:rPr>
            </w:pPr>
          </w:p>
        </w:tc>
        <w:tc>
          <w:tcPr>
            <w:tcW w:w="1610" w:type="dxa"/>
            <w:gridSpan w:val="2"/>
            <w:vAlign w:val="top"/>
          </w:tcPr>
          <w:p w14:paraId="51FAB6E2">
            <w:pPr>
              <w:pStyle w:val="22"/>
              <w:rPr>
                <w:rFonts w:hint="eastAsia" w:ascii="宋体" w:hAnsi="宋体" w:eastAsia="宋体" w:cs="宋体"/>
                <w:color w:val="auto"/>
                <w:sz w:val="24"/>
                <w:szCs w:val="24"/>
                <w:highlight w:val="none"/>
              </w:rPr>
            </w:pPr>
          </w:p>
        </w:tc>
        <w:tc>
          <w:tcPr>
            <w:tcW w:w="2021" w:type="dxa"/>
            <w:gridSpan w:val="2"/>
            <w:vAlign w:val="top"/>
          </w:tcPr>
          <w:p w14:paraId="61875FD1">
            <w:pPr>
              <w:pStyle w:val="22"/>
              <w:rPr>
                <w:rFonts w:hint="eastAsia" w:ascii="宋体" w:hAnsi="宋体" w:eastAsia="宋体" w:cs="宋体"/>
                <w:color w:val="auto"/>
                <w:sz w:val="24"/>
                <w:szCs w:val="24"/>
                <w:highlight w:val="none"/>
              </w:rPr>
            </w:pPr>
          </w:p>
        </w:tc>
        <w:tc>
          <w:tcPr>
            <w:tcW w:w="2047" w:type="dxa"/>
            <w:vAlign w:val="top"/>
          </w:tcPr>
          <w:p w14:paraId="404E5FF7">
            <w:pPr>
              <w:pStyle w:val="22"/>
              <w:rPr>
                <w:rFonts w:hint="eastAsia" w:ascii="宋体" w:hAnsi="宋体" w:eastAsia="宋体" w:cs="宋体"/>
                <w:color w:val="auto"/>
                <w:sz w:val="24"/>
                <w:szCs w:val="24"/>
                <w:highlight w:val="none"/>
              </w:rPr>
            </w:pPr>
          </w:p>
        </w:tc>
        <w:tc>
          <w:tcPr>
            <w:tcW w:w="1783" w:type="dxa"/>
            <w:vAlign w:val="top"/>
          </w:tcPr>
          <w:p w14:paraId="6ADD1E7F">
            <w:pPr>
              <w:pStyle w:val="22"/>
              <w:rPr>
                <w:rFonts w:hint="eastAsia" w:ascii="宋体" w:hAnsi="宋体" w:eastAsia="宋体" w:cs="宋体"/>
                <w:color w:val="auto"/>
                <w:sz w:val="24"/>
                <w:szCs w:val="24"/>
                <w:highlight w:val="none"/>
              </w:rPr>
            </w:pPr>
          </w:p>
        </w:tc>
        <w:tc>
          <w:tcPr>
            <w:tcW w:w="1386" w:type="dxa"/>
            <w:vAlign w:val="top"/>
          </w:tcPr>
          <w:p w14:paraId="384217C7">
            <w:pPr>
              <w:pStyle w:val="22"/>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2026年7月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7" w:name="_Toc25235"/>
      <w:r>
        <w:rPr>
          <w:rFonts w:hint="eastAsia" w:ascii="宋体" w:hAnsi="宋体" w:eastAsia="宋体" w:cs="宋体"/>
          <w:b/>
          <w:bCs/>
          <w:color w:val="auto"/>
          <w:spacing w:val="-4"/>
          <w:sz w:val="24"/>
          <w:szCs w:val="24"/>
          <w:highlight w:val="none"/>
        </w:rPr>
        <w:t>格式十一 项目管理机构组成表</w:t>
      </w:r>
      <w:bookmarkEnd w:id="257"/>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58" w:name="bookmark158"/>
      <w:bookmarkEnd w:id="258"/>
      <w:bookmarkStart w:id="259" w:name="_Toc28765"/>
      <w:bookmarkStart w:id="260" w:name="_Toc19973"/>
      <w:r>
        <w:rPr>
          <w:rFonts w:hint="eastAsia" w:ascii="宋体" w:hAnsi="宋体" w:eastAsia="宋体" w:cs="宋体"/>
          <w:b/>
          <w:bCs/>
          <w:color w:val="auto"/>
          <w:spacing w:val="-4"/>
          <w:sz w:val="30"/>
          <w:szCs w:val="30"/>
          <w:highlight w:val="none"/>
        </w:rPr>
        <w:t>项目管理机构组成表</w:t>
      </w:r>
      <w:bookmarkEnd w:id="259"/>
      <w:bookmarkEnd w:id="260"/>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2"/>
              <w:rPr>
                <w:rFonts w:hint="eastAsia" w:ascii="宋体" w:hAnsi="宋体" w:eastAsia="宋体" w:cs="宋体"/>
                <w:color w:val="auto"/>
                <w:sz w:val="24"/>
                <w:szCs w:val="24"/>
                <w:highlight w:val="none"/>
              </w:rPr>
            </w:pPr>
          </w:p>
        </w:tc>
        <w:tc>
          <w:tcPr>
            <w:tcW w:w="1017" w:type="dxa"/>
            <w:vAlign w:val="top"/>
          </w:tcPr>
          <w:p w14:paraId="4EA01CAF">
            <w:pPr>
              <w:pStyle w:val="22"/>
              <w:rPr>
                <w:rFonts w:hint="eastAsia" w:ascii="宋体" w:hAnsi="宋体" w:eastAsia="宋体" w:cs="宋体"/>
                <w:color w:val="auto"/>
                <w:sz w:val="24"/>
                <w:szCs w:val="24"/>
                <w:highlight w:val="none"/>
              </w:rPr>
            </w:pPr>
          </w:p>
        </w:tc>
        <w:tc>
          <w:tcPr>
            <w:tcW w:w="1002" w:type="dxa"/>
            <w:vAlign w:val="top"/>
          </w:tcPr>
          <w:p w14:paraId="784E4E86">
            <w:pPr>
              <w:pStyle w:val="22"/>
              <w:rPr>
                <w:rFonts w:hint="eastAsia" w:ascii="宋体" w:hAnsi="宋体" w:eastAsia="宋体" w:cs="宋体"/>
                <w:color w:val="auto"/>
                <w:sz w:val="24"/>
                <w:szCs w:val="24"/>
                <w:highlight w:val="none"/>
              </w:rPr>
            </w:pPr>
          </w:p>
        </w:tc>
        <w:tc>
          <w:tcPr>
            <w:tcW w:w="1551" w:type="dxa"/>
            <w:vAlign w:val="top"/>
          </w:tcPr>
          <w:p w14:paraId="5F4F3964">
            <w:pPr>
              <w:pStyle w:val="22"/>
              <w:rPr>
                <w:rFonts w:hint="eastAsia" w:ascii="宋体" w:hAnsi="宋体" w:eastAsia="宋体" w:cs="宋体"/>
                <w:color w:val="auto"/>
                <w:sz w:val="24"/>
                <w:szCs w:val="24"/>
                <w:highlight w:val="none"/>
              </w:rPr>
            </w:pPr>
          </w:p>
        </w:tc>
        <w:tc>
          <w:tcPr>
            <w:tcW w:w="1926" w:type="dxa"/>
            <w:vAlign w:val="top"/>
          </w:tcPr>
          <w:p w14:paraId="7E0A4FFA">
            <w:pPr>
              <w:pStyle w:val="22"/>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2"/>
              <w:rPr>
                <w:rFonts w:hint="eastAsia" w:ascii="宋体" w:hAnsi="宋体" w:eastAsia="宋体" w:cs="宋体"/>
                <w:color w:val="auto"/>
                <w:sz w:val="24"/>
                <w:szCs w:val="24"/>
                <w:highlight w:val="none"/>
              </w:rPr>
            </w:pPr>
          </w:p>
        </w:tc>
        <w:tc>
          <w:tcPr>
            <w:tcW w:w="1017" w:type="dxa"/>
            <w:vAlign w:val="top"/>
          </w:tcPr>
          <w:p w14:paraId="13CFB6FB">
            <w:pPr>
              <w:pStyle w:val="22"/>
              <w:rPr>
                <w:rFonts w:hint="eastAsia" w:ascii="宋体" w:hAnsi="宋体" w:eastAsia="宋体" w:cs="宋体"/>
                <w:color w:val="auto"/>
                <w:sz w:val="24"/>
                <w:szCs w:val="24"/>
                <w:highlight w:val="none"/>
              </w:rPr>
            </w:pPr>
          </w:p>
        </w:tc>
        <w:tc>
          <w:tcPr>
            <w:tcW w:w="1002" w:type="dxa"/>
            <w:vAlign w:val="top"/>
          </w:tcPr>
          <w:p w14:paraId="01708B9A">
            <w:pPr>
              <w:pStyle w:val="22"/>
              <w:rPr>
                <w:rFonts w:hint="eastAsia" w:ascii="宋体" w:hAnsi="宋体" w:eastAsia="宋体" w:cs="宋体"/>
                <w:color w:val="auto"/>
                <w:sz w:val="24"/>
                <w:szCs w:val="24"/>
                <w:highlight w:val="none"/>
              </w:rPr>
            </w:pPr>
          </w:p>
        </w:tc>
        <w:tc>
          <w:tcPr>
            <w:tcW w:w="1551" w:type="dxa"/>
            <w:vAlign w:val="top"/>
          </w:tcPr>
          <w:p w14:paraId="2DA12024">
            <w:pPr>
              <w:pStyle w:val="22"/>
              <w:rPr>
                <w:rFonts w:hint="eastAsia" w:ascii="宋体" w:hAnsi="宋体" w:eastAsia="宋体" w:cs="宋体"/>
                <w:color w:val="auto"/>
                <w:sz w:val="24"/>
                <w:szCs w:val="24"/>
                <w:highlight w:val="none"/>
              </w:rPr>
            </w:pPr>
          </w:p>
        </w:tc>
        <w:tc>
          <w:tcPr>
            <w:tcW w:w="1926" w:type="dxa"/>
            <w:vAlign w:val="top"/>
          </w:tcPr>
          <w:p w14:paraId="7E36E9CF">
            <w:pPr>
              <w:pStyle w:val="22"/>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2"/>
              <w:rPr>
                <w:rFonts w:hint="eastAsia" w:ascii="宋体" w:hAnsi="宋体" w:eastAsia="宋体" w:cs="宋体"/>
                <w:color w:val="auto"/>
                <w:sz w:val="24"/>
                <w:szCs w:val="24"/>
                <w:highlight w:val="none"/>
              </w:rPr>
            </w:pPr>
          </w:p>
        </w:tc>
        <w:tc>
          <w:tcPr>
            <w:tcW w:w="1017" w:type="dxa"/>
            <w:vAlign w:val="top"/>
          </w:tcPr>
          <w:p w14:paraId="7B9FA270">
            <w:pPr>
              <w:pStyle w:val="22"/>
              <w:rPr>
                <w:rFonts w:hint="eastAsia" w:ascii="宋体" w:hAnsi="宋体" w:eastAsia="宋体" w:cs="宋体"/>
                <w:color w:val="auto"/>
                <w:sz w:val="24"/>
                <w:szCs w:val="24"/>
                <w:highlight w:val="none"/>
              </w:rPr>
            </w:pPr>
          </w:p>
        </w:tc>
        <w:tc>
          <w:tcPr>
            <w:tcW w:w="1002" w:type="dxa"/>
            <w:vAlign w:val="top"/>
          </w:tcPr>
          <w:p w14:paraId="1060A9BD">
            <w:pPr>
              <w:pStyle w:val="22"/>
              <w:rPr>
                <w:rFonts w:hint="eastAsia" w:ascii="宋体" w:hAnsi="宋体" w:eastAsia="宋体" w:cs="宋体"/>
                <w:color w:val="auto"/>
                <w:sz w:val="24"/>
                <w:szCs w:val="24"/>
                <w:highlight w:val="none"/>
              </w:rPr>
            </w:pPr>
          </w:p>
        </w:tc>
        <w:tc>
          <w:tcPr>
            <w:tcW w:w="1551" w:type="dxa"/>
            <w:vAlign w:val="top"/>
          </w:tcPr>
          <w:p w14:paraId="5301968F">
            <w:pPr>
              <w:pStyle w:val="22"/>
              <w:rPr>
                <w:rFonts w:hint="eastAsia" w:ascii="宋体" w:hAnsi="宋体" w:eastAsia="宋体" w:cs="宋体"/>
                <w:color w:val="auto"/>
                <w:sz w:val="24"/>
                <w:szCs w:val="24"/>
                <w:highlight w:val="none"/>
              </w:rPr>
            </w:pPr>
          </w:p>
        </w:tc>
        <w:tc>
          <w:tcPr>
            <w:tcW w:w="1926" w:type="dxa"/>
            <w:vAlign w:val="top"/>
          </w:tcPr>
          <w:p w14:paraId="6D41F555">
            <w:pPr>
              <w:pStyle w:val="22"/>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2"/>
              <w:rPr>
                <w:rFonts w:hint="eastAsia" w:ascii="宋体" w:hAnsi="宋体" w:eastAsia="宋体" w:cs="宋体"/>
                <w:color w:val="auto"/>
                <w:sz w:val="24"/>
                <w:szCs w:val="24"/>
                <w:highlight w:val="none"/>
              </w:rPr>
            </w:pPr>
          </w:p>
        </w:tc>
        <w:tc>
          <w:tcPr>
            <w:tcW w:w="1017" w:type="dxa"/>
            <w:vAlign w:val="top"/>
          </w:tcPr>
          <w:p w14:paraId="34BD54A5">
            <w:pPr>
              <w:pStyle w:val="22"/>
              <w:rPr>
                <w:rFonts w:hint="eastAsia" w:ascii="宋体" w:hAnsi="宋体" w:eastAsia="宋体" w:cs="宋体"/>
                <w:color w:val="auto"/>
                <w:sz w:val="24"/>
                <w:szCs w:val="24"/>
                <w:highlight w:val="none"/>
              </w:rPr>
            </w:pPr>
          </w:p>
        </w:tc>
        <w:tc>
          <w:tcPr>
            <w:tcW w:w="1002" w:type="dxa"/>
            <w:vAlign w:val="top"/>
          </w:tcPr>
          <w:p w14:paraId="35F0DD07">
            <w:pPr>
              <w:pStyle w:val="22"/>
              <w:rPr>
                <w:rFonts w:hint="eastAsia" w:ascii="宋体" w:hAnsi="宋体" w:eastAsia="宋体" w:cs="宋体"/>
                <w:color w:val="auto"/>
                <w:sz w:val="24"/>
                <w:szCs w:val="24"/>
                <w:highlight w:val="none"/>
              </w:rPr>
            </w:pPr>
          </w:p>
        </w:tc>
        <w:tc>
          <w:tcPr>
            <w:tcW w:w="1551" w:type="dxa"/>
            <w:vAlign w:val="top"/>
          </w:tcPr>
          <w:p w14:paraId="267F23C7">
            <w:pPr>
              <w:pStyle w:val="22"/>
              <w:rPr>
                <w:rFonts w:hint="eastAsia" w:ascii="宋体" w:hAnsi="宋体" w:eastAsia="宋体" w:cs="宋体"/>
                <w:color w:val="auto"/>
                <w:sz w:val="24"/>
                <w:szCs w:val="24"/>
                <w:highlight w:val="none"/>
              </w:rPr>
            </w:pPr>
          </w:p>
        </w:tc>
        <w:tc>
          <w:tcPr>
            <w:tcW w:w="1926" w:type="dxa"/>
            <w:vAlign w:val="top"/>
          </w:tcPr>
          <w:p w14:paraId="20919564">
            <w:pPr>
              <w:pStyle w:val="22"/>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2"/>
              <w:rPr>
                <w:rFonts w:hint="eastAsia" w:ascii="宋体" w:hAnsi="宋体" w:eastAsia="宋体" w:cs="宋体"/>
                <w:color w:val="auto"/>
                <w:sz w:val="24"/>
                <w:szCs w:val="24"/>
                <w:highlight w:val="none"/>
              </w:rPr>
            </w:pPr>
          </w:p>
        </w:tc>
        <w:tc>
          <w:tcPr>
            <w:tcW w:w="1017" w:type="dxa"/>
            <w:vAlign w:val="top"/>
          </w:tcPr>
          <w:p w14:paraId="28C0AB4F">
            <w:pPr>
              <w:pStyle w:val="22"/>
              <w:rPr>
                <w:rFonts w:hint="eastAsia" w:ascii="宋体" w:hAnsi="宋体" w:eastAsia="宋体" w:cs="宋体"/>
                <w:color w:val="auto"/>
                <w:sz w:val="24"/>
                <w:szCs w:val="24"/>
                <w:highlight w:val="none"/>
              </w:rPr>
            </w:pPr>
          </w:p>
        </w:tc>
        <w:tc>
          <w:tcPr>
            <w:tcW w:w="1002" w:type="dxa"/>
            <w:vAlign w:val="top"/>
          </w:tcPr>
          <w:p w14:paraId="4F2CE8AB">
            <w:pPr>
              <w:pStyle w:val="22"/>
              <w:rPr>
                <w:rFonts w:hint="eastAsia" w:ascii="宋体" w:hAnsi="宋体" w:eastAsia="宋体" w:cs="宋体"/>
                <w:color w:val="auto"/>
                <w:sz w:val="24"/>
                <w:szCs w:val="24"/>
                <w:highlight w:val="none"/>
              </w:rPr>
            </w:pPr>
          </w:p>
        </w:tc>
        <w:tc>
          <w:tcPr>
            <w:tcW w:w="1551" w:type="dxa"/>
            <w:vAlign w:val="top"/>
          </w:tcPr>
          <w:p w14:paraId="0E48A750">
            <w:pPr>
              <w:pStyle w:val="22"/>
              <w:rPr>
                <w:rFonts w:hint="eastAsia" w:ascii="宋体" w:hAnsi="宋体" w:eastAsia="宋体" w:cs="宋体"/>
                <w:color w:val="auto"/>
                <w:sz w:val="24"/>
                <w:szCs w:val="24"/>
                <w:highlight w:val="none"/>
              </w:rPr>
            </w:pPr>
          </w:p>
        </w:tc>
        <w:tc>
          <w:tcPr>
            <w:tcW w:w="1926" w:type="dxa"/>
            <w:vAlign w:val="top"/>
          </w:tcPr>
          <w:p w14:paraId="23F7D129">
            <w:pPr>
              <w:pStyle w:val="22"/>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2"/>
              <w:rPr>
                <w:rFonts w:hint="eastAsia" w:ascii="宋体" w:hAnsi="宋体" w:eastAsia="宋体" w:cs="宋体"/>
                <w:color w:val="auto"/>
                <w:sz w:val="24"/>
                <w:szCs w:val="24"/>
                <w:highlight w:val="none"/>
              </w:rPr>
            </w:pPr>
          </w:p>
        </w:tc>
        <w:tc>
          <w:tcPr>
            <w:tcW w:w="1017" w:type="dxa"/>
            <w:vAlign w:val="top"/>
          </w:tcPr>
          <w:p w14:paraId="22CBD8CF">
            <w:pPr>
              <w:pStyle w:val="22"/>
              <w:rPr>
                <w:rFonts w:hint="eastAsia" w:ascii="宋体" w:hAnsi="宋体" w:eastAsia="宋体" w:cs="宋体"/>
                <w:color w:val="auto"/>
                <w:sz w:val="24"/>
                <w:szCs w:val="24"/>
                <w:highlight w:val="none"/>
              </w:rPr>
            </w:pPr>
          </w:p>
        </w:tc>
        <w:tc>
          <w:tcPr>
            <w:tcW w:w="1002" w:type="dxa"/>
            <w:vAlign w:val="top"/>
          </w:tcPr>
          <w:p w14:paraId="215EF28A">
            <w:pPr>
              <w:pStyle w:val="22"/>
              <w:rPr>
                <w:rFonts w:hint="eastAsia" w:ascii="宋体" w:hAnsi="宋体" w:eastAsia="宋体" w:cs="宋体"/>
                <w:color w:val="auto"/>
                <w:sz w:val="24"/>
                <w:szCs w:val="24"/>
                <w:highlight w:val="none"/>
              </w:rPr>
            </w:pPr>
          </w:p>
        </w:tc>
        <w:tc>
          <w:tcPr>
            <w:tcW w:w="1551" w:type="dxa"/>
            <w:vAlign w:val="top"/>
          </w:tcPr>
          <w:p w14:paraId="4B59D5A3">
            <w:pPr>
              <w:pStyle w:val="22"/>
              <w:rPr>
                <w:rFonts w:hint="eastAsia" w:ascii="宋体" w:hAnsi="宋体" w:eastAsia="宋体" w:cs="宋体"/>
                <w:color w:val="auto"/>
                <w:sz w:val="24"/>
                <w:szCs w:val="24"/>
                <w:highlight w:val="none"/>
              </w:rPr>
            </w:pPr>
          </w:p>
        </w:tc>
        <w:tc>
          <w:tcPr>
            <w:tcW w:w="1926" w:type="dxa"/>
            <w:vAlign w:val="top"/>
          </w:tcPr>
          <w:p w14:paraId="6D3A902C">
            <w:pPr>
              <w:pStyle w:val="22"/>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2"/>
              <w:rPr>
                <w:rFonts w:hint="eastAsia" w:ascii="宋体" w:hAnsi="宋体" w:eastAsia="宋体" w:cs="宋体"/>
                <w:color w:val="auto"/>
                <w:sz w:val="24"/>
                <w:szCs w:val="24"/>
                <w:highlight w:val="none"/>
              </w:rPr>
            </w:pPr>
          </w:p>
        </w:tc>
        <w:tc>
          <w:tcPr>
            <w:tcW w:w="1017" w:type="dxa"/>
            <w:vAlign w:val="top"/>
          </w:tcPr>
          <w:p w14:paraId="6F5A3CD1">
            <w:pPr>
              <w:pStyle w:val="22"/>
              <w:rPr>
                <w:rFonts w:hint="eastAsia" w:ascii="宋体" w:hAnsi="宋体" w:eastAsia="宋体" w:cs="宋体"/>
                <w:color w:val="auto"/>
                <w:sz w:val="24"/>
                <w:szCs w:val="24"/>
                <w:highlight w:val="none"/>
              </w:rPr>
            </w:pPr>
          </w:p>
        </w:tc>
        <w:tc>
          <w:tcPr>
            <w:tcW w:w="1002" w:type="dxa"/>
            <w:vAlign w:val="top"/>
          </w:tcPr>
          <w:p w14:paraId="0A3F0696">
            <w:pPr>
              <w:pStyle w:val="22"/>
              <w:rPr>
                <w:rFonts w:hint="eastAsia" w:ascii="宋体" w:hAnsi="宋体" w:eastAsia="宋体" w:cs="宋体"/>
                <w:color w:val="auto"/>
                <w:sz w:val="24"/>
                <w:szCs w:val="24"/>
                <w:highlight w:val="none"/>
              </w:rPr>
            </w:pPr>
          </w:p>
        </w:tc>
        <w:tc>
          <w:tcPr>
            <w:tcW w:w="1551" w:type="dxa"/>
            <w:vAlign w:val="top"/>
          </w:tcPr>
          <w:p w14:paraId="33CF7C3A">
            <w:pPr>
              <w:pStyle w:val="22"/>
              <w:rPr>
                <w:rFonts w:hint="eastAsia" w:ascii="宋体" w:hAnsi="宋体" w:eastAsia="宋体" w:cs="宋体"/>
                <w:color w:val="auto"/>
                <w:sz w:val="24"/>
                <w:szCs w:val="24"/>
                <w:highlight w:val="none"/>
              </w:rPr>
            </w:pPr>
          </w:p>
        </w:tc>
        <w:tc>
          <w:tcPr>
            <w:tcW w:w="1926" w:type="dxa"/>
            <w:vAlign w:val="top"/>
          </w:tcPr>
          <w:p w14:paraId="2FDF9A49">
            <w:pPr>
              <w:pStyle w:val="22"/>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2"/>
              <w:rPr>
                <w:rFonts w:hint="eastAsia" w:ascii="宋体" w:hAnsi="宋体" w:eastAsia="宋体" w:cs="宋体"/>
                <w:color w:val="auto"/>
                <w:sz w:val="24"/>
                <w:szCs w:val="24"/>
                <w:highlight w:val="none"/>
              </w:rPr>
            </w:pPr>
          </w:p>
        </w:tc>
        <w:tc>
          <w:tcPr>
            <w:tcW w:w="1567" w:type="dxa"/>
            <w:vAlign w:val="top"/>
          </w:tcPr>
          <w:p w14:paraId="6B481C93">
            <w:pPr>
              <w:pStyle w:val="22"/>
              <w:rPr>
                <w:rFonts w:hint="eastAsia" w:ascii="宋体" w:hAnsi="宋体" w:eastAsia="宋体" w:cs="宋体"/>
                <w:color w:val="auto"/>
                <w:sz w:val="24"/>
                <w:szCs w:val="24"/>
                <w:highlight w:val="none"/>
              </w:rPr>
            </w:pPr>
          </w:p>
        </w:tc>
        <w:tc>
          <w:tcPr>
            <w:tcW w:w="1017" w:type="dxa"/>
            <w:vAlign w:val="top"/>
          </w:tcPr>
          <w:p w14:paraId="2186C8F6">
            <w:pPr>
              <w:pStyle w:val="22"/>
              <w:rPr>
                <w:rFonts w:hint="eastAsia" w:ascii="宋体" w:hAnsi="宋体" w:eastAsia="宋体" w:cs="宋体"/>
                <w:color w:val="auto"/>
                <w:sz w:val="24"/>
                <w:szCs w:val="24"/>
                <w:highlight w:val="none"/>
              </w:rPr>
            </w:pPr>
          </w:p>
        </w:tc>
        <w:tc>
          <w:tcPr>
            <w:tcW w:w="1002" w:type="dxa"/>
            <w:vAlign w:val="top"/>
          </w:tcPr>
          <w:p w14:paraId="458500AA">
            <w:pPr>
              <w:pStyle w:val="22"/>
              <w:rPr>
                <w:rFonts w:hint="eastAsia" w:ascii="宋体" w:hAnsi="宋体" w:eastAsia="宋体" w:cs="宋体"/>
                <w:color w:val="auto"/>
                <w:sz w:val="24"/>
                <w:szCs w:val="24"/>
                <w:highlight w:val="none"/>
              </w:rPr>
            </w:pPr>
          </w:p>
        </w:tc>
        <w:tc>
          <w:tcPr>
            <w:tcW w:w="1551" w:type="dxa"/>
            <w:vAlign w:val="top"/>
          </w:tcPr>
          <w:p w14:paraId="69CC634F">
            <w:pPr>
              <w:pStyle w:val="22"/>
              <w:rPr>
                <w:rFonts w:hint="eastAsia" w:ascii="宋体" w:hAnsi="宋体" w:eastAsia="宋体" w:cs="宋体"/>
                <w:color w:val="auto"/>
                <w:sz w:val="24"/>
                <w:szCs w:val="24"/>
                <w:highlight w:val="none"/>
              </w:rPr>
            </w:pPr>
          </w:p>
        </w:tc>
        <w:tc>
          <w:tcPr>
            <w:tcW w:w="1926" w:type="dxa"/>
            <w:vAlign w:val="top"/>
          </w:tcPr>
          <w:p w14:paraId="0E3F8717">
            <w:pPr>
              <w:pStyle w:val="22"/>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至少1个月，其中必须有2026年7月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1" w:name="_Toc16480"/>
      <w:r>
        <w:rPr>
          <w:rFonts w:hint="eastAsia" w:ascii="宋体" w:hAnsi="宋体" w:eastAsia="宋体" w:cs="宋体"/>
          <w:b/>
          <w:bCs/>
          <w:color w:val="auto"/>
          <w:spacing w:val="-4"/>
          <w:sz w:val="24"/>
          <w:szCs w:val="24"/>
          <w:highlight w:val="none"/>
        </w:rPr>
        <w:t>格式十二 建造师查询页（有效期+建造师签字）</w:t>
      </w:r>
      <w:bookmarkEnd w:id="261"/>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9B3E9BC">
      <w:pPr>
        <w:spacing w:before="78" w:line="220" w:lineRule="auto"/>
        <w:outlineLvl w:val="2"/>
        <w:rPr>
          <w:rFonts w:hint="eastAsia" w:ascii="宋体" w:hAnsi="宋体" w:eastAsia="宋体" w:cs="宋体"/>
          <w:b/>
          <w:bCs/>
          <w:color w:val="auto"/>
          <w:spacing w:val="-4"/>
          <w:sz w:val="24"/>
          <w:szCs w:val="24"/>
          <w:highlight w:val="none"/>
          <w:lang w:eastAsia="zh-CN"/>
        </w:rPr>
      </w:pPr>
      <w:bookmarkStart w:id="262" w:name="_Toc28779"/>
      <w:r>
        <w:rPr>
          <w:rFonts w:hint="eastAsia" w:ascii="宋体" w:hAnsi="宋体" w:eastAsia="宋体" w:cs="宋体"/>
          <w:b/>
          <w:bCs/>
          <w:color w:val="auto"/>
          <w:spacing w:val="-4"/>
          <w:sz w:val="24"/>
          <w:szCs w:val="24"/>
          <w:highlight w:val="none"/>
          <w:lang w:eastAsia="zh-CN"/>
        </w:rPr>
        <w:t>格式十三：</w:t>
      </w:r>
      <w:r>
        <w:rPr>
          <w:rFonts w:hint="eastAsia" w:ascii="宋体" w:hAnsi="宋体" w:eastAsia="宋体" w:cs="宋体"/>
          <w:b/>
          <w:bCs/>
          <w:color w:val="auto"/>
          <w:spacing w:val="7"/>
          <w:sz w:val="22"/>
          <w:szCs w:val="22"/>
          <w:highlight w:val="none"/>
          <w:lang w:eastAsia="zh-CN"/>
        </w:rPr>
        <w:t>危险性较大的分部分项工程清单及超过一定规模的危险性较大的</w:t>
      </w:r>
      <w:r>
        <w:rPr>
          <w:rFonts w:hint="eastAsia" w:ascii="宋体" w:hAnsi="宋体" w:eastAsia="宋体" w:cs="宋体"/>
          <w:b/>
          <w:bCs/>
          <w:color w:val="auto"/>
          <w:spacing w:val="5"/>
          <w:sz w:val="22"/>
          <w:szCs w:val="22"/>
          <w:highlight w:val="none"/>
          <w:lang w:eastAsia="zh-CN"/>
        </w:rPr>
        <w:t>分部分项工程清单</w:t>
      </w:r>
      <w:bookmarkEnd w:id="262"/>
    </w:p>
    <w:p w14:paraId="1ED3D51C">
      <w:pPr>
        <w:spacing w:line="269" w:lineRule="auto"/>
        <w:rPr>
          <w:rFonts w:hint="eastAsia" w:ascii="宋体" w:hAnsi="宋体" w:eastAsia="宋体" w:cs="宋体"/>
          <w:color w:val="auto"/>
          <w:highlight w:val="none"/>
          <w:lang w:eastAsia="zh-CN"/>
        </w:rPr>
      </w:pPr>
    </w:p>
    <w:p w14:paraId="3915C3A6">
      <w:pPr>
        <w:tabs>
          <w:tab w:val="left" w:pos="2940"/>
        </w:tabs>
        <w:spacing w:before="101" w:line="377" w:lineRule="auto"/>
        <w:ind w:left="3179" w:right="41" w:hanging="3133"/>
        <w:rPr>
          <w:rFonts w:hint="eastAsia" w:ascii="宋体" w:hAnsi="宋体" w:eastAsia="宋体" w:cs="宋体"/>
          <w:color w:val="auto"/>
          <w:sz w:val="31"/>
          <w:szCs w:val="31"/>
          <w:highlight w:val="none"/>
          <w:lang w:eastAsia="zh-CN"/>
        </w:rPr>
      </w:pPr>
      <w:bookmarkStart w:id="263" w:name="bookmark160"/>
      <w:bookmarkEnd w:id="263"/>
      <w:bookmarkStart w:id="264" w:name="OLE_LINK41"/>
      <w:r>
        <w:rPr>
          <w:rFonts w:hint="eastAsia" w:ascii="宋体" w:hAnsi="宋体" w:eastAsia="宋体" w:cs="宋体"/>
          <w:b/>
          <w:bCs/>
          <w:color w:val="auto"/>
          <w:spacing w:val="7"/>
          <w:sz w:val="31"/>
          <w:szCs w:val="31"/>
          <w:highlight w:val="none"/>
          <w:lang w:eastAsia="zh-CN"/>
        </w:rPr>
        <w:t>危险性较大的分部分项工程清单及超过一定规模的危险性较大的</w:t>
      </w:r>
      <w:r>
        <w:rPr>
          <w:rFonts w:hint="eastAsia" w:ascii="宋体" w:hAnsi="宋体" w:eastAsia="宋体" w:cs="宋体"/>
          <w:b/>
          <w:bCs/>
          <w:color w:val="auto"/>
          <w:spacing w:val="5"/>
          <w:sz w:val="31"/>
          <w:szCs w:val="31"/>
          <w:highlight w:val="none"/>
          <w:lang w:eastAsia="zh-CN"/>
        </w:rPr>
        <w:t>分部分项工程清单</w:t>
      </w:r>
    </w:p>
    <w:bookmarkEnd w:id="264"/>
    <w:p w14:paraId="56F6E4DF">
      <w:pPr>
        <w:spacing w:before="6" w:line="326" w:lineRule="auto"/>
        <w:ind w:left="5"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1、根据中华人民共和国住房和城乡建设部令第37号《危险性较大的分部分项工程</w:t>
      </w:r>
      <w:r>
        <w:rPr>
          <w:rFonts w:hint="eastAsia" w:ascii="宋体" w:hAnsi="宋体" w:eastAsia="宋体" w:cs="宋体"/>
          <w:color w:val="auto"/>
          <w:spacing w:val="-2"/>
          <w:sz w:val="24"/>
          <w:szCs w:val="24"/>
          <w:highlight w:val="none"/>
          <w:lang w:eastAsia="zh-CN"/>
        </w:rPr>
        <w:t>安全管理规定》（以下简称“37号文</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11"/>
          <w:sz w:val="24"/>
          <w:szCs w:val="24"/>
          <w:highlight w:val="none"/>
          <w:lang w:eastAsia="zh-CN"/>
        </w:rPr>
        <w:t>），</w:t>
      </w:r>
      <w:r>
        <w:rPr>
          <w:rFonts w:hint="eastAsia" w:ascii="宋体" w:hAnsi="宋体" w:eastAsia="宋体" w:cs="宋体"/>
          <w:color w:val="auto"/>
          <w:spacing w:val="-2"/>
          <w:sz w:val="24"/>
          <w:szCs w:val="24"/>
          <w:highlight w:val="none"/>
          <w:lang w:eastAsia="zh-CN"/>
        </w:rPr>
        <w:t>投标人在投标时须补充完善危大工程清单并</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明确相应的安全管理措施。</w:t>
      </w:r>
    </w:p>
    <w:p w14:paraId="039C7E0B">
      <w:pPr>
        <w:spacing w:before="208" w:line="326" w:lineRule="auto"/>
        <w:ind w:left="1" w:firstLine="48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lang w:eastAsia="zh-CN"/>
        </w:rPr>
        <w:t>险性较大的分部分项工程清单</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”中与</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本招标项目相关的清单项，具体详见第5点“打</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”标识。</w:t>
      </w:r>
    </w:p>
    <w:p w14:paraId="62B353C8">
      <w:pPr>
        <w:spacing w:before="209" w:line="299" w:lineRule="auto"/>
        <w:ind w:left="3" w:right="72" w:firstLine="48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（1）投标单位同意建设单位在清单中标识的该</w:t>
      </w:r>
      <w:r>
        <w:rPr>
          <w:rFonts w:hint="eastAsia" w:ascii="宋体" w:hAnsi="宋体" w:eastAsia="宋体" w:cs="宋体"/>
          <w:color w:val="auto"/>
          <w:spacing w:val="-4"/>
          <w:sz w:val="24"/>
          <w:szCs w:val="24"/>
          <w:highlight w:val="none"/>
          <w:lang w:eastAsia="zh-CN"/>
        </w:rPr>
        <w:t>项请在对应项打“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w:t>
      </w:r>
      <w:r>
        <w:rPr>
          <w:rFonts w:hint="eastAsia" w:ascii="宋体" w:hAnsi="宋体" w:eastAsia="宋体" w:cs="宋体"/>
          <w:color w:val="auto"/>
          <w:spacing w:val="-1"/>
          <w:sz w:val="24"/>
          <w:szCs w:val="24"/>
          <w:highlight w:val="none"/>
          <w:lang w:eastAsia="zh-CN"/>
        </w:rPr>
        <w:t>投标文件中提供相应的安全管理措施。</w:t>
      </w:r>
    </w:p>
    <w:p w14:paraId="47A0F5B2">
      <w:pPr>
        <w:spacing w:before="208" w:line="299" w:lineRule="auto"/>
        <w:ind w:left="2" w:right="72" w:firstLine="489"/>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（2）投标单位对清单中认为需要补充的该项请</w:t>
      </w:r>
      <w:r>
        <w:rPr>
          <w:rFonts w:hint="eastAsia" w:ascii="宋体" w:hAnsi="宋体" w:eastAsia="宋体" w:cs="宋体"/>
          <w:color w:val="auto"/>
          <w:spacing w:val="-4"/>
          <w:sz w:val="24"/>
          <w:szCs w:val="24"/>
          <w:highlight w:val="none"/>
          <w:lang w:eastAsia="zh-CN"/>
        </w:rPr>
        <w:t>在对应项打“</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”标识，并与投标</w:t>
      </w:r>
      <w:r>
        <w:rPr>
          <w:rFonts w:hint="eastAsia" w:ascii="宋体" w:hAnsi="宋体" w:eastAsia="宋体" w:cs="宋体"/>
          <w:color w:val="auto"/>
          <w:spacing w:val="-1"/>
          <w:sz w:val="24"/>
          <w:szCs w:val="24"/>
          <w:highlight w:val="none"/>
          <w:lang w:eastAsia="zh-CN"/>
        </w:rPr>
        <w:t>文件中提供相应的安全管理措施。</w:t>
      </w:r>
    </w:p>
    <w:p w14:paraId="1ED95E01">
      <w:pPr>
        <w:spacing w:before="210" w:line="300" w:lineRule="auto"/>
        <w:ind w:right="72" w:firstLine="49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（3）投标单位不同意建设单位在清单中标识的该项请在对应项打“</w:t>
      </w:r>
      <w:r>
        <w:rPr>
          <w:rFonts w:hint="eastAsia" w:ascii="宋体" w:hAnsi="宋体" w:eastAsia="宋体" w:cs="宋体"/>
          <w:color w:val="auto"/>
          <w:spacing w:val="-66"/>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”标识，并</w:t>
      </w:r>
      <w:r>
        <w:rPr>
          <w:rFonts w:hint="eastAsia" w:ascii="宋体" w:hAnsi="宋体" w:eastAsia="宋体" w:cs="宋体"/>
          <w:color w:val="auto"/>
          <w:spacing w:val="-1"/>
          <w:sz w:val="24"/>
          <w:szCs w:val="24"/>
          <w:highlight w:val="none"/>
          <w:lang w:eastAsia="zh-CN"/>
        </w:rPr>
        <w:t>在备注栏填上相关说明。</w:t>
      </w:r>
    </w:p>
    <w:p w14:paraId="6CF5B203">
      <w:pPr>
        <w:spacing w:before="207" w:line="371" w:lineRule="auto"/>
        <w:ind w:firstLine="484"/>
        <w:jc w:val="both"/>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4"/>
          <w:sz w:val="24"/>
          <w:szCs w:val="24"/>
          <w:highlight w:val="none"/>
          <w:u w:val="single"/>
          <w:lang w:eastAsia="zh-CN"/>
        </w:rPr>
        <w:t>3、投标单位应当在投标时根据招标人提供的下述第5点清单，</w:t>
      </w:r>
      <w:r>
        <w:rPr>
          <w:rFonts w:hint="eastAsia" w:ascii="宋体" w:hAnsi="宋体" w:eastAsia="宋体" w:cs="宋体"/>
          <w:b/>
          <w:bCs/>
          <w:color w:val="auto"/>
          <w:spacing w:val="-5"/>
          <w:sz w:val="24"/>
          <w:szCs w:val="24"/>
          <w:highlight w:val="none"/>
          <w:u w:val="single"/>
          <w:lang w:eastAsia="zh-CN"/>
        </w:rPr>
        <w:t>在投标施工组织中回</w:t>
      </w:r>
      <w:r>
        <w:rPr>
          <w:rFonts w:hint="eastAsia" w:ascii="宋体" w:hAnsi="宋体" w:eastAsia="宋体" w:cs="宋体"/>
          <w:b/>
          <w:bCs/>
          <w:color w:val="auto"/>
          <w:spacing w:val="-4"/>
          <w:sz w:val="24"/>
          <w:szCs w:val="24"/>
          <w:highlight w:val="none"/>
          <w:u w:val="single"/>
          <w:lang w:eastAsia="zh-CN"/>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lang w:eastAsia="zh-CN"/>
        </w:rPr>
        <w:t>的工作</w:t>
      </w:r>
      <w:r>
        <w:rPr>
          <w:rFonts w:hint="eastAsia" w:ascii="宋体" w:hAnsi="宋体" w:eastAsia="宋体" w:cs="宋体"/>
          <w:b/>
          <w:bCs/>
          <w:color w:val="auto"/>
          <w:spacing w:val="-2"/>
          <w:sz w:val="24"/>
          <w:szCs w:val="24"/>
          <w:highlight w:val="none"/>
          <w:u w:val="single"/>
          <w:lang w:eastAsia="zh-CN"/>
        </w:rPr>
        <w:t>量，投标单位回应的危大工程清单该部分的页数应控制在3页内）</w:t>
      </w:r>
    </w:p>
    <w:p w14:paraId="1027DEEA">
      <w:pPr>
        <w:spacing w:before="33" w:line="326" w:lineRule="auto"/>
        <w:ind w:left="1" w:firstLine="478"/>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4、对于超过一定规模的危大工程，中标单位应当组织召开</w:t>
      </w:r>
      <w:r>
        <w:rPr>
          <w:rFonts w:hint="eastAsia" w:ascii="宋体" w:hAnsi="宋体" w:eastAsia="宋体" w:cs="宋体"/>
          <w:color w:val="auto"/>
          <w:spacing w:val="-1"/>
          <w:sz w:val="24"/>
          <w:szCs w:val="24"/>
          <w:highlight w:val="none"/>
          <w:lang w:eastAsia="zh-CN"/>
        </w:rPr>
        <w:t>专家论证会对专项施工</w:t>
      </w:r>
      <w:r>
        <w:rPr>
          <w:rFonts w:hint="eastAsia" w:ascii="宋体" w:hAnsi="宋体" w:eastAsia="宋体" w:cs="宋体"/>
          <w:color w:val="auto"/>
          <w:spacing w:val="-2"/>
          <w:sz w:val="24"/>
          <w:szCs w:val="24"/>
          <w:highlight w:val="none"/>
          <w:lang w:eastAsia="zh-CN"/>
        </w:rPr>
        <w:t>方案进行论证。实行施工总承包的，由施工总承包单位组织召开专家论证会。专家论证</w:t>
      </w:r>
      <w:r>
        <w:rPr>
          <w:rFonts w:hint="eastAsia" w:ascii="宋体" w:hAnsi="宋体" w:eastAsia="宋体" w:cs="宋体"/>
          <w:color w:val="auto"/>
          <w:spacing w:val="-1"/>
          <w:sz w:val="24"/>
          <w:szCs w:val="24"/>
          <w:highlight w:val="none"/>
          <w:lang w:eastAsia="zh-CN"/>
        </w:rPr>
        <w:t>前专项施工方案应当通过施工总承包单位审核和总监理工程师审查。</w:t>
      </w:r>
    </w:p>
    <w:p w14:paraId="06DEB153">
      <w:pPr>
        <w:spacing w:before="208" w:line="301" w:lineRule="auto"/>
        <w:ind w:firstLine="484"/>
        <w:rPr>
          <w:rFonts w:hint="eastAsia" w:ascii="宋体" w:hAnsi="宋体" w:eastAsia="宋体" w:cs="宋体"/>
          <w:color w:val="auto"/>
          <w:spacing w:val="-4"/>
          <w:sz w:val="24"/>
          <w:szCs w:val="24"/>
          <w:highlight w:val="none"/>
          <w:lang w:eastAsia="zh-CN"/>
        </w:rPr>
      </w:pPr>
      <w:r>
        <w:rPr>
          <w:rFonts w:hint="eastAsia" w:ascii="宋体" w:hAnsi="宋体" w:eastAsia="宋体" w:cs="宋体"/>
          <w:color w:val="auto"/>
          <w:spacing w:val="2"/>
          <w:sz w:val="24"/>
          <w:szCs w:val="24"/>
          <w:highlight w:val="none"/>
          <w:lang w:eastAsia="zh-CN"/>
        </w:rPr>
        <w:t>5、危险性较大的分部分项工程清单及超过一</w:t>
      </w:r>
      <w:r>
        <w:rPr>
          <w:rFonts w:hint="eastAsia" w:ascii="宋体" w:hAnsi="宋体" w:eastAsia="宋体" w:cs="宋体"/>
          <w:color w:val="auto"/>
          <w:spacing w:val="1"/>
          <w:sz w:val="24"/>
          <w:szCs w:val="24"/>
          <w:highlight w:val="none"/>
          <w:lang w:eastAsia="zh-CN"/>
        </w:rPr>
        <w:t>定规模的危险性较大的分部分项工程</w:t>
      </w:r>
      <w:r>
        <w:rPr>
          <w:rFonts w:hint="eastAsia" w:ascii="宋体" w:hAnsi="宋体" w:eastAsia="宋体" w:cs="宋体"/>
          <w:color w:val="auto"/>
          <w:spacing w:val="-4"/>
          <w:sz w:val="24"/>
          <w:szCs w:val="24"/>
          <w:highlight w:val="none"/>
          <w:lang w:eastAsia="zh-CN"/>
        </w:rPr>
        <w:t>清单</w:t>
      </w:r>
    </w:p>
    <w:p w14:paraId="5E35F1C5">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00621CB4">
      <w:pPr>
        <w:spacing w:before="40"/>
        <w:rPr>
          <w:rFonts w:hint="eastAsia" w:ascii="宋体" w:hAnsi="宋体" w:eastAsia="宋体" w:cs="宋体"/>
          <w:color w:val="auto"/>
          <w:highlight w:val="none"/>
          <w:lang w:eastAsia="zh-CN"/>
        </w:rPr>
      </w:pPr>
    </w:p>
    <w:tbl>
      <w:tblPr>
        <w:tblStyle w:val="14"/>
        <w:tblW w:w="937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51"/>
        <w:gridCol w:w="1423"/>
        <w:gridCol w:w="1423"/>
        <w:gridCol w:w="1180"/>
      </w:tblGrid>
      <w:tr w14:paraId="27778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2664ABEC">
            <w:pPr>
              <w:spacing w:before="133" w:line="220" w:lineRule="auto"/>
              <w:ind w:firstLine="235" w:firstLineChars="100"/>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3"/>
                <w:sz w:val="24"/>
                <w:szCs w:val="24"/>
                <w:highlight w:val="none"/>
                <w:lang w:eastAsia="zh-CN"/>
              </w:rPr>
              <w:t>一、危险性较大的分部分项工程清单</w:t>
            </w:r>
          </w:p>
        </w:tc>
        <w:tc>
          <w:tcPr>
            <w:tcW w:w="1423" w:type="dxa"/>
            <w:noWrap w:val="0"/>
            <w:vAlign w:val="top"/>
          </w:tcPr>
          <w:p w14:paraId="37B552CD">
            <w:pPr>
              <w:spacing w:before="133" w:line="221" w:lineRule="auto"/>
              <w:ind w:left="206"/>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423" w:type="dxa"/>
            <w:noWrap w:val="0"/>
            <w:vAlign w:val="top"/>
          </w:tcPr>
          <w:p w14:paraId="65379C41">
            <w:pPr>
              <w:spacing w:before="133" w:line="221" w:lineRule="auto"/>
              <w:ind w:left="205"/>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1180" w:type="dxa"/>
            <w:noWrap w:val="0"/>
            <w:vAlign w:val="top"/>
          </w:tcPr>
          <w:p w14:paraId="15B427C1">
            <w:pPr>
              <w:spacing w:before="133" w:line="222" w:lineRule="auto"/>
              <w:ind w:left="36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09BD1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4C7AA4F8">
            <w:pPr>
              <w:spacing w:before="128" w:line="221" w:lineRule="auto"/>
              <w:ind w:left="12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423" w:type="dxa"/>
            <w:noWrap w:val="0"/>
            <w:vAlign w:val="top"/>
          </w:tcPr>
          <w:p w14:paraId="6E4983B3">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5" w:name="OLE_LINK39"/>
            <w:r>
              <w:rPr>
                <w:rFonts w:hint="eastAsia" w:ascii="宋体" w:hAnsi="宋体" w:eastAsia="宋体" w:cs="宋体"/>
                <w:color w:val="auto"/>
                <w:spacing w:val="5"/>
                <w:sz w:val="24"/>
                <w:szCs w:val="24"/>
                <w:highlight w:val="none"/>
              </w:rPr>
              <w:t xml:space="preserve"> </w:t>
            </w:r>
            <w:bookmarkEnd w:id="265"/>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6504C42">
            <w:pPr>
              <w:spacing w:before="128" w:line="223" w:lineRule="auto"/>
              <w:ind w:left="367"/>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12E7FC2">
            <w:pPr>
              <w:rPr>
                <w:rFonts w:hint="eastAsia" w:ascii="宋体" w:hAnsi="宋体" w:eastAsia="宋体" w:cs="宋体"/>
                <w:color w:val="auto"/>
                <w:highlight w:val="none"/>
              </w:rPr>
            </w:pPr>
          </w:p>
        </w:tc>
      </w:tr>
      <w:tr w14:paraId="40B50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2B6660F3">
            <w:pPr>
              <w:spacing w:before="129" w:line="328" w:lineRule="auto"/>
              <w:ind w:left="135" w:right="68" w:hanging="8"/>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4"/>
                <w:sz w:val="24"/>
                <w:szCs w:val="24"/>
                <w:highlight w:val="none"/>
                <w:lang w:eastAsia="zh-CN"/>
              </w:rPr>
              <w:t>（一）开挖深度超过</w:t>
            </w:r>
            <w:r>
              <w:rPr>
                <w:rFonts w:hint="eastAsia" w:ascii="宋体" w:hAnsi="宋体" w:eastAsia="宋体" w:cs="宋体"/>
                <w:color w:val="auto"/>
                <w:spacing w:val="-2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3m（含</w:t>
            </w:r>
            <w:r>
              <w:rPr>
                <w:rFonts w:hint="eastAsia" w:ascii="宋体" w:hAnsi="宋体" w:eastAsia="宋体" w:cs="宋体"/>
                <w:color w:val="auto"/>
                <w:spacing w:val="-46"/>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3m）的基坑（槽）</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的土方开挖、支护、降水工程。</w:t>
            </w:r>
          </w:p>
        </w:tc>
        <w:tc>
          <w:tcPr>
            <w:tcW w:w="1423" w:type="dxa"/>
            <w:noWrap w:val="0"/>
            <w:vAlign w:val="top"/>
          </w:tcPr>
          <w:p w14:paraId="454CCE74">
            <w:pPr>
              <w:spacing w:line="297" w:lineRule="auto"/>
              <w:rPr>
                <w:rFonts w:hint="eastAsia" w:ascii="宋体" w:hAnsi="宋体" w:eastAsia="宋体" w:cs="宋体"/>
                <w:color w:val="auto"/>
                <w:highlight w:val="none"/>
                <w:lang w:eastAsia="zh-CN"/>
              </w:rPr>
            </w:pPr>
          </w:p>
          <w:p w14:paraId="2C0340FD">
            <w:pPr>
              <w:spacing w:before="78" w:line="223" w:lineRule="auto"/>
              <w:ind w:left="396"/>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6AD26DA">
            <w:pPr>
              <w:spacing w:line="297" w:lineRule="auto"/>
              <w:rPr>
                <w:rFonts w:hint="eastAsia" w:ascii="宋体" w:hAnsi="宋体" w:eastAsia="宋体" w:cs="宋体"/>
                <w:color w:val="auto"/>
                <w:highlight w:val="none"/>
              </w:rPr>
            </w:pPr>
          </w:p>
          <w:p w14:paraId="76A13AF5">
            <w:pPr>
              <w:spacing w:before="78" w:line="223" w:lineRule="auto"/>
              <w:ind w:left="367"/>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5B66C5A">
            <w:pPr>
              <w:rPr>
                <w:rFonts w:hint="eastAsia" w:ascii="宋体" w:hAnsi="宋体" w:eastAsia="宋体" w:cs="宋体"/>
                <w:color w:val="auto"/>
                <w:highlight w:val="none"/>
              </w:rPr>
            </w:pPr>
          </w:p>
        </w:tc>
      </w:tr>
      <w:tr w14:paraId="7EE33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8" w:hRule="atLeast"/>
        </w:trPr>
        <w:tc>
          <w:tcPr>
            <w:tcW w:w="5351" w:type="dxa"/>
            <w:noWrap w:val="0"/>
            <w:vAlign w:val="top"/>
          </w:tcPr>
          <w:p w14:paraId="3458DB6F">
            <w:pPr>
              <w:spacing w:before="132" w:line="354" w:lineRule="auto"/>
              <w:ind w:left="116" w:right="108" w:firstLine="11"/>
              <w:jc w:val="both"/>
              <w:rPr>
                <w:rFonts w:hint="eastAsia" w:ascii="宋体" w:hAnsi="宋体" w:eastAsia="宋体" w:cs="宋体"/>
                <w:color w:val="auto"/>
                <w:sz w:val="24"/>
                <w:szCs w:val="24"/>
                <w:highlight w:val="none"/>
                <w:lang w:eastAsia="zh-CN"/>
              </w:rPr>
            </w:pPr>
            <w:bookmarkStart w:id="266" w:name="bookmark161"/>
            <w:bookmarkEnd w:id="266"/>
            <w:r>
              <w:rPr>
                <w:rFonts w:hint="eastAsia" w:ascii="宋体" w:hAnsi="宋体" w:eastAsia="宋体" w:cs="宋体"/>
                <w:color w:val="auto"/>
                <w:spacing w:val="-2"/>
                <w:sz w:val="24"/>
                <w:szCs w:val="24"/>
                <w:highlight w:val="none"/>
                <w:lang w:eastAsia="zh-CN"/>
              </w:rPr>
              <w:t>（二）开挖深度虽未超过</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3m，但地质条件、周</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围环境和地下管线复杂，或影响毗邻建、构筑</w:t>
            </w:r>
            <w:r>
              <w:rPr>
                <w:rFonts w:hint="eastAsia" w:ascii="宋体" w:hAnsi="宋体" w:eastAsia="宋体" w:cs="宋体"/>
                <w:color w:val="auto"/>
                <w:spacing w:val="9"/>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物安全的基坑（槽）的土方开挖、支护、降水</w:t>
            </w:r>
            <w:r>
              <w:rPr>
                <w:rFonts w:hint="eastAsia" w:ascii="宋体" w:hAnsi="宋体" w:eastAsia="宋体" w:cs="宋体"/>
                <w:color w:val="auto"/>
                <w:spacing w:val="9"/>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工程。</w:t>
            </w:r>
          </w:p>
        </w:tc>
        <w:tc>
          <w:tcPr>
            <w:tcW w:w="1423" w:type="dxa"/>
            <w:noWrap w:val="0"/>
            <w:vAlign w:val="top"/>
          </w:tcPr>
          <w:p w14:paraId="17561BD5">
            <w:pPr>
              <w:spacing w:line="263" w:lineRule="auto"/>
              <w:rPr>
                <w:rFonts w:hint="eastAsia" w:ascii="宋体" w:hAnsi="宋体" w:eastAsia="宋体" w:cs="宋体"/>
                <w:color w:val="auto"/>
                <w:highlight w:val="none"/>
                <w:lang w:eastAsia="zh-CN"/>
              </w:rPr>
            </w:pPr>
          </w:p>
          <w:p w14:paraId="442E15EB">
            <w:pPr>
              <w:spacing w:line="263" w:lineRule="auto"/>
              <w:rPr>
                <w:rFonts w:hint="eastAsia" w:ascii="宋体" w:hAnsi="宋体" w:eastAsia="宋体" w:cs="宋体"/>
                <w:color w:val="auto"/>
                <w:highlight w:val="none"/>
                <w:lang w:eastAsia="zh-CN"/>
              </w:rPr>
            </w:pPr>
          </w:p>
          <w:p w14:paraId="20FB1CED">
            <w:pPr>
              <w:spacing w:line="264" w:lineRule="auto"/>
              <w:rPr>
                <w:rFonts w:hint="eastAsia" w:ascii="宋体" w:hAnsi="宋体" w:eastAsia="宋体" w:cs="宋体"/>
                <w:color w:val="auto"/>
                <w:highlight w:val="none"/>
                <w:lang w:eastAsia="zh-CN"/>
              </w:rPr>
            </w:pPr>
          </w:p>
          <w:p w14:paraId="48D78FA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7" w:name="OLE_LINK40"/>
            <w:r>
              <w:rPr>
                <w:rFonts w:hint="eastAsia" w:ascii="宋体" w:hAnsi="宋体" w:eastAsia="宋体" w:cs="宋体"/>
                <w:color w:val="auto"/>
                <w:spacing w:val="2"/>
                <w:sz w:val="24"/>
                <w:szCs w:val="24"/>
                <w:highlight w:val="none"/>
              </w:rPr>
              <w:t xml:space="preserve">   </w:t>
            </w:r>
            <w:bookmarkEnd w:id="267"/>
            <w:r>
              <w:rPr>
                <w:rFonts w:hint="eastAsia" w:ascii="宋体" w:hAnsi="宋体" w:eastAsia="宋体" w:cs="宋体"/>
                <w:color w:val="auto"/>
                <w:spacing w:val="-19"/>
                <w:w w:val="94"/>
                <w:sz w:val="24"/>
                <w:szCs w:val="24"/>
                <w:highlight w:val="none"/>
              </w:rPr>
              <w:t>)</w:t>
            </w:r>
          </w:p>
        </w:tc>
        <w:tc>
          <w:tcPr>
            <w:tcW w:w="1423" w:type="dxa"/>
            <w:noWrap w:val="0"/>
            <w:vAlign w:val="top"/>
          </w:tcPr>
          <w:p w14:paraId="1571A530">
            <w:pPr>
              <w:spacing w:line="263" w:lineRule="auto"/>
              <w:rPr>
                <w:rFonts w:hint="eastAsia" w:ascii="宋体" w:hAnsi="宋体" w:eastAsia="宋体" w:cs="宋体"/>
                <w:color w:val="auto"/>
                <w:highlight w:val="none"/>
              </w:rPr>
            </w:pPr>
          </w:p>
          <w:p w14:paraId="77266A1B">
            <w:pPr>
              <w:spacing w:line="263" w:lineRule="auto"/>
              <w:rPr>
                <w:rFonts w:hint="eastAsia" w:ascii="宋体" w:hAnsi="宋体" w:eastAsia="宋体" w:cs="宋体"/>
                <w:color w:val="auto"/>
                <w:highlight w:val="none"/>
              </w:rPr>
            </w:pPr>
          </w:p>
          <w:p w14:paraId="0E691A9D">
            <w:pPr>
              <w:spacing w:line="264" w:lineRule="auto"/>
              <w:rPr>
                <w:rFonts w:hint="eastAsia" w:ascii="宋体" w:hAnsi="宋体" w:eastAsia="宋体" w:cs="宋体"/>
                <w:color w:val="auto"/>
                <w:highlight w:val="none"/>
              </w:rPr>
            </w:pPr>
          </w:p>
          <w:p w14:paraId="7238107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213B071">
            <w:pPr>
              <w:rPr>
                <w:rFonts w:hint="eastAsia" w:ascii="宋体" w:hAnsi="宋体" w:eastAsia="宋体" w:cs="宋体"/>
                <w:color w:val="auto"/>
                <w:highlight w:val="none"/>
              </w:rPr>
            </w:pPr>
          </w:p>
        </w:tc>
      </w:tr>
      <w:tr w14:paraId="4D128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194C6BFD">
            <w:pPr>
              <w:spacing w:before="128" w:line="219" w:lineRule="auto"/>
              <w:ind w:left="1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二、模板工程及支撑体系</w:t>
            </w:r>
          </w:p>
        </w:tc>
        <w:tc>
          <w:tcPr>
            <w:tcW w:w="1423" w:type="dxa"/>
            <w:noWrap w:val="0"/>
            <w:vAlign w:val="top"/>
          </w:tcPr>
          <w:p w14:paraId="0F2151E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A84D563">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8E5F734">
            <w:pPr>
              <w:rPr>
                <w:rFonts w:hint="eastAsia" w:ascii="宋体" w:hAnsi="宋体" w:eastAsia="宋体" w:cs="宋体"/>
                <w:color w:val="auto"/>
                <w:highlight w:val="none"/>
              </w:rPr>
            </w:pPr>
          </w:p>
        </w:tc>
      </w:tr>
      <w:tr w14:paraId="60090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01D83137">
            <w:pPr>
              <w:spacing w:before="128" w:line="328" w:lineRule="auto"/>
              <w:ind w:left="123" w:right="25" w:firstLine="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（一）各类工具式模板工程：包括滑模、爬模、</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飞模、隧道模等工程。</w:t>
            </w:r>
          </w:p>
        </w:tc>
        <w:tc>
          <w:tcPr>
            <w:tcW w:w="1423" w:type="dxa"/>
            <w:noWrap w:val="0"/>
            <w:vAlign w:val="top"/>
          </w:tcPr>
          <w:p w14:paraId="2549B37F">
            <w:pPr>
              <w:spacing w:line="293" w:lineRule="auto"/>
              <w:rPr>
                <w:rFonts w:hint="eastAsia" w:ascii="宋体" w:hAnsi="宋体" w:eastAsia="宋体" w:cs="宋体"/>
                <w:color w:val="auto"/>
                <w:highlight w:val="none"/>
                <w:lang w:eastAsia="zh-CN"/>
              </w:rPr>
            </w:pPr>
          </w:p>
          <w:p w14:paraId="335ACB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D55C100">
            <w:pPr>
              <w:spacing w:line="293" w:lineRule="auto"/>
              <w:rPr>
                <w:rFonts w:hint="eastAsia" w:ascii="宋体" w:hAnsi="宋体" w:eastAsia="宋体" w:cs="宋体"/>
                <w:color w:val="auto"/>
                <w:highlight w:val="none"/>
              </w:rPr>
            </w:pPr>
          </w:p>
          <w:p w14:paraId="4F77687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82BB277">
            <w:pPr>
              <w:rPr>
                <w:rFonts w:hint="eastAsia" w:ascii="宋体" w:hAnsi="宋体" w:eastAsia="宋体" w:cs="宋体"/>
                <w:color w:val="auto"/>
                <w:highlight w:val="none"/>
              </w:rPr>
            </w:pPr>
          </w:p>
        </w:tc>
      </w:tr>
      <w:tr w14:paraId="1BB89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0" w:hRule="atLeast"/>
        </w:trPr>
        <w:tc>
          <w:tcPr>
            <w:tcW w:w="5351" w:type="dxa"/>
            <w:noWrap w:val="0"/>
            <w:vAlign w:val="top"/>
          </w:tcPr>
          <w:p w14:paraId="31BFB4F5">
            <w:pPr>
              <w:spacing w:before="131" w:line="362" w:lineRule="auto"/>
              <w:ind w:left="115" w:right="105"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（二）混凝土模板支撑工程：搭设高度</w:t>
            </w:r>
            <w:r>
              <w:rPr>
                <w:rFonts w:hint="eastAsia" w:ascii="宋体" w:hAnsi="宋体" w:eastAsia="宋体" w:cs="宋体"/>
                <w:color w:val="auto"/>
                <w:spacing w:val="-43"/>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及以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上，或搭设跨度</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10m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0"/>
                <w:sz w:val="24"/>
                <w:szCs w:val="24"/>
                <w:highlight w:val="none"/>
                <w:lang w:eastAsia="zh-CN"/>
              </w:rPr>
              <w:t>及以上，或施工总荷</w:t>
            </w:r>
            <w:r>
              <w:rPr>
                <w:rFonts w:hint="eastAsia" w:ascii="宋体" w:hAnsi="宋体" w:eastAsia="宋体" w:cs="宋体"/>
                <w:color w:val="auto"/>
                <w:spacing w:val="-11"/>
                <w:sz w:val="24"/>
                <w:szCs w:val="24"/>
                <w:highlight w:val="none"/>
                <w:lang w:eastAsia="zh-CN"/>
              </w:rPr>
              <w:t>载（荷</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载效应基本组合的设计值，以下简称设计值）</w:t>
            </w:r>
            <w:r>
              <w:rPr>
                <w:rFonts w:hint="eastAsia" w:ascii="宋体" w:hAnsi="宋体" w:eastAsia="宋体" w:cs="宋体"/>
                <w:color w:val="auto"/>
                <w:spacing w:val="14"/>
                <w:sz w:val="24"/>
                <w:szCs w:val="24"/>
                <w:highlight w:val="none"/>
                <w:lang w:eastAsia="zh-CN"/>
              </w:rPr>
              <w:t xml:space="preserve"> </w:t>
            </w:r>
            <w:r>
              <w:rPr>
                <w:rFonts w:hint="eastAsia" w:ascii="宋体" w:hAnsi="宋体" w:eastAsia="宋体" w:cs="宋体"/>
                <w:color w:val="auto"/>
                <w:spacing w:val="-14"/>
                <w:sz w:val="24"/>
                <w:szCs w:val="24"/>
                <w:highlight w:val="none"/>
                <w:lang w:eastAsia="zh-CN"/>
              </w:rPr>
              <w:t>10kN/m2</w:t>
            </w:r>
            <w:r>
              <w:rPr>
                <w:rFonts w:hint="eastAsia" w:ascii="宋体" w:hAnsi="宋体" w:eastAsia="宋体" w:cs="宋体"/>
                <w:color w:val="auto"/>
                <w:spacing w:val="-35"/>
                <w:sz w:val="24"/>
                <w:szCs w:val="24"/>
                <w:highlight w:val="none"/>
                <w:lang w:eastAsia="zh-CN"/>
              </w:rPr>
              <w:t xml:space="preserve"> </w:t>
            </w:r>
            <w:r>
              <w:rPr>
                <w:rFonts w:hint="eastAsia" w:ascii="宋体" w:hAnsi="宋体" w:eastAsia="宋体" w:cs="宋体"/>
                <w:color w:val="auto"/>
                <w:spacing w:val="-14"/>
                <w:sz w:val="24"/>
                <w:szCs w:val="24"/>
                <w:highlight w:val="none"/>
                <w:lang w:eastAsia="zh-CN"/>
              </w:rPr>
              <w:t>及以上，或集中线荷载（设计值）15kN/m</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及以上，或高度大于支撑水平投影宽度且相对</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独立无联系构件的混凝土模板支撑工程。</w:t>
            </w:r>
          </w:p>
        </w:tc>
        <w:tc>
          <w:tcPr>
            <w:tcW w:w="1423" w:type="dxa"/>
            <w:noWrap w:val="0"/>
            <w:vAlign w:val="top"/>
          </w:tcPr>
          <w:p w14:paraId="7DB2D84B">
            <w:pPr>
              <w:spacing w:line="255" w:lineRule="auto"/>
              <w:rPr>
                <w:rFonts w:hint="eastAsia" w:ascii="宋体" w:hAnsi="宋体" w:eastAsia="宋体" w:cs="宋体"/>
                <w:color w:val="auto"/>
                <w:highlight w:val="none"/>
                <w:lang w:eastAsia="zh-CN"/>
              </w:rPr>
            </w:pPr>
          </w:p>
          <w:p w14:paraId="3CBD7AF9">
            <w:pPr>
              <w:spacing w:line="255" w:lineRule="auto"/>
              <w:rPr>
                <w:rFonts w:hint="eastAsia" w:ascii="宋体" w:hAnsi="宋体" w:eastAsia="宋体" w:cs="宋体"/>
                <w:color w:val="auto"/>
                <w:highlight w:val="none"/>
                <w:lang w:eastAsia="zh-CN"/>
              </w:rPr>
            </w:pPr>
          </w:p>
          <w:p w14:paraId="4DEA5BB7">
            <w:pPr>
              <w:spacing w:line="255" w:lineRule="auto"/>
              <w:rPr>
                <w:rFonts w:hint="eastAsia" w:ascii="宋体" w:hAnsi="宋体" w:eastAsia="宋体" w:cs="宋体"/>
                <w:color w:val="auto"/>
                <w:highlight w:val="none"/>
                <w:lang w:eastAsia="zh-CN"/>
              </w:rPr>
            </w:pPr>
          </w:p>
          <w:p w14:paraId="013A822B">
            <w:pPr>
              <w:spacing w:line="255" w:lineRule="auto"/>
              <w:rPr>
                <w:rFonts w:hint="eastAsia" w:ascii="宋体" w:hAnsi="宋体" w:eastAsia="宋体" w:cs="宋体"/>
                <w:color w:val="auto"/>
                <w:highlight w:val="none"/>
                <w:lang w:eastAsia="zh-CN"/>
              </w:rPr>
            </w:pPr>
          </w:p>
          <w:p w14:paraId="7857BE43">
            <w:pPr>
              <w:spacing w:line="256" w:lineRule="auto"/>
              <w:rPr>
                <w:rFonts w:hint="eastAsia" w:ascii="宋体" w:hAnsi="宋体" w:eastAsia="宋体" w:cs="宋体"/>
                <w:color w:val="auto"/>
                <w:highlight w:val="none"/>
                <w:lang w:eastAsia="zh-CN"/>
              </w:rPr>
            </w:pPr>
          </w:p>
          <w:p w14:paraId="24639076">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7126C75A">
            <w:pPr>
              <w:spacing w:line="255" w:lineRule="auto"/>
              <w:rPr>
                <w:rFonts w:hint="eastAsia" w:ascii="宋体" w:hAnsi="宋体" w:eastAsia="宋体" w:cs="宋体"/>
                <w:color w:val="auto"/>
                <w:highlight w:val="none"/>
              </w:rPr>
            </w:pPr>
          </w:p>
          <w:p w14:paraId="007B80A0">
            <w:pPr>
              <w:spacing w:line="255" w:lineRule="auto"/>
              <w:rPr>
                <w:rFonts w:hint="eastAsia" w:ascii="宋体" w:hAnsi="宋体" w:eastAsia="宋体" w:cs="宋体"/>
                <w:color w:val="auto"/>
                <w:highlight w:val="none"/>
              </w:rPr>
            </w:pPr>
          </w:p>
          <w:p w14:paraId="5764EEF6">
            <w:pPr>
              <w:spacing w:line="255" w:lineRule="auto"/>
              <w:rPr>
                <w:rFonts w:hint="eastAsia" w:ascii="宋体" w:hAnsi="宋体" w:eastAsia="宋体" w:cs="宋体"/>
                <w:color w:val="auto"/>
                <w:highlight w:val="none"/>
              </w:rPr>
            </w:pPr>
          </w:p>
          <w:p w14:paraId="458FD645">
            <w:pPr>
              <w:spacing w:line="255" w:lineRule="auto"/>
              <w:rPr>
                <w:rFonts w:hint="eastAsia" w:ascii="宋体" w:hAnsi="宋体" w:eastAsia="宋体" w:cs="宋体"/>
                <w:color w:val="auto"/>
                <w:highlight w:val="none"/>
              </w:rPr>
            </w:pPr>
          </w:p>
          <w:p w14:paraId="011DA5A7">
            <w:pPr>
              <w:spacing w:line="256" w:lineRule="auto"/>
              <w:rPr>
                <w:rFonts w:hint="eastAsia" w:ascii="宋体" w:hAnsi="宋体" w:eastAsia="宋体" w:cs="宋体"/>
                <w:color w:val="auto"/>
                <w:highlight w:val="none"/>
              </w:rPr>
            </w:pPr>
          </w:p>
          <w:p w14:paraId="4C51E75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182F904">
            <w:pPr>
              <w:rPr>
                <w:rFonts w:hint="eastAsia" w:ascii="宋体" w:hAnsi="宋体" w:eastAsia="宋体" w:cs="宋体"/>
                <w:color w:val="auto"/>
                <w:highlight w:val="none"/>
              </w:rPr>
            </w:pPr>
          </w:p>
        </w:tc>
      </w:tr>
      <w:tr w14:paraId="3BD5A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3948745A">
            <w:pPr>
              <w:spacing w:before="130"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（三）承重支撑体系：用于钢结构安装等满堂</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支撑体系。</w:t>
            </w:r>
          </w:p>
        </w:tc>
        <w:tc>
          <w:tcPr>
            <w:tcW w:w="1423" w:type="dxa"/>
            <w:noWrap w:val="0"/>
            <w:vAlign w:val="top"/>
          </w:tcPr>
          <w:p w14:paraId="1C2BB39C">
            <w:pPr>
              <w:spacing w:line="296" w:lineRule="auto"/>
              <w:rPr>
                <w:rFonts w:hint="eastAsia" w:ascii="宋体" w:hAnsi="宋体" w:eastAsia="宋体" w:cs="宋体"/>
                <w:color w:val="auto"/>
                <w:highlight w:val="none"/>
                <w:lang w:eastAsia="zh-CN"/>
              </w:rPr>
            </w:pPr>
          </w:p>
          <w:p w14:paraId="3F824C2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C875670">
            <w:pPr>
              <w:spacing w:line="296" w:lineRule="auto"/>
              <w:rPr>
                <w:rFonts w:hint="eastAsia" w:ascii="宋体" w:hAnsi="宋体" w:eastAsia="宋体" w:cs="宋体"/>
                <w:color w:val="auto"/>
                <w:highlight w:val="none"/>
              </w:rPr>
            </w:pPr>
          </w:p>
          <w:p w14:paraId="15756EF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43FB70E">
            <w:pPr>
              <w:rPr>
                <w:rFonts w:hint="eastAsia" w:ascii="宋体" w:hAnsi="宋体" w:eastAsia="宋体" w:cs="宋体"/>
                <w:color w:val="auto"/>
                <w:highlight w:val="none"/>
              </w:rPr>
            </w:pPr>
          </w:p>
        </w:tc>
      </w:tr>
      <w:tr w14:paraId="2DFB4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6B5612DB">
            <w:pPr>
              <w:spacing w:before="130" w:line="219" w:lineRule="auto"/>
              <w:ind w:left="35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三、起重吊装及起重机械安装拆卸工程</w:t>
            </w:r>
          </w:p>
        </w:tc>
        <w:tc>
          <w:tcPr>
            <w:tcW w:w="1423" w:type="dxa"/>
            <w:noWrap w:val="0"/>
            <w:vAlign w:val="top"/>
          </w:tcPr>
          <w:p w14:paraId="6D1FAC59">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55504A2">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C69BBC5">
            <w:pPr>
              <w:rPr>
                <w:rFonts w:hint="eastAsia" w:ascii="宋体" w:hAnsi="宋体" w:eastAsia="宋体" w:cs="宋体"/>
                <w:color w:val="auto"/>
                <w:highlight w:val="none"/>
              </w:rPr>
            </w:pPr>
          </w:p>
        </w:tc>
      </w:tr>
      <w:tr w14:paraId="270DA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12F637D0">
            <w:pPr>
              <w:spacing w:before="131" w:line="327" w:lineRule="auto"/>
              <w:ind w:left="144" w:right="168" w:hanging="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（一）采用非常规起重设备、方法，且单件起</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吊重量在</w:t>
            </w:r>
            <w:r>
              <w:rPr>
                <w:rFonts w:hint="eastAsia" w:ascii="宋体" w:hAnsi="宋体" w:eastAsia="宋体" w:cs="宋体"/>
                <w:color w:val="auto"/>
                <w:spacing w:val="-3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及以上的起重吊装工程。</w:t>
            </w:r>
          </w:p>
        </w:tc>
        <w:tc>
          <w:tcPr>
            <w:tcW w:w="1423" w:type="dxa"/>
            <w:noWrap w:val="0"/>
            <w:vAlign w:val="top"/>
          </w:tcPr>
          <w:p w14:paraId="5D068865">
            <w:pPr>
              <w:spacing w:line="297" w:lineRule="auto"/>
              <w:rPr>
                <w:rFonts w:hint="eastAsia" w:ascii="宋体" w:hAnsi="宋体" w:eastAsia="宋体" w:cs="宋体"/>
                <w:color w:val="auto"/>
                <w:highlight w:val="none"/>
                <w:lang w:eastAsia="zh-CN"/>
              </w:rPr>
            </w:pPr>
          </w:p>
          <w:p w14:paraId="05B4F55A">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1ED258F">
            <w:pPr>
              <w:spacing w:line="297" w:lineRule="auto"/>
              <w:rPr>
                <w:rFonts w:hint="eastAsia" w:ascii="宋体" w:hAnsi="宋体" w:eastAsia="宋体" w:cs="宋体"/>
                <w:color w:val="auto"/>
                <w:highlight w:val="none"/>
              </w:rPr>
            </w:pPr>
          </w:p>
          <w:p w14:paraId="3EFB8024">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5A45E59">
            <w:pPr>
              <w:rPr>
                <w:rFonts w:hint="eastAsia" w:ascii="宋体" w:hAnsi="宋体" w:eastAsia="宋体" w:cs="宋体"/>
                <w:color w:val="auto"/>
                <w:highlight w:val="none"/>
              </w:rPr>
            </w:pPr>
          </w:p>
        </w:tc>
      </w:tr>
      <w:tr w14:paraId="607A1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6E561A89">
            <w:pPr>
              <w:spacing w:before="132"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（二）采用起重机械进行安装的工程。</w:t>
            </w:r>
          </w:p>
        </w:tc>
        <w:tc>
          <w:tcPr>
            <w:tcW w:w="1423" w:type="dxa"/>
            <w:noWrap w:val="0"/>
            <w:vAlign w:val="top"/>
          </w:tcPr>
          <w:p w14:paraId="72FF18A4">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3FC734D">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694A2CE">
            <w:pPr>
              <w:rPr>
                <w:rFonts w:hint="eastAsia" w:ascii="宋体" w:hAnsi="宋体" w:eastAsia="宋体" w:cs="宋体"/>
                <w:color w:val="auto"/>
                <w:highlight w:val="none"/>
              </w:rPr>
            </w:pPr>
          </w:p>
        </w:tc>
      </w:tr>
      <w:tr w14:paraId="70725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3243DCCA">
            <w:pPr>
              <w:spacing w:before="130"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（三）起重机械安装和拆卸工程。</w:t>
            </w:r>
          </w:p>
        </w:tc>
        <w:tc>
          <w:tcPr>
            <w:tcW w:w="1423" w:type="dxa"/>
            <w:noWrap w:val="0"/>
            <w:vAlign w:val="top"/>
          </w:tcPr>
          <w:p w14:paraId="287F88F1">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63E683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C8C811B">
            <w:pPr>
              <w:rPr>
                <w:rFonts w:hint="eastAsia" w:ascii="宋体" w:hAnsi="宋体" w:eastAsia="宋体" w:cs="宋体"/>
                <w:color w:val="auto"/>
                <w:highlight w:val="none"/>
              </w:rPr>
            </w:pPr>
          </w:p>
        </w:tc>
      </w:tr>
      <w:tr w14:paraId="627EF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379D48CC">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423" w:type="dxa"/>
            <w:noWrap w:val="0"/>
            <w:vAlign w:val="top"/>
          </w:tcPr>
          <w:p w14:paraId="50D961B0">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eastAsia="zh-CN"/>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76457E7">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9793CB3">
            <w:pPr>
              <w:rPr>
                <w:rFonts w:hint="eastAsia" w:ascii="宋体" w:hAnsi="宋体" w:eastAsia="宋体" w:cs="宋体"/>
                <w:color w:val="auto"/>
                <w:highlight w:val="none"/>
              </w:rPr>
            </w:pPr>
          </w:p>
        </w:tc>
      </w:tr>
      <w:tr w14:paraId="67AB2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7EDCB81E">
            <w:pPr>
              <w:spacing w:before="130"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（一）搭设高度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24m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及以上的落地式钢管脚手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架工程（包括采光井、电梯井脚手架）。</w:t>
            </w:r>
          </w:p>
        </w:tc>
        <w:tc>
          <w:tcPr>
            <w:tcW w:w="1423" w:type="dxa"/>
            <w:noWrap w:val="0"/>
            <w:vAlign w:val="top"/>
          </w:tcPr>
          <w:p w14:paraId="497CAFAD">
            <w:pPr>
              <w:spacing w:line="297" w:lineRule="auto"/>
              <w:rPr>
                <w:rFonts w:hint="eastAsia" w:ascii="宋体" w:hAnsi="宋体" w:eastAsia="宋体" w:cs="宋体"/>
                <w:color w:val="auto"/>
                <w:highlight w:val="none"/>
                <w:lang w:eastAsia="zh-CN"/>
              </w:rPr>
            </w:pPr>
          </w:p>
          <w:p w14:paraId="3F452412">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A33E630">
            <w:pPr>
              <w:spacing w:line="297" w:lineRule="auto"/>
              <w:rPr>
                <w:rFonts w:hint="eastAsia" w:ascii="宋体" w:hAnsi="宋体" w:eastAsia="宋体" w:cs="宋体"/>
                <w:color w:val="auto"/>
                <w:highlight w:val="none"/>
              </w:rPr>
            </w:pPr>
          </w:p>
          <w:p w14:paraId="7D467464">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9751BE6">
            <w:pPr>
              <w:rPr>
                <w:rFonts w:hint="eastAsia" w:ascii="宋体" w:hAnsi="宋体" w:eastAsia="宋体" w:cs="宋体"/>
                <w:color w:val="auto"/>
                <w:highlight w:val="none"/>
              </w:rPr>
            </w:pPr>
          </w:p>
        </w:tc>
      </w:tr>
      <w:tr w14:paraId="01DD6D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7039C6F9">
            <w:pPr>
              <w:spacing w:before="131"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（二）附着式升降脚手架工程。</w:t>
            </w:r>
          </w:p>
        </w:tc>
        <w:tc>
          <w:tcPr>
            <w:tcW w:w="1423" w:type="dxa"/>
            <w:noWrap w:val="0"/>
            <w:vAlign w:val="top"/>
          </w:tcPr>
          <w:p w14:paraId="5134BBF7">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3ED07E4">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F839F29">
            <w:pPr>
              <w:rPr>
                <w:rFonts w:hint="eastAsia" w:ascii="宋体" w:hAnsi="宋体" w:eastAsia="宋体" w:cs="宋体"/>
                <w:color w:val="auto"/>
                <w:highlight w:val="none"/>
              </w:rPr>
            </w:pPr>
          </w:p>
        </w:tc>
      </w:tr>
      <w:tr w14:paraId="11D18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48E99958">
            <w:pPr>
              <w:spacing w:before="132"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（三）悬挑式脚手架工程。</w:t>
            </w:r>
          </w:p>
        </w:tc>
        <w:tc>
          <w:tcPr>
            <w:tcW w:w="1423" w:type="dxa"/>
            <w:noWrap w:val="0"/>
            <w:vAlign w:val="top"/>
          </w:tcPr>
          <w:p w14:paraId="6687049D">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85CE80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02671E1">
            <w:pPr>
              <w:rPr>
                <w:rFonts w:hint="eastAsia" w:ascii="宋体" w:hAnsi="宋体" w:eastAsia="宋体" w:cs="宋体"/>
                <w:color w:val="auto"/>
                <w:highlight w:val="none"/>
              </w:rPr>
            </w:pPr>
          </w:p>
        </w:tc>
      </w:tr>
      <w:tr w14:paraId="52819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7441ACA0">
            <w:pPr>
              <w:spacing w:before="131"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（四）高处作业吊篮。</w:t>
            </w:r>
          </w:p>
        </w:tc>
        <w:tc>
          <w:tcPr>
            <w:tcW w:w="1423" w:type="dxa"/>
            <w:noWrap w:val="0"/>
            <w:vAlign w:val="top"/>
          </w:tcPr>
          <w:p w14:paraId="23C95B09">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A1062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4EEA7885">
            <w:pPr>
              <w:rPr>
                <w:rFonts w:hint="eastAsia" w:ascii="宋体" w:hAnsi="宋体" w:eastAsia="宋体" w:cs="宋体"/>
                <w:color w:val="auto"/>
                <w:highlight w:val="none"/>
              </w:rPr>
            </w:pPr>
          </w:p>
        </w:tc>
      </w:tr>
      <w:tr w14:paraId="7AF0B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351" w:type="dxa"/>
            <w:noWrap w:val="0"/>
            <w:vAlign w:val="top"/>
          </w:tcPr>
          <w:p w14:paraId="21985AD9">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423" w:type="dxa"/>
            <w:noWrap w:val="0"/>
            <w:vAlign w:val="top"/>
          </w:tcPr>
          <w:p w14:paraId="44E06AE8">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12FD52C">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51BC5F2">
            <w:pPr>
              <w:rPr>
                <w:rFonts w:hint="eastAsia" w:ascii="宋体" w:hAnsi="宋体" w:eastAsia="宋体" w:cs="宋体"/>
                <w:color w:val="auto"/>
                <w:highlight w:val="none"/>
              </w:rPr>
            </w:pPr>
          </w:p>
        </w:tc>
      </w:tr>
      <w:tr w14:paraId="09D5F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5351" w:type="dxa"/>
            <w:noWrap w:val="0"/>
            <w:vAlign w:val="top"/>
          </w:tcPr>
          <w:p w14:paraId="7A2D0592">
            <w:pPr>
              <w:spacing w:before="133"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（六）异型脚手架工程。</w:t>
            </w:r>
          </w:p>
        </w:tc>
        <w:tc>
          <w:tcPr>
            <w:tcW w:w="1423" w:type="dxa"/>
            <w:noWrap w:val="0"/>
            <w:vAlign w:val="top"/>
          </w:tcPr>
          <w:p w14:paraId="139A21A0">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C9702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36AA59D">
            <w:pPr>
              <w:rPr>
                <w:rFonts w:hint="eastAsia" w:ascii="宋体" w:hAnsi="宋体" w:eastAsia="宋体" w:cs="宋体"/>
                <w:color w:val="auto"/>
                <w:highlight w:val="none"/>
              </w:rPr>
            </w:pPr>
          </w:p>
        </w:tc>
      </w:tr>
      <w:tr w14:paraId="21639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141628A3">
            <w:pPr>
              <w:spacing w:before="131" w:line="220" w:lineRule="auto"/>
              <w:ind w:left="120"/>
              <w:rPr>
                <w:rFonts w:hint="eastAsia" w:ascii="宋体" w:hAnsi="宋体" w:eastAsia="宋体" w:cs="宋体"/>
                <w:color w:val="auto"/>
                <w:sz w:val="24"/>
                <w:szCs w:val="24"/>
                <w:highlight w:val="none"/>
              </w:rPr>
            </w:pPr>
            <w:bookmarkStart w:id="268" w:name="bookmark162"/>
            <w:bookmarkEnd w:id="268"/>
            <w:r>
              <w:rPr>
                <w:rFonts w:hint="eastAsia" w:ascii="宋体" w:hAnsi="宋体" w:eastAsia="宋体" w:cs="宋体"/>
                <w:color w:val="auto"/>
                <w:spacing w:val="-3"/>
                <w:sz w:val="24"/>
                <w:szCs w:val="24"/>
                <w:highlight w:val="none"/>
              </w:rPr>
              <w:t>五、拆除工程</w:t>
            </w:r>
          </w:p>
        </w:tc>
        <w:tc>
          <w:tcPr>
            <w:tcW w:w="1423" w:type="dxa"/>
            <w:noWrap w:val="0"/>
            <w:vAlign w:val="top"/>
          </w:tcPr>
          <w:p w14:paraId="2207AB23">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39C0F17">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C50CF99">
            <w:pPr>
              <w:rPr>
                <w:rFonts w:hint="eastAsia" w:ascii="宋体" w:hAnsi="宋体" w:eastAsia="宋体" w:cs="宋体"/>
                <w:color w:val="auto"/>
                <w:highlight w:val="none"/>
              </w:rPr>
            </w:pPr>
          </w:p>
        </w:tc>
      </w:tr>
      <w:tr w14:paraId="32600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79176DFE">
            <w:pPr>
              <w:spacing w:before="126" w:line="329" w:lineRule="auto"/>
              <w:ind w:left="117" w:right="168"/>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可能影响行人、交通、电力设施、通讯设施或</w:t>
            </w:r>
            <w:r>
              <w:rPr>
                <w:rFonts w:hint="eastAsia" w:ascii="宋体" w:hAnsi="宋体" w:eastAsia="宋体" w:cs="宋体"/>
                <w:color w:val="auto"/>
                <w:spacing w:val="7"/>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其它建、构筑物安全的拆除工程。</w:t>
            </w:r>
          </w:p>
        </w:tc>
        <w:tc>
          <w:tcPr>
            <w:tcW w:w="1423" w:type="dxa"/>
            <w:noWrap w:val="0"/>
            <w:vAlign w:val="top"/>
          </w:tcPr>
          <w:p w14:paraId="7C1F2C5A">
            <w:pPr>
              <w:spacing w:line="294" w:lineRule="auto"/>
              <w:rPr>
                <w:rFonts w:hint="eastAsia" w:ascii="宋体" w:hAnsi="宋体" w:eastAsia="宋体" w:cs="宋体"/>
                <w:color w:val="auto"/>
                <w:highlight w:val="none"/>
                <w:lang w:eastAsia="zh-CN"/>
              </w:rPr>
            </w:pPr>
          </w:p>
          <w:p w14:paraId="2F508180">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51F1856">
            <w:pPr>
              <w:spacing w:line="294" w:lineRule="auto"/>
              <w:rPr>
                <w:rFonts w:hint="eastAsia" w:ascii="宋体" w:hAnsi="宋体" w:eastAsia="宋体" w:cs="宋体"/>
                <w:color w:val="auto"/>
                <w:highlight w:val="none"/>
              </w:rPr>
            </w:pPr>
          </w:p>
          <w:p w14:paraId="4BD9A38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E7275EE">
            <w:pPr>
              <w:rPr>
                <w:rFonts w:hint="eastAsia" w:ascii="宋体" w:hAnsi="宋体" w:eastAsia="宋体" w:cs="宋体"/>
                <w:color w:val="auto"/>
                <w:highlight w:val="none"/>
              </w:rPr>
            </w:pPr>
          </w:p>
        </w:tc>
      </w:tr>
      <w:tr w14:paraId="2B0F5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351" w:type="dxa"/>
            <w:noWrap w:val="0"/>
            <w:vAlign w:val="top"/>
          </w:tcPr>
          <w:p w14:paraId="387FC56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423" w:type="dxa"/>
            <w:noWrap w:val="0"/>
            <w:vAlign w:val="top"/>
          </w:tcPr>
          <w:p w14:paraId="49B07C6E">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D00B5C0">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CB98901">
            <w:pPr>
              <w:rPr>
                <w:rFonts w:hint="eastAsia" w:ascii="宋体" w:hAnsi="宋体" w:eastAsia="宋体" w:cs="宋体"/>
                <w:color w:val="auto"/>
                <w:highlight w:val="none"/>
              </w:rPr>
            </w:pPr>
          </w:p>
        </w:tc>
      </w:tr>
      <w:tr w14:paraId="55BB6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05003BE8">
            <w:pPr>
              <w:spacing w:before="128" w:line="328" w:lineRule="auto"/>
              <w:ind w:left="119" w:right="168" w:hanging="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采用矿山法、盾构法、顶管法施工的隧道、洞</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室工程。</w:t>
            </w:r>
          </w:p>
        </w:tc>
        <w:tc>
          <w:tcPr>
            <w:tcW w:w="1423" w:type="dxa"/>
            <w:noWrap w:val="0"/>
            <w:vAlign w:val="top"/>
          </w:tcPr>
          <w:p w14:paraId="25918DCD">
            <w:pPr>
              <w:spacing w:line="294" w:lineRule="auto"/>
              <w:rPr>
                <w:rFonts w:hint="eastAsia" w:ascii="宋体" w:hAnsi="宋体" w:eastAsia="宋体" w:cs="宋体"/>
                <w:color w:val="auto"/>
                <w:highlight w:val="none"/>
                <w:lang w:eastAsia="zh-CN"/>
              </w:rPr>
            </w:pPr>
          </w:p>
          <w:p w14:paraId="0DF1F9E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6EAC090">
            <w:pPr>
              <w:spacing w:line="294" w:lineRule="auto"/>
              <w:rPr>
                <w:rFonts w:hint="eastAsia" w:ascii="宋体" w:hAnsi="宋体" w:eastAsia="宋体" w:cs="宋体"/>
                <w:color w:val="auto"/>
                <w:highlight w:val="none"/>
              </w:rPr>
            </w:pPr>
          </w:p>
          <w:p w14:paraId="298F726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A700C79">
            <w:pPr>
              <w:rPr>
                <w:rFonts w:hint="eastAsia" w:ascii="宋体" w:hAnsi="宋体" w:eastAsia="宋体" w:cs="宋体"/>
                <w:color w:val="auto"/>
                <w:highlight w:val="none"/>
              </w:rPr>
            </w:pPr>
          </w:p>
        </w:tc>
      </w:tr>
      <w:tr w14:paraId="6C24E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7EE5533A">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423" w:type="dxa"/>
            <w:noWrap w:val="0"/>
            <w:vAlign w:val="top"/>
          </w:tcPr>
          <w:p w14:paraId="1C992FA7">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2D05762">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EDDA7BD">
            <w:pPr>
              <w:rPr>
                <w:rFonts w:hint="eastAsia" w:ascii="宋体" w:hAnsi="宋体" w:eastAsia="宋体" w:cs="宋体"/>
                <w:color w:val="auto"/>
                <w:highlight w:val="none"/>
              </w:rPr>
            </w:pPr>
          </w:p>
        </w:tc>
      </w:tr>
      <w:tr w14:paraId="4460C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64331650">
            <w:pPr>
              <w:spacing w:before="128" w:line="219"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（一）建筑幕墙安装工程。</w:t>
            </w:r>
          </w:p>
        </w:tc>
        <w:tc>
          <w:tcPr>
            <w:tcW w:w="1423" w:type="dxa"/>
            <w:noWrap w:val="0"/>
            <w:vAlign w:val="top"/>
          </w:tcPr>
          <w:p w14:paraId="1A4FA28E">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6EF6387">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69718A8">
            <w:pPr>
              <w:rPr>
                <w:rFonts w:hint="eastAsia" w:ascii="宋体" w:hAnsi="宋体" w:eastAsia="宋体" w:cs="宋体"/>
                <w:color w:val="auto"/>
                <w:highlight w:val="none"/>
              </w:rPr>
            </w:pPr>
          </w:p>
        </w:tc>
      </w:tr>
      <w:tr w14:paraId="21422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2B1FFE86">
            <w:pPr>
              <w:spacing w:before="128" w:line="221"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（二）钢结构、网架和索膜结构安装工程。</w:t>
            </w:r>
          </w:p>
        </w:tc>
        <w:tc>
          <w:tcPr>
            <w:tcW w:w="1423" w:type="dxa"/>
            <w:noWrap w:val="0"/>
            <w:vAlign w:val="top"/>
          </w:tcPr>
          <w:p w14:paraId="529BE2D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F3E4549">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EDBE09A">
            <w:pPr>
              <w:rPr>
                <w:rFonts w:hint="eastAsia" w:ascii="宋体" w:hAnsi="宋体" w:eastAsia="宋体" w:cs="宋体"/>
                <w:color w:val="auto"/>
                <w:highlight w:val="none"/>
              </w:rPr>
            </w:pPr>
          </w:p>
        </w:tc>
      </w:tr>
      <w:tr w14:paraId="6BFD8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700F0BB0">
            <w:pPr>
              <w:spacing w:before="128"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（三）人工挖孔桩工程。</w:t>
            </w:r>
          </w:p>
        </w:tc>
        <w:tc>
          <w:tcPr>
            <w:tcW w:w="1423" w:type="dxa"/>
            <w:noWrap w:val="0"/>
            <w:vAlign w:val="top"/>
          </w:tcPr>
          <w:p w14:paraId="44714E4F">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0003EE7">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2650286">
            <w:pPr>
              <w:rPr>
                <w:rFonts w:hint="eastAsia" w:ascii="宋体" w:hAnsi="宋体" w:eastAsia="宋体" w:cs="宋体"/>
                <w:color w:val="auto"/>
                <w:highlight w:val="none"/>
              </w:rPr>
            </w:pPr>
          </w:p>
        </w:tc>
      </w:tr>
      <w:tr w14:paraId="060125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5CE63949">
            <w:pP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（四）水下作业工程。</w:t>
            </w:r>
          </w:p>
        </w:tc>
        <w:tc>
          <w:tcPr>
            <w:tcW w:w="1423" w:type="dxa"/>
            <w:noWrap w:val="0"/>
            <w:vAlign w:val="top"/>
          </w:tcPr>
          <w:p w14:paraId="796E689F">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FF1488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1330F57">
            <w:pPr>
              <w:rPr>
                <w:rFonts w:hint="eastAsia" w:ascii="宋体" w:hAnsi="宋体" w:eastAsia="宋体" w:cs="宋体"/>
                <w:color w:val="auto"/>
                <w:highlight w:val="none"/>
              </w:rPr>
            </w:pPr>
          </w:p>
        </w:tc>
      </w:tr>
      <w:tr w14:paraId="57222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6C350927">
            <w:pP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（五）装配式建筑混凝土预制构件安装工程。</w:t>
            </w:r>
          </w:p>
        </w:tc>
        <w:tc>
          <w:tcPr>
            <w:tcW w:w="1423" w:type="dxa"/>
            <w:noWrap w:val="0"/>
            <w:vAlign w:val="top"/>
          </w:tcPr>
          <w:p w14:paraId="48153499">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9EF48D7">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DCF18CD">
            <w:pPr>
              <w:rPr>
                <w:rFonts w:hint="eastAsia" w:ascii="宋体" w:hAnsi="宋体" w:eastAsia="宋体" w:cs="宋体"/>
                <w:color w:val="auto"/>
                <w:highlight w:val="none"/>
              </w:rPr>
            </w:pPr>
          </w:p>
        </w:tc>
      </w:tr>
      <w:tr w14:paraId="5B217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5" w:hRule="atLeast"/>
        </w:trPr>
        <w:tc>
          <w:tcPr>
            <w:tcW w:w="5351" w:type="dxa"/>
            <w:noWrap w:val="0"/>
            <w:vAlign w:val="top"/>
          </w:tcPr>
          <w:p w14:paraId="0EA4E089">
            <w:pPr>
              <w:spacing w:before="129" w:line="345" w:lineRule="auto"/>
              <w:ind w:left="117" w:right="168" w:firstLine="1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（六）采用新技术、新工艺、新材料、新设备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可能影响工程施工安全，尚无国家、行业及地</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方技术标准的分部分项工程。</w:t>
            </w:r>
          </w:p>
        </w:tc>
        <w:tc>
          <w:tcPr>
            <w:tcW w:w="1423" w:type="dxa"/>
            <w:noWrap w:val="0"/>
            <w:vAlign w:val="top"/>
          </w:tcPr>
          <w:p w14:paraId="181CAFFB">
            <w:pPr>
              <w:spacing w:line="270" w:lineRule="auto"/>
              <w:rPr>
                <w:rFonts w:hint="eastAsia" w:ascii="宋体" w:hAnsi="宋体" w:eastAsia="宋体" w:cs="宋体"/>
                <w:color w:val="auto"/>
                <w:highlight w:val="none"/>
                <w:lang w:eastAsia="zh-CN"/>
              </w:rPr>
            </w:pPr>
          </w:p>
          <w:p w14:paraId="1D74BDAD">
            <w:pPr>
              <w:spacing w:line="271" w:lineRule="auto"/>
              <w:rPr>
                <w:rFonts w:hint="eastAsia" w:ascii="宋体" w:hAnsi="宋体" w:eastAsia="宋体" w:cs="宋体"/>
                <w:color w:val="auto"/>
                <w:highlight w:val="none"/>
                <w:lang w:eastAsia="zh-CN"/>
              </w:rPr>
            </w:pPr>
          </w:p>
          <w:p w14:paraId="7E22480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07DF439">
            <w:pPr>
              <w:spacing w:line="270" w:lineRule="auto"/>
              <w:rPr>
                <w:rFonts w:hint="eastAsia" w:ascii="宋体" w:hAnsi="宋体" w:eastAsia="宋体" w:cs="宋体"/>
                <w:color w:val="auto"/>
                <w:highlight w:val="none"/>
              </w:rPr>
            </w:pPr>
          </w:p>
          <w:p w14:paraId="6A6D99D5">
            <w:pPr>
              <w:spacing w:line="271" w:lineRule="auto"/>
              <w:rPr>
                <w:rFonts w:hint="eastAsia" w:ascii="宋体" w:hAnsi="宋体" w:eastAsia="宋体" w:cs="宋体"/>
                <w:color w:val="auto"/>
                <w:highlight w:val="none"/>
              </w:rPr>
            </w:pPr>
          </w:p>
          <w:p w14:paraId="1814F2C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5C5DCA1">
            <w:pPr>
              <w:rPr>
                <w:rFonts w:hint="eastAsia" w:ascii="宋体" w:hAnsi="宋体" w:eastAsia="宋体" w:cs="宋体"/>
                <w:color w:val="auto"/>
                <w:highlight w:val="none"/>
              </w:rPr>
            </w:pPr>
          </w:p>
        </w:tc>
      </w:tr>
      <w:tr w14:paraId="143D4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0BA54CEE">
            <w:pPr>
              <w:spacing w:before="129" w:line="328" w:lineRule="auto"/>
              <w:ind w:left="115" w:right="108" w:firstLine="4"/>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1"/>
                <w:sz w:val="24"/>
                <w:szCs w:val="24"/>
                <w:highlight w:val="none"/>
                <w:lang w:eastAsia="zh-CN"/>
              </w:rPr>
              <w:t>二、超过一定规模的危险性较大的分部分项工</w:t>
            </w:r>
            <w:r>
              <w:rPr>
                <w:rFonts w:hint="eastAsia" w:ascii="宋体" w:hAnsi="宋体" w:eastAsia="宋体" w:cs="宋体"/>
                <w:b/>
                <w:bCs/>
                <w:color w:val="auto"/>
                <w:spacing w:val="-5"/>
                <w:sz w:val="24"/>
                <w:szCs w:val="24"/>
                <w:highlight w:val="none"/>
                <w:lang w:eastAsia="zh-CN"/>
              </w:rPr>
              <w:t>程清单</w:t>
            </w:r>
          </w:p>
        </w:tc>
        <w:tc>
          <w:tcPr>
            <w:tcW w:w="1423" w:type="dxa"/>
            <w:noWrap w:val="0"/>
            <w:vAlign w:val="top"/>
          </w:tcPr>
          <w:p w14:paraId="0EBD8F84">
            <w:pPr>
              <w:spacing w:line="295" w:lineRule="auto"/>
              <w:rPr>
                <w:rFonts w:hint="eastAsia" w:ascii="宋体" w:hAnsi="宋体" w:eastAsia="宋体" w:cs="宋体"/>
                <w:color w:val="auto"/>
                <w:highlight w:val="none"/>
                <w:lang w:eastAsia="zh-CN"/>
              </w:rPr>
            </w:pPr>
          </w:p>
          <w:p w14:paraId="506D2073">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423" w:type="dxa"/>
            <w:noWrap w:val="0"/>
            <w:vAlign w:val="top"/>
          </w:tcPr>
          <w:p w14:paraId="771D0CFC">
            <w:pPr>
              <w:spacing w:line="295" w:lineRule="auto"/>
              <w:rPr>
                <w:rFonts w:hint="eastAsia" w:ascii="宋体" w:hAnsi="宋体" w:eastAsia="宋体" w:cs="宋体"/>
                <w:color w:val="auto"/>
                <w:highlight w:val="none"/>
              </w:rPr>
            </w:pPr>
          </w:p>
          <w:p w14:paraId="741B1A29">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1180" w:type="dxa"/>
            <w:noWrap w:val="0"/>
            <w:vAlign w:val="top"/>
          </w:tcPr>
          <w:p w14:paraId="71AEC72B">
            <w:pPr>
              <w:spacing w:line="295" w:lineRule="auto"/>
              <w:rPr>
                <w:rFonts w:hint="eastAsia" w:ascii="宋体" w:hAnsi="宋体" w:eastAsia="宋体" w:cs="宋体"/>
                <w:color w:val="auto"/>
                <w:highlight w:val="none"/>
              </w:rPr>
            </w:pPr>
          </w:p>
          <w:p w14:paraId="5D23653E">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26EC8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51EE8879">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423" w:type="dxa"/>
            <w:noWrap w:val="0"/>
            <w:vAlign w:val="top"/>
          </w:tcPr>
          <w:p w14:paraId="3E5C20AD">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B5CBD14">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EE0F64F">
            <w:pPr>
              <w:rPr>
                <w:rFonts w:hint="eastAsia" w:ascii="宋体" w:hAnsi="宋体" w:eastAsia="宋体" w:cs="宋体"/>
                <w:color w:val="auto"/>
                <w:highlight w:val="none"/>
              </w:rPr>
            </w:pPr>
          </w:p>
        </w:tc>
      </w:tr>
      <w:tr w14:paraId="07265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769C31E4">
            <w:pPr>
              <w:spacing w:before="131" w:line="327" w:lineRule="auto"/>
              <w:ind w:left="117" w:right="105"/>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开挖深度超过</w:t>
            </w:r>
            <w:r>
              <w:rPr>
                <w:rFonts w:hint="eastAsia" w:ascii="宋体" w:hAnsi="宋体" w:eastAsia="宋体" w:cs="宋体"/>
                <w:color w:val="auto"/>
                <w:spacing w:val="-34"/>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5m（含</w:t>
            </w:r>
            <w:r>
              <w:rPr>
                <w:rFonts w:hint="eastAsia" w:ascii="宋体" w:hAnsi="宋体" w:eastAsia="宋体" w:cs="宋体"/>
                <w:color w:val="auto"/>
                <w:spacing w:val="-45"/>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5m）的基坑（槽）的土方</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开挖、支护、降水工程。</w:t>
            </w:r>
          </w:p>
        </w:tc>
        <w:tc>
          <w:tcPr>
            <w:tcW w:w="1423" w:type="dxa"/>
            <w:noWrap w:val="0"/>
            <w:vAlign w:val="top"/>
          </w:tcPr>
          <w:p w14:paraId="5F4A144A">
            <w:pPr>
              <w:spacing w:line="295" w:lineRule="auto"/>
              <w:rPr>
                <w:rFonts w:hint="eastAsia" w:ascii="宋体" w:hAnsi="宋体" w:eastAsia="宋体" w:cs="宋体"/>
                <w:color w:val="auto"/>
                <w:highlight w:val="none"/>
                <w:lang w:eastAsia="zh-CN"/>
              </w:rPr>
            </w:pPr>
          </w:p>
          <w:p w14:paraId="1EEF2EB0">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88"/>
                <w:sz w:val="24"/>
                <w:szCs w:val="24"/>
                <w:highlight w:val="none"/>
                <w:lang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594422A">
            <w:pPr>
              <w:spacing w:line="295" w:lineRule="auto"/>
              <w:rPr>
                <w:rFonts w:hint="eastAsia" w:ascii="宋体" w:hAnsi="宋体" w:eastAsia="宋体" w:cs="宋体"/>
                <w:color w:val="auto"/>
                <w:highlight w:val="none"/>
              </w:rPr>
            </w:pPr>
          </w:p>
          <w:p w14:paraId="2458C52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A4FF82A">
            <w:pPr>
              <w:rPr>
                <w:rFonts w:hint="eastAsia" w:ascii="宋体" w:hAnsi="宋体" w:eastAsia="宋体" w:cs="宋体"/>
                <w:color w:val="auto"/>
                <w:highlight w:val="none"/>
              </w:rPr>
            </w:pPr>
          </w:p>
        </w:tc>
      </w:tr>
      <w:tr w14:paraId="62A39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0C51AC1E">
            <w:pPr>
              <w:spacing w:before="130" w:line="219" w:lineRule="auto"/>
              <w:ind w:left="12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二、模板工程及支撑体系</w:t>
            </w:r>
          </w:p>
        </w:tc>
        <w:tc>
          <w:tcPr>
            <w:tcW w:w="1423" w:type="dxa"/>
            <w:noWrap w:val="0"/>
            <w:vAlign w:val="top"/>
          </w:tcPr>
          <w:p w14:paraId="4FF4363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9EFFD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DFF3938">
            <w:pPr>
              <w:rPr>
                <w:rFonts w:hint="eastAsia" w:ascii="宋体" w:hAnsi="宋体" w:eastAsia="宋体" w:cs="宋体"/>
                <w:color w:val="auto"/>
                <w:highlight w:val="none"/>
              </w:rPr>
            </w:pPr>
          </w:p>
        </w:tc>
      </w:tr>
      <w:tr w14:paraId="6C47B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149800BF">
            <w:pPr>
              <w:spacing w:before="130" w:line="327" w:lineRule="auto"/>
              <w:ind w:left="123" w:right="25" w:firstLine="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（一）各类工具式模板工程：包括滑模、爬模、</w:t>
            </w:r>
            <w:r>
              <w:rPr>
                <w:rFonts w:hint="eastAsia" w:ascii="宋体" w:hAnsi="宋体" w:eastAsia="宋体" w:cs="宋体"/>
                <w:color w:val="auto"/>
                <w:spacing w:val="6"/>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飞模、隧道模等工程。</w:t>
            </w:r>
          </w:p>
        </w:tc>
        <w:tc>
          <w:tcPr>
            <w:tcW w:w="1423" w:type="dxa"/>
            <w:noWrap w:val="0"/>
            <w:vAlign w:val="top"/>
          </w:tcPr>
          <w:p w14:paraId="009AAF36">
            <w:pPr>
              <w:spacing w:line="294" w:lineRule="auto"/>
              <w:rPr>
                <w:rFonts w:hint="eastAsia" w:ascii="宋体" w:hAnsi="宋体" w:eastAsia="宋体" w:cs="宋体"/>
                <w:color w:val="auto"/>
                <w:highlight w:val="none"/>
                <w:lang w:eastAsia="zh-CN"/>
              </w:rPr>
            </w:pPr>
          </w:p>
          <w:p w14:paraId="6FFF9A68">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56CCFDFB">
            <w:pPr>
              <w:spacing w:line="294" w:lineRule="auto"/>
              <w:rPr>
                <w:rFonts w:hint="eastAsia" w:ascii="宋体" w:hAnsi="宋体" w:eastAsia="宋体" w:cs="宋体"/>
                <w:color w:val="auto"/>
                <w:highlight w:val="none"/>
              </w:rPr>
            </w:pPr>
          </w:p>
          <w:p w14:paraId="546A9A3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23EBC82">
            <w:pPr>
              <w:rPr>
                <w:rFonts w:hint="eastAsia" w:ascii="宋体" w:hAnsi="宋体" w:eastAsia="宋体" w:cs="宋体"/>
                <w:color w:val="auto"/>
                <w:highlight w:val="none"/>
              </w:rPr>
            </w:pPr>
          </w:p>
        </w:tc>
      </w:tr>
      <w:tr w14:paraId="13BAD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4" w:hRule="atLeast"/>
        </w:trPr>
        <w:tc>
          <w:tcPr>
            <w:tcW w:w="5351" w:type="dxa"/>
            <w:noWrap w:val="0"/>
            <w:vAlign w:val="top"/>
          </w:tcPr>
          <w:p w14:paraId="5513183B">
            <w:pPr>
              <w:spacing w:before="132" w:line="353" w:lineRule="auto"/>
              <w:ind w:left="116" w:right="6" w:firstLine="11"/>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（二）混凝土模板支撑工程：搭设高度8m</w:t>
            </w:r>
            <w:r>
              <w:rPr>
                <w:rFonts w:hint="eastAsia" w:ascii="宋体" w:hAnsi="宋体" w:eastAsia="宋体" w:cs="宋体"/>
                <w:color w:val="auto"/>
                <w:spacing w:val="-3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上，或搭设跨度</w:t>
            </w:r>
            <w:r>
              <w:rPr>
                <w:rFonts w:hint="eastAsia" w:ascii="宋体" w:hAnsi="宋体" w:eastAsia="宋体" w:cs="宋体"/>
                <w:color w:val="auto"/>
                <w:spacing w:val="-15"/>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18m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及以上，或施工总荷载（设</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计值）15kN/m2</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1"/>
                <w:sz w:val="24"/>
                <w:szCs w:val="24"/>
                <w:highlight w:val="none"/>
                <w:lang w:eastAsia="zh-CN"/>
              </w:rPr>
              <w:t>及以上，或集中线荷载（设</w:t>
            </w:r>
            <w:r>
              <w:rPr>
                <w:rFonts w:hint="eastAsia" w:ascii="宋体" w:hAnsi="宋体" w:eastAsia="宋体" w:cs="宋体"/>
                <w:color w:val="auto"/>
                <w:spacing w:val="-12"/>
                <w:sz w:val="24"/>
                <w:szCs w:val="24"/>
                <w:highlight w:val="none"/>
                <w:lang w:eastAsia="zh-CN"/>
              </w:rPr>
              <w:t>计值）</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20kN/m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w:t>
            </w:r>
          </w:p>
        </w:tc>
        <w:tc>
          <w:tcPr>
            <w:tcW w:w="1423" w:type="dxa"/>
            <w:noWrap w:val="0"/>
            <w:vAlign w:val="top"/>
          </w:tcPr>
          <w:p w14:paraId="766DE08F">
            <w:pPr>
              <w:spacing w:line="262" w:lineRule="auto"/>
              <w:rPr>
                <w:rFonts w:hint="eastAsia" w:ascii="宋体" w:hAnsi="宋体" w:eastAsia="宋体" w:cs="宋体"/>
                <w:color w:val="auto"/>
                <w:highlight w:val="none"/>
                <w:lang w:eastAsia="zh-CN"/>
              </w:rPr>
            </w:pPr>
          </w:p>
          <w:p w14:paraId="41960988">
            <w:pPr>
              <w:spacing w:line="263" w:lineRule="auto"/>
              <w:rPr>
                <w:rFonts w:hint="eastAsia" w:ascii="宋体" w:hAnsi="宋体" w:eastAsia="宋体" w:cs="宋体"/>
                <w:color w:val="auto"/>
                <w:highlight w:val="none"/>
                <w:lang w:eastAsia="zh-CN"/>
              </w:rPr>
            </w:pPr>
          </w:p>
          <w:p w14:paraId="77ABBFB3">
            <w:pPr>
              <w:spacing w:line="263" w:lineRule="auto"/>
              <w:rPr>
                <w:rFonts w:hint="eastAsia" w:ascii="宋体" w:hAnsi="宋体" w:eastAsia="宋体" w:cs="宋体"/>
                <w:color w:val="auto"/>
                <w:highlight w:val="none"/>
                <w:lang w:eastAsia="zh-CN"/>
              </w:rPr>
            </w:pPr>
          </w:p>
          <w:p w14:paraId="2FE9040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D0FAF95">
            <w:pPr>
              <w:spacing w:line="262" w:lineRule="auto"/>
              <w:rPr>
                <w:rFonts w:hint="eastAsia" w:ascii="宋体" w:hAnsi="宋体" w:eastAsia="宋体" w:cs="宋体"/>
                <w:color w:val="auto"/>
                <w:highlight w:val="none"/>
              </w:rPr>
            </w:pPr>
          </w:p>
          <w:p w14:paraId="2588940D">
            <w:pPr>
              <w:spacing w:line="263" w:lineRule="auto"/>
              <w:rPr>
                <w:rFonts w:hint="eastAsia" w:ascii="宋体" w:hAnsi="宋体" w:eastAsia="宋体" w:cs="宋体"/>
                <w:color w:val="auto"/>
                <w:highlight w:val="none"/>
              </w:rPr>
            </w:pPr>
          </w:p>
          <w:p w14:paraId="19FA82F2">
            <w:pPr>
              <w:spacing w:line="263" w:lineRule="auto"/>
              <w:rPr>
                <w:rFonts w:hint="eastAsia" w:ascii="宋体" w:hAnsi="宋体" w:eastAsia="宋体" w:cs="宋体"/>
                <w:color w:val="auto"/>
                <w:highlight w:val="none"/>
              </w:rPr>
            </w:pPr>
          </w:p>
          <w:p w14:paraId="2A11628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C3F1F26">
            <w:pPr>
              <w:rPr>
                <w:rFonts w:hint="eastAsia" w:ascii="宋体" w:hAnsi="宋体" w:eastAsia="宋体" w:cs="宋体"/>
                <w:color w:val="auto"/>
                <w:highlight w:val="none"/>
              </w:rPr>
            </w:pPr>
          </w:p>
        </w:tc>
      </w:tr>
      <w:tr w14:paraId="2D5FC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351" w:type="dxa"/>
            <w:noWrap w:val="0"/>
            <w:vAlign w:val="top"/>
          </w:tcPr>
          <w:p w14:paraId="716D332E">
            <w:pPr>
              <w:spacing w:before="131"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（三）承重支撑体系：用于钢结构安装等满堂</w:t>
            </w:r>
          </w:p>
        </w:tc>
        <w:tc>
          <w:tcPr>
            <w:tcW w:w="1423" w:type="dxa"/>
            <w:noWrap w:val="0"/>
            <w:vAlign w:val="top"/>
          </w:tcPr>
          <w:p w14:paraId="65BB5DF9">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5DCC0A7">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622AA84B">
            <w:pPr>
              <w:rPr>
                <w:rFonts w:hint="eastAsia" w:ascii="宋体" w:hAnsi="宋体" w:eastAsia="宋体" w:cs="宋体"/>
                <w:color w:val="auto"/>
                <w:highlight w:val="none"/>
              </w:rPr>
            </w:pPr>
          </w:p>
        </w:tc>
      </w:tr>
      <w:tr w14:paraId="64244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2BF93832">
            <w:pPr>
              <w:spacing w:before="131" w:line="220" w:lineRule="auto"/>
              <w:ind w:left="1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支撑体系，承受单点集中荷载</w:t>
            </w:r>
            <w:r>
              <w:rPr>
                <w:rFonts w:hint="eastAsia" w:ascii="宋体" w:hAnsi="宋体" w:eastAsia="宋体" w:cs="宋体"/>
                <w:color w:val="auto"/>
                <w:spacing w:val="-40"/>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7kN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w:t>
            </w:r>
          </w:p>
        </w:tc>
        <w:tc>
          <w:tcPr>
            <w:tcW w:w="1423" w:type="dxa"/>
            <w:noWrap w:val="0"/>
            <w:vAlign w:val="top"/>
          </w:tcPr>
          <w:p w14:paraId="1C5E00D3">
            <w:pPr>
              <w:rPr>
                <w:rFonts w:hint="eastAsia" w:ascii="宋体" w:hAnsi="宋体" w:eastAsia="宋体" w:cs="宋体"/>
                <w:color w:val="auto"/>
                <w:highlight w:val="none"/>
                <w:lang w:eastAsia="zh-CN"/>
              </w:rPr>
            </w:pPr>
          </w:p>
        </w:tc>
        <w:tc>
          <w:tcPr>
            <w:tcW w:w="1423" w:type="dxa"/>
            <w:noWrap w:val="0"/>
            <w:vAlign w:val="top"/>
          </w:tcPr>
          <w:p w14:paraId="0FA1126F">
            <w:pPr>
              <w:rPr>
                <w:rFonts w:hint="eastAsia" w:ascii="宋体" w:hAnsi="宋体" w:eastAsia="宋体" w:cs="宋体"/>
                <w:color w:val="auto"/>
                <w:highlight w:val="none"/>
                <w:lang w:eastAsia="zh-CN"/>
              </w:rPr>
            </w:pPr>
          </w:p>
        </w:tc>
        <w:tc>
          <w:tcPr>
            <w:tcW w:w="1180" w:type="dxa"/>
            <w:noWrap w:val="0"/>
            <w:vAlign w:val="top"/>
          </w:tcPr>
          <w:p w14:paraId="4163696D">
            <w:pPr>
              <w:rPr>
                <w:rFonts w:hint="eastAsia" w:ascii="宋体" w:hAnsi="宋体" w:eastAsia="宋体" w:cs="宋体"/>
                <w:color w:val="auto"/>
                <w:highlight w:val="none"/>
                <w:lang w:eastAsia="zh-CN"/>
              </w:rPr>
            </w:pPr>
          </w:p>
        </w:tc>
      </w:tr>
      <w:tr w14:paraId="13EA9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2A996A03">
            <w:pPr>
              <w:spacing w:before="128" w:line="219" w:lineRule="auto"/>
              <w:ind w:left="35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三、起重吊装及起重机械安装拆卸工程</w:t>
            </w:r>
          </w:p>
        </w:tc>
        <w:tc>
          <w:tcPr>
            <w:tcW w:w="1423" w:type="dxa"/>
            <w:noWrap w:val="0"/>
            <w:vAlign w:val="top"/>
          </w:tcPr>
          <w:p w14:paraId="1A87A586">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08D53E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21BBB57">
            <w:pPr>
              <w:rPr>
                <w:rFonts w:hint="eastAsia" w:ascii="宋体" w:hAnsi="宋体" w:eastAsia="宋体" w:cs="宋体"/>
                <w:color w:val="auto"/>
                <w:highlight w:val="none"/>
              </w:rPr>
            </w:pPr>
          </w:p>
        </w:tc>
      </w:tr>
      <w:tr w14:paraId="3AF97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087D3913">
            <w:pPr>
              <w:spacing w:before="129" w:line="328" w:lineRule="auto"/>
              <w:ind w:left="144" w:right="168" w:hanging="1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（一）采用非常规起重设备、方法，且单件起</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吊重量在</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100kN</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及以上的起重吊装工程。</w:t>
            </w:r>
          </w:p>
        </w:tc>
        <w:tc>
          <w:tcPr>
            <w:tcW w:w="1423" w:type="dxa"/>
            <w:noWrap w:val="0"/>
            <w:vAlign w:val="top"/>
          </w:tcPr>
          <w:p w14:paraId="0463B846">
            <w:pPr>
              <w:spacing w:line="295" w:lineRule="auto"/>
              <w:rPr>
                <w:rFonts w:hint="eastAsia" w:ascii="宋体" w:hAnsi="宋体" w:eastAsia="宋体" w:cs="宋体"/>
                <w:color w:val="auto"/>
                <w:highlight w:val="none"/>
                <w:lang w:eastAsia="zh-CN"/>
              </w:rPr>
            </w:pPr>
          </w:p>
          <w:p w14:paraId="4FAEDA6A">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5328100">
            <w:pPr>
              <w:spacing w:line="295" w:lineRule="auto"/>
              <w:rPr>
                <w:rFonts w:hint="eastAsia" w:ascii="宋体" w:hAnsi="宋体" w:eastAsia="宋体" w:cs="宋体"/>
                <w:color w:val="auto"/>
                <w:highlight w:val="none"/>
              </w:rPr>
            </w:pPr>
          </w:p>
          <w:p w14:paraId="3FA5567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4E8C8CE4">
            <w:pPr>
              <w:rPr>
                <w:rFonts w:hint="eastAsia" w:ascii="宋体" w:hAnsi="宋体" w:eastAsia="宋体" w:cs="宋体"/>
                <w:color w:val="auto"/>
                <w:highlight w:val="none"/>
              </w:rPr>
            </w:pPr>
          </w:p>
        </w:tc>
      </w:tr>
      <w:tr w14:paraId="75721F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5" w:hRule="atLeast"/>
        </w:trPr>
        <w:tc>
          <w:tcPr>
            <w:tcW w:w="5351" w:type="dxa"/>
            <w:noWrap w:val="0"/>
            <w:vAlign w:val="top"/>
          </w:tcPr>
          <w:p w14:paraId="75451A09">
            <w:pPr>
              <w:spacing w:before="129" w:line="345" w:lineRule="auto"/>
              <w:ind w:left="115" w:right="105" w:firstLine="12"/>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2"/>
                <w:sz w:val="24"/>
                <w:szCs w:val="24"/>
                <w:highlight w:val="none"/>
                <w:lang w:eastAsia="zh-CN"/>
              </w:rPr>
              <w:t>（二）起重量</w:t>
            </w:r>
            <w:r>
              <w:rPr>
                <w:rFonts w:hint="eastAsia" w:ascii="宋体" w:hAnsi="宋体" w:eastAsia="宋体" w:cs="宋体"/>
                <w:color w:val="auto"/>
                <w:spacing w:val="-41"/>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300kN</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及以上，或搭设总高度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12"/>
                <w:sz w:val="24"/>
                <w:szCs w:val="24"/>
                <w:highlight w:val="none"/>
                <w:lang w:eastAsia="zh-CN"/>
              </w:rPr>
              <w:t>200m</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及以上，或搭设基础标高在</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200m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及以上的起重</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机械安装和拆卸工程。</w:t>
            </w:r>
          </w:p>
        </w:tc>
        <w:tc>
          <w:tcPr>
            <w:tcW w:w="1423" w:type="dxa"/>
            <w:noWrap w:val="0"/>
            <w:vAlign w:val="top"/>
          </w:tcPr>
          <w:p w14:paraId="7DA01514">
            <w:pPr>
              <w:spacing w:line="270" w:lineRule="auto"/>
              <w:rPr>
                <w:rFonts w:hint="eastAsia" w:ascii="宋体" w:hAnsi="宋体" w:eastAsia="宋体" w:cs="宋体"/>
                <w:color w:val="auto"/>
                <w:highlight w:val="none"/>
                <w:lang w:eastAsia="zh-CN"/>
              </w:rPr>
            </w:pPr>
          </w:p>
          <w:p w14:paraId="28D16214">
            <w:pPr>
              <w:spacing w:line="270" w:lineRule="auto"/>
              <w:rPr>
                <w:rFonts w:hint="eastAsia" w:ascii="宋体" w:hAnsi="宋体" w:eastAsia="宋体" w:cs="宋体"/>
                <w:color w:val="auto"/>
                <w:highlight w:val="none"/>
                <w:lang w:eastAsia="zh-CN"/>
              </w:rPr>
            </w:pPr>
          </w:p>
          <w:p w14:paraId="10130A4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56B2AD8">
            <w:pPr>
              <w:spacing w:line="270" w:lineRule="auto"/>
              <w:rPr>
                <w:rFonts w:hint="eastAsia" w:ascii="宋体" w:hAnsi="宋体" w:eastAsia="宋体" w:cs="宋体"/>
                <w:color w:val="auto"/>
                <w:highlight w:val="none"/>
              </w:rPr>
            </w:pPr>
          </w:p>
          <w:p w14:paraId="51F4C578">
            <w:pPr>
              <w:spacing w:line="270" w:lineRule="auto"/>
              <w:rPr>
                <w:rFonts w:hint="eastAsia" w:ascii="宋体" w:hAnsi="宋体" w:eastAsia="宋体" w:cs="宋体"/>
                <w:color w:val="auto"/>
                <w:highlight w:val="none"/>
              </w:rPr>
            </w:pPr>
          </w:p>
          <w:p w14:paraId="1456B46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AF22A2A">
            <w:pPr>
              <w:rPr>
                <w:rFonts w:hint="eastAsia" w:ascii="宋体" w:hAnsi="宋体" w:eastAsia="宋体" w:cs="宋体"/>
                <w:color w:val="auto"/>
                <w:highlight w:val="none"/>
              </w:rPr>
            </w:pPr>
          </w:p>
        </w:tc>
      </w:tr>
      <w:tr w14:paraId="1C82C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029E9A89">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423" w:type="dxa"/>
            <w:noWrap w:val="0"/>
            <w:vAlign w:val="top"/>
          </w:tcPr>
          <w:p w14:paraId="25162130">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F2FED3D">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2494AF9">
            <w:pPr>
              <w:rPr>
                <w:rFonts w:hint="eastAsia" w:ascii="宋体" w:hAnsi="宋体" w:eastAsia="宋体" w:cs="宋体"/>
                <w:color w:val="auto"/>
                <w:highlight w:val="none"/>
              </w:rPr>
            </w:pPr>
          </w:p>
        </w:tc>
      </w:tr>
      <w:tr w14:paraId="18725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14B037F5">
            <w:pPr>
              <w:spacing w:before="128" w:line="328"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（一）搭设高度</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50m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及以上的落地式钢管脚手</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架工程。</w:t>
            </w:r>
          </w:p>
        </w:tc>
        <w:tc>
          <w:tcPr>
            <w:tcW w:w="1423" w:type="dxa"/>
            <w:noWrap w:val="0"/>
            <w:vAlign w:val="top"/>
          </w:tcPr>
          <w:p w14:paraId="16DF3DD0">
            <w:pPr>
              <w:spacing w:line="296" w:lineRule="auto"/>
              <w:rPr>
                <w:rFonts w:hint="eastAsia" w:ascii="宋体" w:hAnsi="宋体" w:eastAsia="宋体" w:cs="宋体"/>
                <w:color w:val="auto"/>
                <w:highlight w:val="none"/>
                <w:lang w:eastAsia="zh-CN"/>
              </w:rPr>
            </w:pPr>
          </w:p>
          <w:p w14:paraId="5D3E4E17">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6095656">
            <w:pPr>
              <w:spacing w:line="296" w:lineRule="auto"/>
              <w:rPr>
                <w:rFonts w:hint="eastAsia" w:ascii="宋体" w:hAnsi="宋体" w:eastAsia="宋体" w:cs="宋体"/>
                <w:color w:val="auto"/>
                <w:highlight w:val="none"/>
              </w:rPr>
            </w:pPr>
          </w:p>
          <w:p w14:paraId="2FC3ACC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98D8A6F">
            <w:pPr>
              <w:rPr>
                <w:rFonts w:hint="eastAsia" w:ascii="宋体" w:hAnsi="宋体" w:eastAsia="宋体" w:cs="宋体"/>
                <w:color w:val="auto"/>
                <w:highlight w:val="none"/>
              </w:rPr>
            </w:pPr>
          </w:p>
        </w:tc>
      </w:tr>
      <w:tr w14:paraId="1FE35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2127199A">
            <w:pPr>
              <w:spacing w:before="131" w:line="327" w:lineRule="auto"/>
              <w:ind w:left="116" w:right="105" w:firstLine="11"/>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lang w:eastAsia="zh-CN"/>
              </w:rPr>
              <w:t>（二）提升高度在</w:t>
            </w:r>
            <w:r>
              <w:rPr>
                <w:rFonts w:hint="eastAsia" w:ascii="宋体" w:hAnsi="宋体" w:eastAsia="宋体" w:cs="宋体"/>
                <w:color w:val="auto"/>
                <w:spacing w:val="-16"/>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450m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6"/>
                <w:sz w:val="24"/>
                <w:szCs w:val="24"/>
                <w:highlight w:val="none"/>
                <w:lang w:eastAsia="zh-CN"/>
              </w:rPr>
              <w:t>及以上的附着式升降脚</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手架工程或附着式升降操作平台工程。</w:t>
            </w:r>
          </w:p>
        </w:tc>
        <w:tc>
          <w:tcPr>
            <w:tcW w:w="1423" w:type="dxa"/>
            <w:noWrap w:val="0"/>
            <w:vAlign w:val="top"/>
          </w:tcPr>
          <w:p w14:paraId="52A58491">
            <w:pPr>
              <w:spacing w:line="296" w:lineRule="auto"/>
              <w:rPr>
                <w:rFonts w:hint="eastAsia" w:ascii="宋体" w:hAnsi="宋体" w:eastAsia="宋体" w:cs="宋体"/>
                <w:color w:val="auto"/>
                <w:highlight w:val="none"/>
                <w:lang w:eastAsia="zh-CN"/>
              </w:rPr>
            </w:pPr>
          </w:p>
          <w:p w14:paraId="3552EDA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948EAA8">
            <w:pPr>
              <w:spacing w:line="296" w:lineRule="auto"/>
              <w:rPr>
                <w:rFonts w:hint="eastAsia" w:ascii="宋体" w:hAnsi="宋体" w:eastAsia="宋体" w:cs="宋体"/>
                <w:color w:val="auto"/>
                <w:highlight w:val="none"/>
              </w:rPr>
            </w:pPr>
          </w:p>
          <w:p w14:paraId="4E566F3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7AE49B72">
            <w:pPr>
              <w:rPr>
                <w:rFonts w:hint="eastAsia" w:ascii="宋体" w:hAnsi="宋体" w:eastAsia="宋体" w:cs="宋体"/>
                <w:color w:val="auto"/>
                <w:highlight w:val="none"/>
              </w:rPr>
            </w:pPr>
          </w:p>
        </w:tc>
      </w:tr>
      <w:tr w14:paraId="5B27C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09135177">
            <w:pPr>
              <w:spacing w:before="129" w:line="328"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（三）分段架体搭设高度</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20m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及以上的悬挑式</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脚手架工程。</w:t>
            </w:r>
          </w:p>
        </w:tc>
        <w:tc>
          <w:tcPr>
            <w:tcW w:w="1423" w:type="dxa"/>
            <w:noWrap w:val="0"/>
            <w:vAlign w:val="top"/>
          </w:tcPr>
          <w:p w14:paraId="76BA959C">
            <w:pPr>
              <w:spacing w:line="297" w:lineRule="auto"/>
              <w:rPr>
                <w:rFonts w:hint="eastAsia" w:ascii="宋体" w:hAnsi="宋体" w:eastAsia="宋体" w:cs="宋体"/>
                <w:color w:val="auto"/>
                <w:highlight w:val="none"/>
                <w:lang w:eastAsia="zh-CN"/>
              </w:rPr>
            </w:pPr>
          </w:p>
          <w:p w14:paraId="76AAF95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DDAB109">
            <w:pPr>
              <w:spacing w:line="297" w:lineRule="auto"/>
              <w:rPr>
                <w:rFonts w:hint="eastAsia" w:ascii="宋体" w:hAnsi="宋体" w:eastAsia="宋体" w:cs="宋体"/>
                <w:color w:val="auto"/>
                <w:highlight w:val="none"/>
              </w:rPr>
            </w:pPr>
          </w:p>
          <w:p w14:paraId="31E70994">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2522E7B">
            <w:pPr>
              <w:rPr>
                <w:rFonts w:hint="eastAsia" w:ascii="宋体" w:hAnsi="宋体" w:eastAsia="宋体" w:cs="宋体"/>
                <w:color w:val="auto"/>
                <w:highlight w:val="none"/>
              </w:rPr>
            </w:pPr>
          </w:p>
        </w:tc>
      </w:tr>
      <w:tr w14:paraId="064FE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5351" w:type="dxa"/>
            <w:noWrap w:val="0"/>
            <w:vAlign w:val="top"/>
          </w:tcPr>
          <w:p w14:paraId="27CC19BB">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423" w:type="dxa"/>
            <w:noWrap w:val="0"/>
            <w:vAlign w:val="top"/>
          </w:tcPr>
          <w:p w14:paraId="63A88E97">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5E82C8C">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35E0A88">
            <w:pPr>
              <w:rPr>
                <w:rFonts w:hint="eastAsia" w:ascii="宋体" w:hAnsi="宋体" w:eastAsia="宋体" w:cs="宋体"/>
                <w:color w:val="auto"/>
                <w:highlight w:val="none"/>
              </w:rPr>
            </w:pPr>
          </w:p>
        </w:tc>
      </w:tr>
      <w:tr w14:paraId="69685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4" w:hRule="atLeast"/>
        </w:trPr>
        <w:tc>
          <w:tcPr>
            <w:tcW w:w="5351" w:type="dxa"/>
            <w:noWrap w:val="0"/>
            <w:vAlign w:val="top"/>
          </w:tcPr>
          <w:p w14:paraId="63C420CC">
            <w:pPr>
              <w:spacing w:before="132" w:line="353"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（一）码头、桥梁、高架、烟囱、水塔或拆除</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中容易引起有毒有害气（液）体或粉尘扩散、</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易燃易爆事故发生的特殊建、构筑物的拆除工</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程。</w:t>
            </w:r>
          </w:p>
        </w:tc>
        <w:tc>
          <w:tcPr>
            <w:tcW w:w="1423" w:type="dxa"/>
            <w:noWrap w:val="0"/>
            <w:vAlign w:val="top"/>
          </w:tcPr>
          <w:p w14:paraId="5688449F">
            <w:pPr>
              <w:spacing w:line="262" w:lineRule="auto"/>
              <w:rPr>
                <w:rFonts w:hint="eastAsia" w:ascii="宋体" w:hAnsi="宋体" w:eastAsia="宋体" w:cs="宋体"/>
                <w:color w:val="auto"/>
                <w:highlight w:val="none"/>
                <w:lang w:eastAsia="zh-CN"/>
              </w:rPr>
            </w:pPr>
          </w:p>
          <w:p w14:paraId="55CD0F3D">
            <w:pPr>
              <w:spacing w:line="262" w:lineRule="auto"/>
              <w:rPr>
                <w:rFonts w:hint="eastAsia" w:ascii="宋体" w:hAnsi="宋体" w:eastAsia="宋体" w:cs="宋体"/>
                <w:color w:val="auto"/>
                <w:highlight w:val="none"/>
                <w:lang w:eastAsia="zh-CN"/>
              </w:rPr>
            </w:pPr>
          </w:p>
          <w:p w14:paraId="5DADCB2F">
            <w:pPr>
              <w:spacing w:line="262" w:lineRule="auto"/>
              <w:rPr>
                <w:rFonts w:hint="eastAsia" w:ascii="宋体" w:hAnsi="宋体" w:eastAsia="宋体" w:cs="宋体"/>
                <w:color w:val="auto"/>
                <w:highlight w:val="none"/>
                <w:lang w:eastAsia="zh-CN"/>
              </w:rPr>
            </w:pPr>
          </w:p>
          <w:p w14:paraId="62B20AE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1FD16F26">
            <w:pPr>
              <w:spacing w:line="262" w:lineRule="auto"/>
              <w:rPr>
                <w:rFonts w:hint="eastAsia" w:ascii="宋体" w:hAnsi="宋体" w:eastAsia="宋体" w:cs="宋体"/>
                <w:color w:val="auto"/>
                <w:highlight w:val="none"/>
              </w:rPr>
            </w:pPr>
          </w:p>
          <w:p w14:paraId="25A0DE27">
            <w:pPr>
              <w:spacing w:line="262" w:lineRule="auto"/>
              <w:rPr>
                <w:rFonts w:hint="eastAsia" w:ascii="宋体" w:hAnsi="宋体" w:eastAsia="宋体" w:cs="宋体"/>
                <w:color w:val="auto"/>
                <w:highlight w:val="none"/>
              </w:rPr>
            </w:pPr>
          </w:p>
          <w:p w14:paraId="0A439613">
            <w:pPr>
              <w:spacing w:line="262" w:lineRule="auto"/>
              <w:rPr>
                <w:rFonts w:hint="eastAsia" w:ascii="宋体" w:hAnsi="宋体" w:eastAsia="宋体" w:cs="宋体"/>
                <w:color w:val="auto"/>
                <w:highlight w:val="none"/>
              </w:rPr>
            </w:pPr>
          </w:p>
          <w:p w14:paraId="6C518394">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E9839DA">
            <w:pPr>
              <w:rPr>
                <w:rFonts w:hint="eastAsia" w:ascii="宋体" w:hAnsi="宋体" w:eastAsia="宋体" w:cs="宋体"/>
                <w:color w:val="auto"/>
                <w:highlight w:val="none"/>
              </w:rPr>
            </w:pPr>
          </w:p>
        </w:tc>
      </w:tr>
      <w:tr w14:paraId="568FA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7D606C38">
            <w:pPr>
              <w:spacing w:before="131" w:line="327" w:lineRule="auto"/>
              <w:ind w:left="117" w:right="168" w:firstLine="1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（二）文物保护建筑、优秀历史建筑或历史文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化风貌区影响范围内的拆除工程。</w:t>
            </w:r>
          </w:p>
        </w:tc>
        <w:tc>
          <w:tcPr>
            <w:tcW w:w="1423" w:type="dxa"/>
            <w:noWrap w:val="0"/>
            <w:vAlign w:val="top"/>
          </w:tcPr>
          <w:p w14:paraId="621D0E97">
            <w:pPr>
              <w:spacing w:line="297" w:lineRule="auto"/>
              <w:rPr>
                <w:rFonts w:hint="eastAsia" w:ascii="宋体" w:hAnsi="宋体" w:eastAsia="宋体" w:cs="宋体"/>
                <w:color w:val="auto"/>
                <w:highlight w:val="none"/>
                <w:lang w:eastAsia="zh-CN"/>
              </w:rPr>
            </w:pPr>
          </w:p>
          <w:p w14:paraId="02AF419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6B037B63">
            <w:pPr>
              <w:spacing w:line="297" w:lineRule="auto"/>
              <w:rPr>
                <w:rFonts w:hint="eastAsia" w:ascii="宋体" w:hAnsi="宋体" w:eastAsia="宋体" w:cs="宋体"/>
                <w:color w:val="auto"/>
                <w:highlight w:val="none"/>
              </w:rPr>
            </w:pPr>
          </w:p>
          <w:p w14:paraId="069C662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3A2C902A">
            <w:pPr>
              <w:rPr>
                <w:rFonts w:hint="eastAsia" w:ascii="宋体" w:hAnsi="宋体" w:eastAsia="宋体" w:cs="宋体"/>
                <w:color w:val="auto"/>
                <w:highlight w:val="none"/>
              </w:rPr>
            </w:pPr>
          </w:p>
        </w:tc>
      </w:tr>
      <w:tr w14:paraId="3B989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351" w:type="dxa"/>
            <w:noWrap w:val="0"/>
            <w:vAlign w:val="top"/>
          </w:tcPr>
          <w:p w14:paraId="7C82129F">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423" w:type="dxa"/>
            <w:noWrap w:val="0"/>
            <w:vAlign w:val="top"/>
          </w:tcPr>
          <w:p w14:paraId="59F6B6A2">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F06E82D">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4F338D4C">
            <w:pPr>
              <w:rPr>
                <w:rFonts w:hint="eastAsia" w:ascii="宋体" w:hAnsi="宋体" w:eastAsia="宋体" w:cs="宋体"/>
                <w:color w:val="auto"/>
                <w:highlight w:val="none"/>
              </w:rPr>
            </w:pPr>
          </w:p>
        </w:tc>
      </w:tr>
      <w:tr w14:paraId="56146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5351" w:type="dxa"/>
            <w:noWrap w:val="0"/>
            <w:vAlign w:val="top"/>
          </w:tcPr>
          <w:p w14:paraId="286DE01A">
            <w:pPr>
              <w:spacing w:before="131" w:line="327" w:lineRule="auto"/>
              <w:ind w:left="119" w:right="168" w:hanging="4"/>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采用矿山法、盾构法、顶管法施工的隧道、洞</w:t>
            </w:r>
            <w:r>
              <w:rPr>
                <w:rFonts w:hint="eastAsia" w:ascii="宋体" w:hAnsi="宋体" w:eastAsia="宋体" w:cs="宋体"/>
                <w:color w:val="auto"/>
                <w:spacing w:val="10"/>
                <w:sz w:val="24"/>
                <w:szCs w:val="24"/>
                <w:highlight w:val="none"/>
                <w:lang w:eastAsia="zh-CN"/>
              </w:rPr>
              <w:t xml:space="preserve"> </w:t>
            </w:r>
            <w:r>
              <w:rPr>
                <w:rFonts w:hint="eastAsia" w:ascii="宋体" w:hAnsi="宋体" w:eastAsia="宋体" w:cs="宋体"/>
                <w:color w:val="auto"/>
                <w:spacing w:val="-4"/>
                <w:sz w:val="24"/>
                <w:szCs w:val="24"/>
                <w:highlight w:val="none"/>
                <w:lang w:eastAsia="zh-CN"/>
              </w:rPr>
              <w:t>室工程。</w:t>
            </w:r>
          </w:p>
        </w:tc>
        <w:tc>
          <w:tcPr>
            <w:tcW w:w="1423" w:type="dxa"/>
            <w:noWrap w:val="0"/>
            <w:vAlign w:val="top"/>
          </w:tcPr>
          <w:p w14:paraId="5A444A80">
            <w:pPr>
              <w:spacing w:line="298" w:lineRule="auto"/>
              <w:rPr>
                <w:rFonts w:hint="eastAsia" w:ascii="宋体" w:hAnsi="宋体" w:eastAsia="宋体" w:cs="宋体"/>
                <w:color w:val="auto"/>
                <w:highlight w:val="none"/>
                <w:lang w:eastAsia="zh-CN"/>
              </w:rPr>
            </w:pPr>
          </w:p>
          <w:p w14:paraId="69B475D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7552BA8">
            <w:pPr>
              <w:spacing w:line="298" w:lineRule="auto"/>
              <w:rPr>
                <w:rFonts w:hint="eastAsia" w:ascii="宋体" w:hAnsi="宋体" w:eastAsia="宋体" w:cs="宋体"/>
                <w:color w:val="auto"/>
                <w:highlight w:val="none"/>
              </w:rPr>
            </w:pPr>
          </w:p>
          <w:p w14:paraId="7945B48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040AEEF">
            <w:pPr>
              <w:rPr>
                <w:rFonts w:hint="eastAsia" w:ascii="宋体" w:hAnsi="宋体" w:eastAsia="宋体" w:cs="宋体"/>
                <w:color w:val="auto"/>
                <w:highlight w:val="none"/>
              </w:rPr>
            </w:pPr>
          </w:p>
        </w:tc>
      </w:tr>
      <w:tr w14:paraId="65DC8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2C3297FF">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423" w:type="dxa"/>
            <w:noWrap w:val="0"/>
            <w:vAlign w:val="top"/>
          </w:tcPr>
          <w:p w14:paraId="3FAB6010">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39B5E0F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352329B">
            <w:pPr>
              <w:rPr>
                <w:rFonts w:hint="eastAsia" w:ascii="宋体" w:hAnsi="宋体" w:eastAsia="宋体" w:cs="宋体"/>
                <w:color w:val="auto"/>
                <w:highlight w:val="none"/>
              </w:rPr>
            </w:pPr>
          </w:p>
        </w:tc>
      </w:tr>
      <w:tr w14:paraId="7AAB5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36A57B68">
            <w:pPr>
              <w:spacing w:before="130" w:line="327" w:lineRule="auto"/>
              <w:ind w:left="115" w:right="168"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（一）施工高度</w:t>
            </w:r>
            <w:r>
              <w:rPr>
                <w:rFonts w:hint="eastAsia" w:ascii="宋体" w:hAnsi="宋体" w:eastAsia="宋体" w:cs="宋体"/>
                <w:color w:val="auto"/>
                <w:spacing w:val="-28"/>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50m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3"/>
                <w:sz w:val="24"/>
                <w:szCs w:val="24"/>
                <w:highlight w:val="none"/>
                <w:lang w:eastAsia="zh-CN"/>
              </w:rPr>
              <w:t>及以上的建筑幕墙安装工</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5"/>
                <w:sz w:val="24"/>
                <w:szCs w:val="24"/>
                <w:highlight w:val="none"/>
                <w:lang w:eastAsia="zh-CN"/>
              </w:rPr>
              <w:t>程。</w:t>
            </w:r>
          </w:p>
        </w:tc>
        <w:tc>
          <w:tcPr>
            <w:tcW w:w="1423" w:type="dxa"/>
            <w:noWrap w:val="0"/>
            <w:vAlign w:val="top"/>
          </w:tcPr>
          <w:p w14:paraId="7EDEF09A">
            <w:pPr>
              <w:spacing w:line="297" w:lineRule="auto"/>
              <w:rPr>
                <w:rFonts w:hint="eastAsia" w:ascii="宋体" w:hAnsi="宋体" w:eastAsia="宋体" w:cs="宋体"/>
                <w:color w:val="auto"/>
                <w:highlight w:val="none"/>
                <w:lang w:eastAsia="zh-CN"/>
              </w:rPr>
            </w:pPr>
          </w:p>
          <w:p w14:paraId="5D92E14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71767B25">
            <w:pPr>
              <w:spacing w:line="297" w:lineRule="auto"/>
              <w:rPr>
                <w:rFonts w:hint="eastAsia" w:ascii="宋体" w:hAnsi="宋体" w:eastAsia="宋体" w:cs="宋体"/>
                <w:color w:val="auto"/>
                <w:highlight w:val="none"/>
              </w:rPr>
            </w:pPr>
          </w:p>
          <w:p w14:paraId="6666EB5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2244CD28">
            <w:pPr>
              <w:rPr>
                <w:rFonts w:hint="eastAsia" w:ascii="宋体" w:hAnsi="宋体" w:eastAsia="宋体" w:cs="宋体"/>
                <w:color w:val="auto"/>
                <w:highlight w:val="none"/>
              </w:rPr>
            </w:pPr>
          </w:p>
        </w:tc>
      </w:tr>
      <w:tr w14:paraId="33F6D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351" w:type="dxa"/>
            <w:noWrap w:val="0"/>
            <w:vAlign w:val="top"/>
          </w:tcPr>
          <w:p w14:paraId="3AAB6E88">
            <w:pPr>
              <w:spacing w:before="130" w:line="221"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（二）跨度</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36m</w:t>
            </w:r>
            <w:r>
              <w:rPr>
                <w:rFonts w:hint="eastAsia" w:ascii="宋体" w:hAnsi="宋体" w:eastAsia="宋体" w:cs="宋体"/>
                <w:color w:val="auto"/>
                <w:spacing w:val="-51"/>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及以上的钢结构安装工程，或</w:t>
            </w:r>
          </w:p>
        </w:tc>
        <w:tc>
          <w:tcPr>
            <w:tcW w:w="1423" w:type="dxa"/>
            <w:noWrap w:val="0"/>
            <w:vAlign w:val="top"/>
          </w:tcPr>
          <w:p w14:paraId="3F9401F9">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08ACEBB2">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5828D278">
            <w:pPr>
              <w:rPr>
                <w:rFonts w:hint="eastAsia" w:ascii="宋体" w:hAnsi="宋体" w:eastAsia="宋体" w:cs="宋体"/>
                <w:color w:val="auto"/>
                <w:highlight w:val="none"/>
              </w:rPr>
            </w:pPr>
          </w:p>
        </w:tc>
      </w:tr>
      <w:tr w14:paraId="7B5E1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351" w:type="dxa"/>
            <w:noWrap w:val="0"/>
            <w:vAlign w:val="top"/>
          </w:tcPr>
          <w:p w14:paraId="0804385D">
            <w:pPr>
              <w:spacing w:before="131" w:line="221" w:lineRule="auto"/>
              <w:ind w:left="116"/>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跨度</w:t>
            </w:r>
            <w:r>
              <w:rPr>
                <w:rFonts w:hint="eastAsia" w:ascii="宋体" w:hAnsi="宋体" w:eastAsia="宋体" w:cs="宋体"/>
                <w:color w:val="auto"/>
                <w:spacing w:val="-37"/>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60m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2"/>
                <w:sz w:val="24"/>
                <w:szCs w:val="24"/>
                <w:highlight w:val="none"/>
                <w:lang w:eastAsia="zh-CN"/>
              </w:rPr>
              <w:t>及以上的网架和索膜结构安装工程。</w:t>
            </w:r>
          </w:p>
        </w:tc>
        <w:tc>
          <w:tcPr>
            <w:tcW w:w="1423" w:type="dxa"/>
            <w:noWrap w:val="0"/>
            <w:vAlign w:val="top"/>
          </w:tcPr>
          <w:p w14:paraId="13D28284">
            <w:pPr>
              <w:rPr>
                <w:rFonts w:hint="eastAsia" w:ascii="宋体" w:hAnsi="宋体" w:eastAsia="宋体" w:cs="宋体"/>
                <w:color w:val="auto"/>
                <w:highlight w:val="none"/>
                <w:lang w:eastAsia="zh-CN"/>
              </w:rPr>
            </w:pPr>
          </w:p>
        </w:tc>
        <w:tc>
          <w:tcPr>
            <w:tcW w:w="1423" w:type="dxa"/>
            <w:noWrap w:val="0"/>
            <w:vAlign w:val="top"/>
          </w:tcPr>
          <w:p w14:paraId="5736F311">
            <w:pPr>
              <w:rPr>
                <w:rFonts w:hint="eastAsia" w:ascii="宋体" w:hAnsi="宋体" w:eastAsia="宋体" w:cs="宋体"/>
                <w:color w:val="auto"/>
                <w:highlight w:val="none"/>
                <w:lang w:eastAsia="zh-CN"/>
              </w:rPr>
            </w:pPr>
          </w:p>
        </w:tc>
        <w:tc>
          <w:tcPr>
            <w:tcW w:w="1180" w:type="dxa"/>
            <w:noWrap w:val="0"/>
            <w:vAlign w:val="top"/>
          </w:tcPr>
          <w:p w14:paraId="1146D88F">
            <w:pPr>
              <w:rPr>
                <w:rFonts w:hint="eastAsia" w:ascii="宋体" w:hAnsi="宋体" w:eastAsia="宋体" w:cs="宋体"/>
                <w:color w:val="auto"/>
                <w:highlight w:val="none"/>
                <w:lang w:eastAsia="zh-CN"/>
              </w:rPr>
            </w:pPr>
          </w:p>
        </w:tc>
      </w:tr>
      <w:tr w14:paraId="74AB5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5351" w:type="dxa"/>
            <w:noWrap w:val="0"/>
            <w:vAlign w:val="top"/>
          </w:tcPr>
          <w:p w14:paraId="31834440">
            <w:pPr>
              <w:spacing w:before="127" w:line="220" w:lineRule="auto"/>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lang w:eastAsia="zh-CN"/>
              </w:rPr>
              <w:t>（三）开挖深度</w:t>
            </w:r>
            <w:r>
              <w:rPr>
                <w:rFonts w:hint="eastAsia" w:ascii="宋体" w:hAnsi="宋体" w:eastAsia="宋体" w:cs="宋体"/>
                <w:color w:val="auto"/>
                <w:spacing w:val="-33"/>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16m</w:t>
            </w:r>
            <w:r>
              <w:rPr>
                <w:rFonts w:hint="eastAsia" w:ascii="宋体" w:hAnsi="宋体" w:eastAsia="宋体" w:cs="宋体"/>
                <w:color w:val="auto"/>
                <w:spacing w:val="-52"/>
                <w:sz w:val="24"/>
                <w:szCs w:val="24"/>
                <w:highlight w:val="none"/>
                <w:lang w:eastAsia="zh-CN"/>
              </w:rPr>
              <w:t xml:space="preserve"> </w:t>
            </w:r>
            <w:r>
              <w:rPr>
                <w:rFonts w:hint="eastAsia" w:ascii="宋体" w:hAnsi="宋体" w:eastAsia="宋体" w:cs="宋体"/>
                <w:color w:val="auto"/>
                <w:spacing w:val="-7"/>
                <w:sz w:val="24"/>
                <w:szCs w:val="24"/>
                <w:highlight w:val="none"/>
                <w:lang w:eastAsia="zh-CN"/>
              </w:rPr>
              <w:t>及以上的人工挖孔桩工程。</w:t>
            </w:r>
          </w:p>
        </w:tc>
        <w:tc>
          <w:tcPr>
            <w:tcW w:w="1423" w:type="dxa"/>
            <w:noWrap w:val="0"/>
            <w:vAlign w:val="top"/>
          </w:tcPr>
          <w:p w14:paraId="1A93970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4F4D406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4F73E4E1">
            <w:pPr>
              <w:rPr>
                <w:rFonts w:hint="eastAsia" w:ascii="宋体" w:hAnsi="宋体" w:eastAsia="宋体" w:cs="宋体"/>
                <w:color w:val="auto"/>
                <w:highlight w:val="none"/>
              </w:rPr>
            </w:pPr>
          </w:p>
        </w:tc>
      </w:tr>
      <w:tr w14:paraId="7CCBF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5351" w:type="dxa"/>
            <w:noWrap w:val="0"/>
            <w:vAlign w:val="top"/>
          </w:tcPr>
          <w:p w14:paraId="78CA8A32">
            <w:pPr>
              <w:spacing w:before="129" w:line="220" w:lineRule="auto"/>
              <w:ind w:left="127"/>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eastAsia="zh-CN"/>
              </w:rPr>
              <w:t>（四）水下作业工程。</w:t>
            </w:r>
          </w:p>
        </w:tc>
        <w:tc>
          <w:tcPr>
            <w:tcW w:w="1423" w:type="dxa"/>
            <w:noWrap w:val="0"/>
            <w:vAlign w:val="top"/>
          </w:tcPr>
          <w:p w14:paraId="19276E2B">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CDD3839">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1370464">
            <w:pPr>
              <w:rPr>
                <w:rFonts w:hint="eastAsia" w:ascii="宋体" w:hAnsi="宋体" w:eastAsia="宋体" w:cs="宋体"/>
                <w:color w:val="auto"/>
                <w:highlight w:val="none"/>
              </w:rPr>
            </w:pPr>
          </w:p>
        </w:tc>
      </w:tr>
      <w:tr w14:paraId="1F23F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6" w:hRule="atLeast"/>
        </w:trPr>
        <w:tc>
          <w:tcPr>
            <w:tcW w:w="5351" w:type="dxa"/>
            <w:noWrap w:val="0"/>
            <w:vAlign w:val="top"/>
          </w:tcPr>
          <w:p w14:paraId="490B8781">
            <w:pPr>
              <w:spacing w:before="130" w:line="327" w:lineRule="auto"/>
              <w:ind w:left="115" w:right="25" w:firstLine="12"/>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lang w:eastAsia="zh-CN"/>
              </w:rPr>
              <w:t>（五）重量</w:t>
            </w:r>
            <w:r>
              <w:rPr>
                <w:rFonts w:hint="eastAsia" w:ascii="宋体" w:hAnsi="宋体" w:eastAsia="宋体" w:cs="宋体"/>
                <w:color w:val="auto"/>
                <w:spacing w:val="-48"/>
                <w:sz w:val="24"/>
                <w:szCs w:val="24"/>
                <w:highlight w:val="none"/>
                <w:lang w:eastAsia="zh-CN"/>
              </w:rPr>
              <w:t xml:space="preserve"> </w:t>
            </w:r>
            <w:r>
              <w:rPr>
                <w:rFonts w:hint="eastAsia" w:ascii="宋体" w:hAnsi="宋体" w:eastAsia="宋体" w:cs="宋体"/>
                <w:color w:val="auto"/>
                <w:spacing w:val="-8"/>
                <w:sz w:val="24"/>
                <w:szCs w:val="24"/>
                <w:highlight w:val="none"/>
                <w:lang w:eastAsia="zh-CN"/>
              </w:rPr>
              <w:t>1000kN及以上的大型结构整体顶升、</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平移、转体等施工工艺。</w:t>
            </w:r>
          </w:p>
        </w:tc>
        <w:tc>
          <w:tcPr>
            <w:tcW w:w="1423" w:type="dxa"/>
            <w:noWrap w:val="0"/>
            <w:vAlign w:val="top"/>
          </w:tcPr>
          <w:p w14:paraId="089136D3">
            <w:pPr>
              <w:spacing w:line="296" w:lineRule="auto"/>
              <w:rPr>
                <w:rFonts w:hint="eastAsia" w:ascii="宋体" w:hAnsi="宋体" w:eastAsia="宋体" w:cs="宋体"/>
                <w:color w:val="auto"/>
                <w:highlight w:val="none"/>
                <w:lang w:eastAsia="zh-CN"/>
              </w:rPr>
            </w:pPr>
          </w:p>
          <w:p w14:paraId="35F4FAD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4E80E75">
            <w:pPr>
              <w:spacing w:line="296" w:lineRule="auto"/>
              <w:rPr>
                <w:rFonts w:hint="eastAsia" w:ascii="宋体" w:hAnsi="宋体" w:eastAsia="宋体" w:cs="宋体"/>
                <w:color w:val="auto"/>
                <w:highlight w:val="none"/>
              </w:rPr>
            </w:pPr>
          </w:p>
          <w:p w14:paraId="44F65FF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0CAB4BC5">
            <w:pPr>
              <w:rPr>
                <w:rFonts w:hint="eastAsia" w:ascii="宋体" w:hAnsi="宋体" w:eastAsia="宋体" w:cs="宋体"/>
                <w:color w:val="auto"/>
                <w:highlight w:val="none"/>
              </w:rPr>
            </w:pPr>
          </w:p>
        </w:tc>
      </w:tr>
      <w:tr w14:paraId="0ACAC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5351" w:type="dxa"/>
            <w:noWrap w:val="0"/>
            <w:vAlign w:val="top"/>
          </w:tcPr>
          <w:p w14:paraId="54E0684D">
            <w:pPr>
              <w:spacing w:before="129" w:line="346" w:lineRule="auto"/>
              <w:ind w:left="117" w:right="168" w:firstLine="1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（六）采用新技术、新工艺、新材料、新设备</w:t>
            </w:r>
            <w:r>
              <w:rPr>
                <w:rFonts w:hint="eastAsia" w:ascii="宋体" w:hAnsi="宋体" w:eastAsia="宋体" w:cs="宋体"/>
                <w:color w:val="auto"/>
                <w:spacing w:val="1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可能影响工程施工安全，尚无国家、行业及地</w:t>
            </w:r>
            <w:r>
              <w:rPr>
                <w:rFonts w:hint="eastAsia" w:ascii="宋体" w:hAnsi="宋体" w:eastAsia="宋体" w:cs="宋体"/>
                <w:color w:val="auto"/>
                <w:spacing w:val="8"/>
                <w:sz w:val="24"/>
                <w:szCs w:val="24"/>
                <w:highlight w:val="none"/>
                <w:lang w:eastAsia="zh-CN"/>
              </w:rPr>
              <w:t xml:space="preserve"> </w:t>
            </w:r>
            <w:r>
              <w:rPr>
                <w:rFonts w:hint="eastAsia" w:ascii="宋体" w:hAnsi="宋体" w:eastAsia="宋体" w:cs="宋体"/>
                <w:color w:val="auto"/>
                <w:spacing w:val="-1"/>
                <w:sz w:val="24"/>
                <w:szCs w:val="24"/>
                <w:highlight w:val="none"/>
                <w:lang w:eastAsia="zh-CN"/>
              </w:rPr>
              <w:t>方技术标准的分部分项工程。</w:t>
            </w:r>
          </w:p>
        </w:tc>
        <w:tc>
          <w:tcPr>
            <w:tcW w:w="1423" w:type="dxa"/>
            <w:noWrap w:val="0"/>
            <w:vAlign w:val="top"/>
          </w:tcPr>
          <w:p w14:paraId="73A6A0E2">
            <w:pPr>
              <w:spacing w:line="272" w:lineRule="auto"/>
              <w:rPr>
                <w:rFonts w:hint="eastAsia" w:ascii="宋体" w:hAnsi="宋体" w:eastAsia="宋体" w:cs="宋体"/>
                <w:color w:val="auto"/>
                <w:highlight w:val="none"/>
                <w:lang w:eastAsia="zh-CN"/>
              </w:rPr>
            </w:pPr>
          </w:p>
          <w:p w14:paraId="31DFB6B1">
            <w:pPr>
              <w:spacing w:line="272" w:lineRule="auto"/>
              <w:rPr>
                <w:rFonts w:hint="eastAsia" w:ascii="宋体" w:hAnsi="宋体" w:eastAsia="宋体" w:cs="宋体"/>
                <w:color w:val="auto"/>
                <w:highlight w:val="none"/>
                <w:lang w:eastAsia="zh-CN"/>
              </w:rPr>
            </w:pPr>
          </w:p>
          <w:p w14:paraId="2E9691AA">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423" w:type="dxa"/>
            <w:noWrap w:val="0"/>
            <w:vAlign w:val="top"/>
          </w:tcPr>
          <w:p w14:paraId="291BAC3B">
            <w:pPr>
              <w:spacing w:line="272" w:lineRule="auto"/>
              <w:rPr>
                <w:rFonts w:hint="eastAsia" w:ascii="宋体" w:hAnsi="宋体" w:eastAsia="宋体" w:cs="宋体"/>
                <w:color w:val="auto"/>
                <w:highlight w:val="none"/>
              </w:rPr>
            </w:pPr>
          </w:p>
          <w:p w14:paraId="1AFDCC8E">
            <w:pPr>
              <w:spacing w:line="272" w:lineRule="auto"/>
              <w:rPr>
                <w:rFonts w:hint="eastAsia" w:ascii="宋体" w:hAnsi="宋体" w:eastAsia="宋体" w:cs="宋体"/>
                <w:color w:val="auto"/>
                <w:highlight w:val="none"/>
              </w:rPr>
            </w:pPr>
          </w:p>
          <w:p w14:paraId="469F461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180" w:type="dxa"/>
            <w:noWrap w:val="0"/>
            <w:vAlign w:val="top"/>
          </w:tcPr>
          <w:p w14:paraId="1BD9B9F1">
            <w:pPr>
              <w:rPr>
                <w:rFonts w:hint="eastAsia" w:ascii="宋体" w:hAnsi="宋体" w:eastAsia="宋体" w:cs="宋体"/>
                <w:color w:val="auto"/>
                <w:highlight w:val="none"/>
              </w:rPr>
            </w:pPr>
          </w:p>
        </w:tc>
      </w:tr>
    </w:tbl>
    <w:p w14:paraId="663C6260">
      <w:pPr>
        <w:spacing w:line="288" w:lineRule="auto"/>
        <w:rPr>
          <w:rFonts w:hint="eastAsia" w:ascii="宋体" w:hAnsi="宋体" w:eastAsia="宋体" w:cs="宋体"/>
          <w:color w:val="auto"/>
          <w:highlight w:val="none"/>
        </w:rPr>
      </w:pPr>
    </w:p>
    <w:p w14:paraId="3FB92048">
      <w:pPr>
        <w:rPr>
          <w:highlight w:val="none"/>
        </w:rPr>
      </w:pPr>
    </w:p>
    <w:p w14:paraId="1D56C4A3">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69"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69"/>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0"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0"/>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2"/>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2"/>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2"/>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2"/>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2"/>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2"/>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2"/>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2"/>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2"/>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2"/>
              <w:rPr>
                <w:rFonts w:hint="eastAsia" w:ascii="宋体" w:hAnsi="宋体" w:eastAsia="宋体" w:cs="宋体"/>
                <w:color w:val="auto"/>
                <w:sz w:val="24"/>
                <w:szCs w:val="24"/>
                <w:highlight w:val="none"/>
              </w:rPr>
            </w:pPr>
          </w:p>
        </w:tc>
        <w:tc>
          <w:tcPr>
            <w:tcW w:w="1771" w:type="dxa"/>
            <w:gridSpan w:val="2"/>
            <w:vAlign w:val="top"/>
          </w:tcPr>
          <w:p w14:paraId="4F42E60F">
            <w:pPr>
              <w:pStyle w:val="22"/>
              <w:rPr>
                <w:rFonts w:hint="eastAsia" w:ascii="宋体" w:hAnsi="宋体" w:eastAsia="宋体" w:cs="宋体"/>
                <w:color w:val="auto"/>
                <w:sz w:val="24"/>
                <w:szCs w:val="24"/>
                <w:highlight w:val="none"/>
              </w:rPr>
            </w:pPr>
          </w:p>
        </w:tc>
        <w:tc>
          <w:tcPr>
            <w:tcW w:w="1637" w:type="dxa"/>
            <w:vAlign w:val="top"/>
          </w:tcPr>
          <w:p w14:paraId="3C09D08F">
            <w:pPr>
              <w:pStyle w:val="22"/>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2"/>
              <w:rPr>
                <w:rFonts w:hint="eastAsia" w:ascii="宋体" w:hAnsi="宋体" w:eastAsia="宋体" w:cs="宋体"/>
                <w:color w:val="auto"/>
                <w:sz w:val="24"/>
                <w:szCs w:val="24"/>
                <w:highlight w:val="none"/>
              </w:rPr>
            </w:pPr>
          </w:p>
        </w:tc>
        <w:tc>
          <w:tcPr>
            <w:tcW w:w="1771" w:type="dxa"/>
            <w:gridSpan w:val="2"/>
            <w:vAlign w:val="top"/>
          </w:tcPr>
          <w:p w14:paraId="745FD79F">
            <w:pPr>
              <w:pStyle w:val="22"/>
              <w:rPr>
                <w:rFonts w:hint="eastAsia" w:ascii="宋体" w:hAnsi="宋体" w:eastAsia="宋体" w:cs="宋体"/>
                <w:color w:val="auto"/>
                <w:sz w:val="24"/>
                <w:szCs w:val="24"/>
                <w:highlight w:val="none"/>
              </w:rPr>
            </w:pPr>
          </w:p>
        </w:tc>
        <w:tc>
          <w:tcPr>
            <w:tcW w:w="1637" w:type="dxa"/>
            <w:vAlign w:val="top"/>
          </w:tcPr>
          <w:p w14:paraId="2EFE754E">
            <w:pPr>
              <w:pStyle w:val="22"/>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2"/>
              <w:rPr>
                <w:rFonts w:hint="eastAsia" w:ascii="宋体" w:hAnsi="宋体" w:eastAsia="宋体" w:cs="宋体"/>
                <w:color w:val="auto"/>
                <w:sz w:val="24"/>
                <w:szCs w:val="24"/>
                <w:highlight w:val="none"/>
              </w:rPr>
            </w:pPr>
          </w:p>
        </w:tc>
        <w:tc>
          <w:tcPr>
            <w:tcW w:w="1771" w:type="dxa"/>
            <w:gridSpan w:val="2"/>
            <w:vAlign w:val="top"/>
          </w:tcPr>
          <w:p w14:paraId="40E0E057">
            <w:pPr>
              <w:pStyle w:val="22"/>
              <w:rPr>
                <w:rFonts w:hint="eastAsia" w:ascii="宋体" w:hAnsi="宋体" w:eastAsia="宋体" w:cs="宋体"/>
                <w:color w:val="auto"/>
                <w:sz w:val="24"/>
                <w:szCs w:val="24"/>
                <w:highlight w:val="none"/>
              </w:rPr>
            </w:pPr>
          </w:p>
        </w:tc>
        <w:tc>
          <w:tcPr>
            <w:tcW w:w="1637" w:type="dxa"/>
            <w:vAlign w:val="top"/>
          </w:tcPr>
          <w:p w14:paraId="28B42581">
            <w:pPr>
              <w:pStyle w:val="22"/>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2"/>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2"/>
              <w:rPr>
                <w:rFonts w:hint="eastAsia" w:ascii="宋体" w:hAnsi="宋体" w:eastAsia="宋体" w:cs="宋体"/>
                <w:color w:val="auto"/>
                <w:sz w:val="24"/>
                <w:szCs w:val="24"/>
                <w:highlight w:val="none"/>
              </w:rPr>
            </w:pPr>
          </w:p>
        </w:tc>
        <w:tc>
          <w:tcPr>
            <w:tcW w:w="1771" w:type="dxa"/>
            <w:gridSpan w:val="2"/>
            <w:vAlign w:val="top"/>
          </w:tcPr>
          <w:p w14:paraId="6D54D719">
            <w:pPr>
              <w:pStyle w:val="22"/>
              <w:rPr>
                <w:rFonts w:hint="eastAsia" w:ascii="宋体" w:hAnsi="宋体" w:eastAsia="宋体" w:cs="宋体"/>
                <w:color w:val="auto"/>
                <w:sz w:val="24"/>
                <w:szCs w:val="24"/>
                <w:highlight w:val="none"/>
              </w:rPr>
            </w:pPr>
          </w:p>
        </w:tc>
        <w:tc>
          <w:tcPr>
            <w:tcW w:w="1637" w:type="dxa"/>
            <w:vAlign w:val="top"/>
          </w:tcPr>
          <w:p w14:paraId="75E6A05C">
            <w:pPr>
              <w:pStyle w:val="22"/>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2"/>
              <w:spacing w:line="274" w:lineRule="auto"/>
              <w:rPr>
                <w:rFonts w:hint="eastAsia" w:ascii="宋体" w:hAnsi="宋体" w:eastAsia="宋体" w:cs="宋体"/>
                <w:color w:val="auto"/>
                <w:sz w:val="24"/>
                <w:szCs w:val="24"/>
                <w:highlight w:val="none"/>
              </w:rPr>
            </w:pPr>
          </w:p>
          <w:p w14:paraId="198C1B4E">
            <w:pPr>
              <w:pStyle w:val="22"/>
              <w:spacing w:line="275" w:lineRule="auto"/>
              <w:rPr>
                <w:rFonts w:hint="eastAsia" w:ascii="宋体" w:hAnsi="宋体" w:eastAsia="宋体" w:cs="宋体"/>
                <w:color w:val="auto"/>
                <w:sz w:val="24"/>
                <w:szCs w:val="24"/>
                <w:highlight w:val="none"/>
              </w:rPr>
            </w:pPr>
          </w:p>
          <w:p w14:paraId="161C02DA">
            <w:pPr>
              <w:pStyle w:val="22"/>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2"/>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2"/>
              <w:rPr>
                <w:rFonts w:hint="eastAsia" w:ascii="宋体" w:hAnsi="宋体" w:eastAsia="宋体" w:cs="宋体"/>
                <w:color w:val="auto"/>
                <w:sz w:val="24"/>
                <w:szCs w:val="24"/>
                <w:highlight w:val="none"/>
              </w:rPr>
            </w:pPr>
          </w:p>
        </w:tc>
        <w:tc>
          <w:tcPr>
            <w:tcW w:w="1683" w:type="dxa"/>
            <w:gridSpan w:val="2"/>
            <w:vAlign w:val="top"/>
          </w:tcPr>
          <w:p w14:paraId="5328A3CB">
            <w:pPr>
              <w:pStyle w:val="22"/>
              <w:spacing w:line="288" w:lineRule="auto"/>
              <w:rPr>
                <w:rFonts w:hint="eastAsia" w:ascii="宋体" w:hAnsi="宋体" w:eastAsia="宋体" w:cs="宋体"/>
                <w:color w:val="auto"/>
                <w:sz w:val="24"/>
                <w:szCs w:val="24"/>
                <w:highlight w:val="none"/>
              </w:rPr>
            </w:pPr>
          </w:p>
          <w:p w14:paraId="0C2B5A86">
            <w:pPr>
              <w:pStyle w:val="22"/>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2"/>
              <w:spacing w:line="288" w:lineRule="auto"/>
              <w:rPr>
                <w:rFonts w:hint="eastAsia" w:ascii="宋体" w:hAnsi="宋体" w:eastAsia="宋体" w:cs="宋体"/>
                <w:color w:val="auto"/>
                <w:sz w:val="24"/>
                <w:szCs w:val="24"/>
                <w:highlight w:val="none"/>
              </w:rPr>
            </w:pPr>
          </w:p>
          <w:p w14:paraId="0F1E1751">
            <w:pPr>
              <w:pStyle w:val="22"/>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2"/>
              <w:rPr>
                <w:rFonts w:hint="eastAsia" w:ascii="宋体" w:hAnsi="宋体" w:eastAsia="宋体" w:cs="宋体"/>
                <w:color w:val="auto"/>
                <w:sz w:val="24"/>
                <w:szCs w:val="24"/>
                <w:highlight w:val="none"/>
              </w:rPr>
            </w:pPr>
          </w:p>
        </w:tc>
        <w:tc>
          <w:tcPr>
            <w:tcW w:w="1683" w:type="dxa"/>
            <w:gridSpan w:val="2"/>
            <w:vAlign w:val="top"/>
          </w:tcPr>
          <w:p w14:paraId="7AC1377A">
            <w:pPr>
              <w:pStyle w:val="22"/>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2"/>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1" w:name="bookmark107"/>
      <w:bookmarkEnd w:id="271"/>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2" w:name="_Toc7940"/>
      <w:bookmarkStart w:id="273" w:name="_Toc3970"/>
      <w:r>
        <w:rPr>
          <w:rStyle w:val="21"/>
          <w:rFonts w:hint="eastAsia" w:ascii="Times New Roman" w:hAnsi="宋体" w:eastAsia="宋体" w:cs="Times New Roman"/>
          <w:b/>
          <w:bCs/>
          <w:color w:val="auto"/>
          <w:kern w:val="0"/>
          <w:sz w:val="21"/>
          <w:szCs w:val="21"/>
          <w:highlight w:val="none"/>
          <w:lang w:val="en-US" w:eastAsia="zh-CN" w:bidi="ar-SA"/>
        </w:rPr>
        <w:t>格式十六 助力项目承诺书</w:t>
      </w:r>
      <w:bookmarkEnd w:id="272"/>
      <w:bookmarkEnd w:id="273"/>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注：上述承诺书中的企业社会贡献最高投标限价百分比要使用阿拉伯数字填报，不得填报负值，企业社会贡献没有填报任何数字或填报负值的按无企业社会贡献处理，但不作无效投标处理。</w:t>
      </w:r>
    </w:p>
    <w:p w14:paraId="56BC3E48">
      <w:pPr>
        <w:pStyle w:val="40"/>
        <w:ind w:left="0" w:leftChars="0" w:firstLine="0" w:firstLineChars="0"/>
        <w:rPr>
          <w:rStyle w:val="44"/>
          <w:rFonts w:hint="eastAsia" w:ascii="宋体" w:hAnsi="宋体" w:eastAsia="宋体" w:cs="宋体"/>
          <w:bCs/>
          <w:color w:val="auto"/>
          <w:kern w:val="2"/>
          <w:sz w:val="21"/>
          <w:szCs w:val="21"/>
          <w:highlight w:val="none"/>
        </w:rPr>
      </w:pPr>
    </w:p>
    <w:p w14:paraId="09B15C70">
      <w:pPr>
        <w:pStyle w:val="46"/>
        <w:snapToGrid w:val="0"/>
        <w:spacing w:line="440" w:lineRule="exact"/>
        <w:outlineLvl w:val="1"/>
        <w:rPr>
          <w:rStyle w:val="21"/>
          <w:rFonts w:hint="eastAsia" w:ascii="Times New Roman" w:hAnsi="宋体" w:eastAsia="宋体" w:cs="Times New Roman"/>
          <w:b/>
          <w:bCs/>
          <w:color w:val="auto"/>
          <w:sz w:val="21"/>
          <w:szCs w:val="21"/>
          <w:highlight w:val="none"/>
          <w:lang w:val="en-US" w:eastAsia="zh-CN"/>
        </w:rPr>
      </w:pPr>
      <w:r>
        <w:rPr>
          <w:rStyle w:val="44"/>
          <w:rFonts w:hint="eastAsia" w:ascii="宋体" w:hAnsi="宋体" w:eastAsia="宋体" w:cs="宋体"/>
          <w:bCs/>
          <w:color w:val="auto"/>
          <w:kern w:val="2"/>
          <w:sz w:val="21"/>
          <w:szCs w:val="21"/>
          <w:highlight w:val="none"/>
        </w:rPr>
        <w:br w:type="page"/>
      </w:r>
      <w:bookmarkStart w:id="274" w:name="_Toc26323"/>
      <w:bookmarkStart w:id="275" w:name="_Toc26911"/>
      <w:r>
        <w:rPr>
          <w:rStyle w:val="21"/>
          <w:rFonts w:hint="eastAsia" w:ascii="Times New Roman" w:hAnsi="宋体" w:eastAsia="宋体" w:cs="Times New Roman"/>
          <w:b/>
          <w:bCs/>
          <w:color w:val="auto"/>
          <w:sz w:val="21"/>
          <w:szCs w:val="21"/>
          <w:highlight w:val="none"/>
          <w:lang w:eastAsia="zh-CN"/>
        </w:rPr>
        <w:t>格式十</w:t>
      </w:r>
      <w:r>
        <w:rPr>
          <w:rStyle w:val="21"/>
          <w:rFonts w:hint="eastAsia" w:ascii="Times New Roman" w:hAnsi="宋体" w:cs="Times New Roman"/>
          <w:b/>
          <w:bCs/>
          <w:color w:val="auto"/>
          <w:sz w:val="21"/>
          <w:szCs w:val="21"/>
          <w:highlight w:val="none"/>
          <w:lang w:val="en-US" w:eastAsia="zh-CN"/>
        </w:rPr>
        <w:t xml:space="preserve">七  </w:t>
      </w:r>
      <w:r>
        <w:rPr>
          <w:rStyle w:val="21"/>
          <w:rFonts w:hint="eastAsia" w:ascii="Times New Roman" w:hAnsi="宋体" w:eastAsia="宋体" w:cs="Times New Roman"/>
          <w:b/>
          <w:bCs/>
          <w:color w:val="auto"/>
          <w:sz w:val="21"/>
          <w:szCs w:val="21"/>
          <w:highlight w:val="none"/>
          <w:lang w:val="en-US" w:eastAsia="zh-CN"/>
        </w:rPr>
        <w:t>定标因素评审资料</w:t>
      </w:r>
      <w:bookmarkEnd w:id="274"/>
      <w:bookmarkEnd w:id="275"/>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40"/>
        <w:ind w:left="0" w:leftChars="0" w:firstLine="0" w:firstLineChars="0"/>
        <w:rPr>
          <w:rStyle w:val="44"/>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6"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6"/>
    </w:p>
    <w:p w14:paraId="179363DD">
      <w:pPr>
        <w:pStyle w:val="5"/>
        <w:spacing w:line="257" w:lineRule="auto"/>
        <w:rPr>
          <w:rFonts w:hint="eastAsia" w:ascii="宋体" w:hAnsi="宋体" w:eastAsia="宋体" w:cs="宋体"/>
          <w:color w:val="auto"/>
          <w:highlight w:val="none"/>
        </w:rPr>
      </w:pPr>
    </w:p>
    <w:p w14:paraId="132FFBFC">
      <w:pPr>
        <w:spacing w:before="78" w:line="324" w:lineRule="auto"/>
        <w:ind w:firstLine="48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《广东省建设工程标准施工合同》（2009 年版）或《建设工程施工合同 （示范文本）》（GF—2017—0201）执行</w:t>
      </w:r>
    </w:p>
    <w:p w14:paraId="4BB447BE">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9"/>
    </w:pPr>
    <w:r>
      <w:rPr>
        <w:sz w:val="18"/>
      </w:rPr>
      <mc:AlternateContent>
        <mc:Choice Requires="wps">
          <w:drawing>
            <wp:anchor distT="0" distB="0" distL="114300" distR="114300" simplePos="0" relativeHeight="251679744"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9744;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31418F0"/>
    <w:rsid w:val="0358304C"/>
    <w:rsid w:val="03661A2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6230FE"/>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D33307"/>
    <w:rsid w:val="0AE05E8C"/>
    <w:rsid w:val="0AF3628F"/>
    <w:rsid w:val="0B3866B7"/>
    <w:rsid w:val="0B9E41C6"/>
    <w:rsid w:val="0BC6217A"/>
    <w:rsid w:val="0BD240F7"/>
    <w:rsid w:val="0C120997"/>
    <w:rsid w:val="0C2A7A8F"/>
    <w:rsid w:val="0C2B1A59"/>
    <w:rsid w:val="0C4153D2"/>
    <w:rsid w:val="0C49746F"/>
    <w:rsid w:val="0C597D15"/>
    <w:rsid w:val="0CA07D76"/>
    <w:rsid w:val="0CA27F6D"/>
    <w:rsid w:val="0CF14A50"/>
    <w:rsid w:val="0D03679A"/>
    <w:rsid w:val="0D3B3F1D"/>
    <w:rsid w:val="0D4F62D4"/>
    <w:rsid w:val="0D7C38BD"/>
    <w:rsid w:val="0DCB0DFD"/>
    <w:rsid w:val="0DCE22AF"/>
    <w:rsid w:val="0DF525DE"/>
    <w:rsid w:val="0DF61CE0"/>
    <w:rsid w:val="0DF86616"/>
    <w:rsid w:val="0E1E1875"/>
    <w:rsid w:val="0E460DCC"/>
    <w:rsid w:val="0E684952"/>
    <w:rsid w:val="0E86353F"/>
    <w:rsid w:val="0E8E37ED"/>
    <w:rsid w:val="0EAF2E14"/>
    <w:rsid w:val="0EDB59B8"/>
    <w:rsid w:val="0F1C2D99"/>
    <w:rsid w:val="0F6F04DC"/>
    <w:rsid w:val="105858FC"/>
    <w:rsid w:val="106C3AC2"/>
    <w:rsid w:val="108403E2"/>
    <w:rsid w:val="109275A9"/>
    <w:rsid w:val="10C15734"/>
    <w:rsid w:val="10C44237"/>
    <w:rsid w:val="10C761F4"/>
    <w:rsid w:val="11164A85"/>
    <w:rsid w:val="1122342A"/>
    <w:rsid w:val="114F1E9C"/>
    <w:rsid w:val="11533574"/>
    <w:rsid w:val="11785740"/>
    <w:rsid w:val="117A3266"/>
    <w:rsid w:val="11862732"/>
    <w:rsid w:val="118F278E"/>
    <w:rsid w:val="119D4F21"/>
    <w:rsid w:val="11A47985"/>
    <w:rsid w:val="11AC40AD"/>
    <w:rsid w:val="11C12C43"/>
    <w:rsid w:val="11C67A56"/>
    <w:rsid w:val="11D80D88"/>
    <w:rsid w:val="122219E4"/>
    <w:rsid w:val="12474DCB"/>
    <w:rsid w:val="12527641"/>
    <w:rsid w:val="126805E3"/>
    <w:rsid w:val="12E7492B"/>
    <w:rsid w:val="12E74FC1"/>
    <w:rsid w:val="12F27F6E"/>
    <w:rsid w:val="14141B79"/>
    <w:rsid w:val="14411E32"/>
    <w:rsid w:val="1457788F"/>
    <w:rsid w:val="14760C96"/>
    <w:rsid w:val="14882C02"/>
    <w:rsid w:val="14D013EF"/>
    <w:rsid w:val="150A2744"/>
    <w:rsid w:val="150D2643"/>
    <w:rsid w:val="15115C90"/>
    <w:rsid w:val="15235081"/>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90B3062"/>
    <w:rsid w:val="1963464B"/>
    <w:rsid w:val="197764F6"/>
    <w:rsid w:val="1981143D"/>
    <w:rsid w:val="19BC1F42"/>
    <w:rsid w:val="1A3A6836"/>
    <w:rsid w:val="1A584D7E"/>
    <w:rsid w:val="1A5B5BFF"/>
    <w:rsid w:val="1A5D1977"/>
    <w:rsid w:val="1AC50DC4"/>
    <w:rsid w:val="1AE57555"/>
    <w:rsid w:val="1B0A266C"/>
    <w:rsid w:val="1B656D35"/>
    <w:rsid w:val="1B6A170F"/>
    <w:rsid w:val="1B745FC1"/>
    <w:rsid w:val="1B8D003A"/>
    <w:rsid w:val="1BD3299D"/>
    <w:rsid w:val="1BEC4D61"/>
    <w:rsid w:val="1C2A3ADB"/>
    <w:rsid w:val="1C324211"/>
    <w:rsid w:val="1C512E14"/>
    <w:rsid w:val="1C5632C7"/>
    <w:rsid w:val="1C7F3E27"/>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875754"/>
    <w:rsid w:val="1FDD4F73"/>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8A4478"/>
    <w:rsid w:val="22F866E1"/>
    <w:rsid w:val="23213C5D"/>
    <w:rsid w:val="232C2DD6"/>
    <w:rsid w:val="2331574F"/>
    <w:rsid w:val="233953DA"/>
    <w:rsid w:val="235B72E4"/>
    <w:rsid w:val="23931F66"/>
    <w:rsid w:val="23C465C3"/>
    <w:rsid w:val="24262DDA"/>
    <w:rsid w:val="2446643F"/>
    <w:rsid w:val="24521E21"/>
    <w:rsid w:val="246102B6"/>
    <w:rsid w:val="24782AD4"/>
    <w:rsid w:val="248726E0"/>
    <w:rsid w:val="249C3951"/>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6A85D28"/>
    <w:rsid w:val="27035E88"/>
    <w:rsid w:val="272A1B90"/>
    <w:rsid w:val="27415C62"/>
    <w:rsid w:val="27B65EBB"/>
    <w:rsid w:val="27CA47C6"/>
    <w:rsid w:val="282B4E63"/>
    <w:rsid w:val="28884FF7"/>
    <w:rsid w:val="289A5B44"/>
    <w:rsid w:val="289F315B"/>
    <w:rsid w:val="28D472A8"/>
    <w:rsid w:val="29017971"/>
    <w:rsid w:val="290F389D"/>
    <w:rsid w:val="2962542C"/>
    <w:rsid w:val="29891E41"/>
    <w:rsid w:val="299E36C0"/>
    <w:rsid w:val="29CC6CA4"/>
    <w:rsid w:val="2A8D5961"/>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EE93382"/>
    <w:rsid w:val="2F01185F"/>
    <w:rsid w:val="2F2729AC"/>
    <w:rsid w:val="2F3C0F4C"/>
    <w:rsid w:val="2FB82F9F"/>
    <w:rsid w:val="2FE418AC"/>
    <w:rsid w:val="2FE5383E"/>
    <w:rsid w:val="2FEA4C7F"/>
    <w:rsid w:val="301601A6"/>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254482"/>
    <w:rsid w:val="346F257B"/>
    <w:rsid w:val="3481446E"/>
    <w:rsid w:val="348C4EDB"/>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31ED3"/>
    <w:rsid w:val="3835053A"/>
    <w:rsid w:val="386B727B"/>
    <w:rsid w:val="38BE1535"/>
    <w:rsid w:val="38CA7D80"/>
    <w:rsid w:val="39194863"/>
    <w:rsid w:val="391D7376"/>
    <w:rsid w:val="39403E21"/>
    <w:rsid w:val="397A7B42"/>
    <w:rsid w:val="399A1E48"/>
    <w:rsid w:val="39B4157B"/>
    <w:rsid w:val="39D55A01"/>
    <w:rsid w:val="39DA2245"/>
    <w:rsid w:val="3A104D75"/>
    <w:rsid w:val="3A344D97"/>
    <w:rsid w:val="3A4723FD"/>
    <w:rsid w:val="3A4C2C68"/>
    <w:rsid w:val="3A4D1A2B"/>
    <w:rsid w:val="3A5244D1"/>
    <w:rsid w:val="3A5E69D2"/>
    <w:rsid w:val="3B2C2F74"/>
    <w:rsid w:val="3B3415C4"/>
    <w:rsid w:val="3B345984"/>
    <w:rsid w:val="3B351E28"/>
    <w:rsid w:val="3B4F53C1"/>
    <w:rsid w:val="3B626996"/>
    <w:rsid w:val="3B694A1D"/>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AF659E"/>
    <w:rsid w:val="3DCE35B6"/>
    <w:rsid w:val="3DD136B5"/>
    <w:rsid w:val="3DD5344F"/>
    <w:rsid w:val="3E0F3EB7"/>
    <w:rsid w:val="3E2609B2"/>
    <w:rsid w:val="3E76426F"/>
    <w:rsid w:val="3E7F6463"/>
    <w:rsid w:val="3E962D65"/>
    <w:rsid w:val="3ECB4852"/>
    <w:rsid w:val="3EEB0292"/>
    <w:rsid w:val="3F281B00"/>
    <w:rsid w:val="3F6A7BC7"/>
    <w:rsid w:val="3F930BE9"/>
    <w:rsid w:val="3F952DC8"/>
    <w:rsid w:val="3FE15005"/>
    <w:rsid w:val="3FE77469"/>
    <w:rsid w:val="400E2C48"/>
    <w:rsid w:val="404E03A6"/>
    <w:rsid w:val="407E19EB"/>
    <w:rsid w:val="40ED6D01"/>
    <w:rsid w:val="41216845"/>
    <w:rsid w:val="413A36FE"/>
    <w:rsid w:val="4176014F"/>
    <w:rsid w:val="4213220D"/>
    <w:rsid w:val="4235270E"/>
    <w:rsid w:val="423F17DF"/>
    <w:rsid w:val="42461BF0"/>
    <w:rsid w:val="424C7A58"/>
    <w:rsid w:val="425F37A8"/>
    <w:rsid w:val="427179B7"/>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AB152B"/>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D611E"/>
    <w:rsid w:val="48221986"/>
    <w:rsid w:val="48B545A9"/>
    <w:rsid w:val="48D34790"/>
    <w:rsid w:val="48ED18F0"/>
    <w:rsid w:val="48F826E7"/>
    <w:rsid w:val="4929464F"/>
    <w:rsid w:val="494C6C0E"/>
    <w:rsid w:val="4955379A"/>
    <w:rsid w:val="498C348F"/>
    <w:rsid w:val="49C34AA3"/>
    <w:rsid w:val="49D20809"/>
    <w:rsid w:val="49DA3B9B"/>
    <w:rsid w:val="49DA528B"/>
    <w:rsid w:val="49FA4012"/>
    <w:rsid w:val="49FA5FEB"/>
    <w:rsid w:val="4A4F4589"/>
    <w:rsid w:val="4A5573E4"/>
    <w:rsid w:val="4A62606A"/>
    <w:rsid w:val="4A712751"/>
    <w:rsid w:val="4AB643D1"/>
    <w:rsid w:val="4AF87271"/>
    <w:rsid w:val="4B036BFD"/>
    <w:rsid w:val="4B380D6F"/>
    <w:rsid w:val="4B3A1029"/>
    <w:rsid w:val="4B555BCF"/>
    <w:rsid w:val="4B5A3EB8"/>
    <w:rsid w:val="4B6E0A3F"/>
    <w:rsid w:val="4B771FE9"/>
    <w:rsid w:val="4BBC29D4"/>
    <w:rsid w:val="4C3C0B3D"/>
    <w:rsid w:val="4C443C2D"/>
    <w:rsid w:val="4C560DCF"/>
    <w:rsid w:val="4C641973"/>
    <w:rsid w:val="4C723258"/>
    <w:rsid w:val="4CB608EF"/>
    <w:rsid w:val="4D0E072B"/>
    <w:rsid w:val="4D0F1621"/>
    <w:rsid w:val="4D24354A"/>
    <w:rsid w:val="4D4E6D7A"/>
    <w:rsid w:val="4D9A1FBF"/>
    <w:rsid w:val="4DCE1F8B"/>
    <w:rsid w:val="4DF94F37"/>
    <w:rsid w:val="4E0D2791"/>
    <w:rsid w:val="4E2A6045"/>
    <w:rsid w:val="4E437F61"/>
    <w:rsid w:val="4E4E19C6"/>
    <w:rsid w:val="4EB40E5E"/>
    <w:rsid w:val="4F1A33B7"/>
    <w:rsid w:val="4F411EB6"/>
    <w:rsid w:val="4F582EF7"/>
    <w:rsid w:val="4FBA24A4"/>
    <w:rsid w:val="4FBB7FCB"/>
    <w:rsid w:val="4FD64115"/>
    <w:rsid w:val="50100316"/>
    <w:rsid w:val="502A41CA"/>
    <w:rsid w:val="50377300"/>
    <w:rsid w:val="50983373"/>
    <w:rsid w:val="50AB5953"/>
    <w:rsid w:val="50D60C20"/>
    <w:rsid w:val="51183927"/>
    <w:rsid w:val="511D1137"/>
    <w:rsid w:val="5135755A"/>
    <w:rsid w:val="51574F11"/>
    <w:rsid w:val="5167040A"/>
    <w:rsid w:val="517B73AD"/>
    <w:rsid w:val="518A5306"/>
    <w:rsid w:val="51983548"/>
    <w:rsid w:val="51AB3D3B"/>
    <w:rsid w:val="51BD3D23"/>
    <w:rsid w:val="51D04201"/>
    <w:rsid w:val="51DA0BDC"/>
    <w:rsid w:val="51DC4954"/>
    <w:rsid w:val="51EF7C55"/>
    <w:rsid w:val="521A27DD"/>
    <w:rsid w:val="52534816"/>
    <w:rsid w:val="52634928"/>
    <w:rsid w:val="528742DD"/>
    <w:rsid w:val="52A0414F"/>
    <w:rsid w:val="53277999"/>
    <w:rsid w:val="53987EBC"/>
    <w:rsid w:val="53A35FB7"/>
    <w:rsid w:val="53A95638"/>
    <w:rsid w:val="53CE4770"/>
    <w:rsid w:val="53E24E44"/>
    <w:rsid w:val="53F94527"/>
    <w:rsid w:val="54014B46"/>
    <w:rsid w:val="54297BF9"/>
    <w:rsid w:val="5472334E"/>
    <w:rsid w:val="54DB5397"/>
    <w:rsid w:val="550348EE"/>
    <w:rsid w:val="555D5DAC"/>
    <w:rsid w:val="5563097D"/>
    <w:rsid w:val="556F4EE2"/>
    <w:rsid w:val="55D21BD3"/>
    <w:rsid w:val="56312D95"/>
    <w:rsid w:val="564725B8"/>
    <w:rsid w:val="56652099"/>
    <w:rsid w:val="56680EAC"/>
    <w:rsid w:val="56843C9F"/>
    <w:rsid w:val="569B3338"/>
    <w:rsid w:val="56A40209"/>
    <w:rsid w:val="56F5281F"/>
    <w:rsid w:val="573E766F"/>
    <w:rsid w:val="5765355C"/>
    <w:rsid w:val="57690BD0"/>
    <w:rsid w:val="576F0018"/>
    <w:rsid w:val="57C15E41"/>
    <w:rsid w:val="57CA1153"/>
    <w:rsid w:val="57E46E53"/>
    <w:rsid w:val="580118E9"/>
    <w:rsid w:val="5808505F"/>
    <w:rsid w:val="580E253F"/>
    <w:rsid w:val="58254B7B"/>
    <w:rsid w:val="584A495B"/>
    <w:rsid w:val="584B22BE"/>
    <w:rsid w:val="58705DF6"/>
    <w:rsid w:val="58722B28"/>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8E6A07"/>
    <w:rsid w:val="5AAE69DB"/>
    <w:rsid w:val="5AF0582F"/>
    <w:rsid w:val="5AF947C9"/>
    <w:rsid w:val="5B1B6AA6"/>
    <w:rsid w:val="5B224E28"/>
    <w:rsid w:val="5B7D7A78"/>
    <w:rsid w:val="5BA65FD3"/>
    <w:rsid w:val="5BAF7B56"/>
    <w:rsid w:val="5BD91F04"/>
    <w:rsid w:val="5BDB5C7C"/>
    <w:rsid w:val="5BF611E3"/>
    <w:rsid w:val="5C0E6052"/>
    <w:rsid w:val="5C313AEE"/>
    <w:rsid w:val="5C86208C"/>
    <w:rsid w:val="5CAC7619"/>
    <w:rsid w:val="5CD57EF7"/>
    <w:rsid w:val="5D131446"/>
    <w:rsid w:val="5D656145"/>
    <w:rsid w:val="5D7C18C6"/>
    <w:rsid w:val="5DA14CA4"/>
    <w:rsid w:val="5DA779D9"/>
    <w:rsid w:val="5DC84953"/>
    <w:rsid w:val="5DDC3F2E"/>
    <w:rsid w:val="5DDF30A2"/>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316E"/>
    <w:rsid w:val="61D67CE4"/>
    <w:rsid w:val="61DB6D9C"/>
    <w:rsid w:val="61EF4230"/>
    <w:rsid w:val="6200643D"/>
    <w:rsid w:val="623C3CCB"/>
    <w:rsid w:val="6277131B"/>
    <w:rsid w:val="62894736"/>
    <w:rsid w:val="62E41162"/>
    <w:rsid w:val="62EC69C1"/>
    <w:rsid w:val="63520F1A"/>
    <w:rsid w:val="636E0BBA"/>
    <w:rsid w:val="63964B41"/>
    <w:rsid w:val="63994A58"/>
    <w:rsid w:val="646C600B"/>
    <w:rsid w:val="647C3D75"/>
    <w:rsid w:val="64B27796"/>
    <w:rsid w:val="64CC5E52"/>
    <w:rsid w:val="64DA0DFC"/>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232A1"/>
    <w:rsid w:val="673D6A15"/>
    <w:rsid w:val="67960780"/>
    <w:rsid w:val="682E5386"/>
    <w:rsid w:val="683726A5"/>
    <w:rsid w:val="683A1F7D"/>
    <w:rsid w:val="684B23DC"/>
    <w:rsid w:val="68576EF7"/>
    <w:rsid w:val="6874548F"/>
    <w:rsid w:val="68817FE2"/>
    <w:rsid w:val="688D47A2"/>
    <w:rsid w:val="689043A1"/>
    <w:rsid w:val="68CD623B"/>
    <w:rsid w:val="68DB72BC"/>
    <w:rsid w:val="68FD36D6"/>
    <w:rsid w:val="69562DE6"/>
    <w:rsid w:val="695E105C"/>
    <w:rsid w:val="696012B6"/>
    <w:rsid w:val="69642093"/>
    <w:rsid w:val="69793390"/>
    <w:rsid w:val="69C02956"/>
    <w:rsid w:val="69CA6B08"/>
    <w:rsid w:val="69F97B76"/>
    <w:rsid w:val="6A042666"/>
    <w:rsid w:val="6A9736F0"/>
    <w:rsid w:val="6AF830B1"/>
    <w:rsid w:val="6B1715B7"/>
    <w:rsid w:val="6B2C2051"/>
    <w:rsid w:val="6B3233DF"/>
    <w:rsid w:val="6B680BAF"/>
    <w:rsid w:val="6B6C68F1"/>
    <w:rsid w:val="6BA17D14"/>
    <w:rsid w:val="6BBB33D4"/>
    <w:rsid w:val="6BCC55E2"/>
    <w:rsid w:val="6BD44D33"/>
    <w:rsid w:val="6BEA8026"/>
    <w:rsid w:val="6C0C5BDB"/>
    <w:rsid w:val="6C3D08A3"/>
    <w:rsid w:val="6C6770B8"/>
    <w:rsid w:val="6C845EBC"/>
    <w:rsid w:val="6CA339A6"/>
    <w:rsid w:val="6CA41CC8"/>
    <w:rsid w:val="6CC20E82"/>
    <w:rsid w:val="6CD26C28"/>
    <w:rsid w:val="6CF3436B"/>
    <w:rsid w:val="6CF7293C"/>
    <w:rsid w:val="6D056FFD"/>
    <w:rsid w:val="6D443964"/>
    <w:rsid w:val="6D5B6316"/>
    <w:rsid w:val="6D6D7EDA"/>
    <w:rsid w:val="6D9143ED"/>
    <w:rsid w:val="6DC74A88"/>
    <w:rsid w:val="6DD724DA"/>
    <w:rsid w:val="6DDC0B81"/>
    <w:rsid w:val="6DEA2117"/>
    <w:rsid w:val="6E041063"/>
    <w:rsid w:val="6E0C6BA8"/>
    <w:rsid w:val="6E4C538F"/>
    <w:rsid w:val="6E8C1058"/>
    <w:rsid w:val="6EBF142E"/>
    <w:rsid w:val="6ED722D3"/>
    <w:rsid w:val="6EE175F6"/>
    <w:rsid w:val="6F0137F4"/>
    <w:rsid w:val="6F24190C"/>
    <w:rsid w:val="6F7C2E7B"/>
    <w:rsid w:val="6F976446"/>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2E7E7F"/>
    <w:rsid w:val="747B5DF7"/>
    <w:rsid w:val="74C002E8"/>
    <w:rsid w:val="74CF1255"/>
    <w:rsid w:val="74DD43BC"/>
    <w:rsid w:val="74E7523A"/>
    <w:rsid w:val="74FB54A4"/>
    <w:rsid w:val="751A7B05"/>
    <w:rsid w:val="75220020"/>
    <w:rsid w:val="755522F8"/>
    <w:rsid w:val="755E2DEF"/>
    <w:rsid w:val="75611CC1"/>
    <w:rsid w:val="75A03D67"/>
    <w:rsid w:val="75DD731F"/>
    <w:rsid w:val="7621652A"/>
    <w:rsid w:val="76265AC6"/>
    <w:rsid w:val="763A2EF5"/>
    <w:rsid w:val="76407FE1"/>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05144"/>
    <w:rsid w:val="78D43D28"/>
    <w:rsid w:val="78DD2BDC"/>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BFD7CAE"/>
    <w:rsid w:val="7C1822AA"/>
    <w:rsid w:val="7C7C731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4"/>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paragraph" w:customStyle="1" w:styleId="1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0">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1">
    <w:name w:val="NormalCharacter"/>
    <w:qFormat/>
    <w:uiPriority w:val="99"/>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缩进1"/>
    <w:basedOn w:val="1"/>
    <w:qFormat/>
    <w:uiPriority w:val="0"/>
    <w:pPr>
      <w:widowControl/>
      <w:ind w:firstLine="420"/>
      <w:jc w:val="left"/>
    </w:pPr>
    <w:rPr>
      <w:kern w:val="0"/>
    </w:rPr>
  </w:style>
  <w:style w:type="paragraph" w:customStyle="1" w:styleId="25">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Heading2"/>
    <w:basedOn w:val="1"/>
    <w:next w:val="1"/>
    <w:qFormat/>
    <w:uiPriority w:val="99"/>
    <w:pPr>
      <w:jc w:val="left"/>
    </w:pPr>
    <w:rPr>
      <w:kern w:val="0"/>
    </w:rPr>
  </w:style>
  <w:style w:type="paragraph" w:customStyle="1" w:styleId="31">
    <w:name w:val="AnnotationText"/>
    <w:basedOn w:val="1"/>
    <w:qFormat/>
    <w:uiPriority w:val="99"/>
    <w:pPr>
      <w:spacing w:line="360" w:lineRule="atLeast"/>
      <w:jc w:val="left"/>
    </w:pPr>
    <w:rPr>
      <w:kern w:val="0"/>
    </w:rPr>
  </w:style>
  <w:style w:type="paragraph" w:customStyle="1" w:styleId="32">
    <w:name w:val="UserStyle_44"/>
    <w:basedOn w:val="33"/>
    <w:qFormat/>
    <w:uiPriority w:val="99"/>
    <w:rPr>
      <w:sz w:val="24"/>
      <w:szCs w:val="24"/>
    </w:rPr>
  </w:style>
  <w:style w:type="paragraph" w:customStyle="1" w:styleId="3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6">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7">
    <w:name w:val="BodyText"/>
    <w:basedOn w:val="1"/>
    <w:next w:val="38"/>
    <w:qFormat/>
    <w:uiPriority w:val="99"/>
    <w:pPr>
      <w:spacing w:after="120"/>
    </w:pPr>
  </w:style>
  <w:style w:type="paragraph" w:customStyle="1" w:styleId="38">
    <w:name w:val="BodyText2"/>
    <w:basedOn w:val="1"/>
    <w:qFormat/>
    <w:uiPriority w:val="99"/>
    <w:pPr>
      <w:spacing w:line="500" w:lineRule="exact"/>
    </w:pPr>
  </w:style>
  <w:style w:type="paragraph" w:customStyle="1" w:styleId="3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3">
    <w:name w:val="正文文本 (2) + 间距 0 pt3"/>
    <w:basedOn w:val="16"/>
    <w:qFormat/>
    <w:uiPriority w:val="0"/>
    <w:rPr>
      <w:rFonts w:ascii="MingLiU" w:hAnsi="Times New Roman" w:eastAsia="MingLiU" w:cs="MingLiU"/>
      <w:spacing w:val="0"/>
      <w:sz w:val="22"/>
      <w:szCs w:val="22"/>
      <w:u w:val="none"/>
    </w:rPr>
  </w:style>
  <w:style w:type="character" w:customStyle="1" w:styleId="44">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5">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6">
    <w:name w:val="UserStyle_76"/>
    <w:basedOn w:val="47"/>
    <w:qFormat/>
    <w:uiPriority w:val="99"/>
    <w:pPr>
      <w:ind w:firstLine="420"/>
      <w:jc w:val="left"/>
    </w:pPr>
    <w:rPr>
      <w:kern w:val="0"/>
      <w:sz w:val="20"/>
      <w:szCs w:val="20"/>
    </w:rPr>
  </w:style>
  <w:style w:type="paragraph" w:customStyle="1" w:styleId="47">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8">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7.png"/><Relationship Id="rId55" Type="http://schemas.openxmlformats.org/officeDocument/2006/relationships/image" Target="media/image16.jpeg"/><Relationship Id="rId54" Type="http://schemas.openxmlformats.org/officeDocument/2006/relationships/image" Target="media/image15.png"/><Relationship Id="rId53" Type="http://schemas.openxmlformats.org/officeDocument/2006/relationships/image" Target="media/image14.png"/><Relationship Id="rId52" Type="http://schemas.openxmlformats.org/officeDocument/2006/relationships/image" Target="media/image13.wmf"/><Relationship Id="rId51" Type="http://schemas.openxmlformats.org/officeDocument/2006/relationships/oleObject" Target="embeddings/oleObject12.bin"/><Relationship Id="rId50" Type="http://schemas.openxmlformats.org/officeDocument/2006/relationships/image" Target="media/image12.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1.wmf"/><Relationship Id="rId47" Type="http://schemas.openxmlformats.org/officeDocument/2006/relationships/oleObject" Target="embeddings/oleObject10.bin"/><Relationship Id="rId46" Type="http://schemas.openxmlformats.org/officeDocument/2006/relationships/image" Target="media/image10.wmf"/><Relationship Id="rId45" Type="http://schemas.openxmlformats.org/officeDocument/2006/relationships/oleObject" Target="embeddings/oleObject9.bin"/><Relationship Id="rId44" Type="http://schemas.openxmlformats.org/officeDocument/2006/relationships/image" Target="media/image9.wmf"/><Relationship Id="rId43" Type="http://schemas.openxmlformats.org/officeDocument/2006/relationships/oleObject" Target="embeddings/oleObject8.bin"/><Relationship Id="rId42" Type="http://schemas.openxmlformats.org/officeDocument/2006/relationships/image" Target="media/image8.wmf"/><Relationship Id="rId41" Type="http://schemas.openxmlformats.org/officeDocument/2006/relationships/oleObject" Target="embeddings/oleObject7.bin"/><Relationship Id="rId40" Type="http://schemas.openxmlformats.org/officeDocument/2006/relationships/image" Target="media/image7.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6.wmf"/><Relationship Id="rId37" Type="http://schemas.openxmlformats.org/officeDocument/2006/relationships/oleObject" Target="embeddings/oleObject5.bin"/><Relationship Id="rId36" Type="http://schemas.openxmlformats.org/officeDocument/2006/relationships/image" Target="media/image5.wmf"/><Relationship Id="rId35" Type="http://schemas.openxmlformats.org/officeDocument/2006/relationships/oleObject" Target="embeddings/oleObject4.bin"/><Relationship Id="rId34" Type="http://schemas.openxmlformats.org/officeDocument/2006/relationships/image" Target="media/image4.wmf"/><Relationship Id="rId33" Type="http://schemas.openxmlformats.org/officeDocument/2006/relationships/oleObject" Target="embeddings/oleObject3.bin"/><Relationship Id="rId32" Type="http://schemas.openxmlformats.org/officeDocument/2006/relationships/image" Target="media/image3.wmf"/><Relationship Id="rId31" Type="http://schemas.openxmlformats.org/officeDocument/2006/relationships/oleObject" Target="embeddings/oleObject2.bin"/><Relationship Id="rId30" Type="http://schemas.openxmlformats.org/officeDocument/2006/relationships/image" Target="media/image2.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6321</Words>
  <Characters>6810</Characters>
  <Lines>0</Lines>
  <Paragraphs>0</Paragraphs>
  <TotalTime>2</TotalTime>
  <ScaleCrop>false</ScaleCrop>
  <LinksUpToDate>false</LinksUpToDate>
  <CharactersWithSpaces>7222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WPS_1481086387</cp:lastModifiedBy>
  <cp:lastPrinted>2026-05-07T07:51:00Z</cp:lastPrinted>
  <dcterms:modified xsi:type="dcterms:W3CDTF">2026-07-22T07:58:41Z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B7C780B881E74AF3AEB5C5A01B347AED_13</vt:lpwstr>
  </property>
  <property fmtid="{D5CDD505-2E9C-101B-9397-08002B2CF9AE}" pid="4" name="KSOTemplateDocerSaveRecord">
    <vt:lpwstr>eyJoZGlkIjoiMDVmN2Q5ZjM3YTYwOTZlZmM0MzUwNTBjMWQ1Mzc0ZGUiLCJ1c2VySWQiOiIyNTUzNTE1MTMifQ==</vt:lpwstr>
  </property>
</Properties>
</file>