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78090">
      <w:pPr>
        <w:tabs>
          <w:tab w:val="left" w:pos="900"/>
          <w:tab w:val="left" w:pos="1080"/>
        </w:tabs>
        <w:jc w:val="center"/>
        <w:rPr>
          <w:rFonts w:hint="eastAsia" w:ascii="黑体" w:hAnsi="Times New Roman" w:eastAsia="黑体" w:cs="Times New Roman"/>
          <w:sz w:val="44"/>
          <w:szCs w:val="44"/>
        </w:rPr>
      </w:pPr>
      <w:r>
        <w:rPr>
          <w:rFonts w:hint="eastAsia" w:ascii="黑体" w:hAnsi="Times New Roman" w:eastAsia="黑体" w:cs="Times New Roman"/>
          <w:sz w:val="44"/>
          <w:szCs w:val="44"/>
          <w:lang w:eastAsia="zh-CN"/>
        </w:rPr>
        <w:t>编</w:t>
      </w:r>
      <w:r>
        <w:rPr>
          <w:rFonts w:hint="eastAsia" w:ascii="黑体" w:hAnsi="Times New Roman" w:eastAsia="黑体" w:cs="Times New Roman"/>
          <w:sz w:val="44"/>
          <w:szCs w:val="44"/>
          <w:lang w:val="en-US" w:eastAsia="zh-CN"/>
        </w:rPr>
        <w:t xml:space="preserve"> </w:t>
      </w:r>
      <w:r>
        <w:rPr>
          <w:rFonts w:hint="eastAsia" w:ascii="黑体" w:hAnsi="Times New Roman" w:eastAsia="黑体" w:cs="Times New Roman"/>
          <w:sz w:val="44"/>
          <w:szCs w:val="44"/>
          <w:lang w:eastAsia="zh-CN"/>
        </w:rPr>
        <w:t>制</w:t>
      </w:r>
      <w:r>
        <w:rPr>
          <w:rFonts w:hint="eastAsia" w:ascii="黑体" w:hAnsi="Times New Roman" w:eastAsia="黑体" w:cs="Times New Roman"/>
          <w:sz w:val="44"/>
          <w:szCs w:val="44"/>
        </w:rPr>
        <w:t xml:space="preserve"> 说 明</w:t>
      </w:r>
    </w:p>
    <w:p w14:paraId="0BC07ECD">
      <w:pPr>
        <w:pStyle w:val="2"/>
      </w:pPr>
    </w:p>
    <w:p w14:paraId="520039C2">
      <w:pPr>
        <w:tabs>
          <w:tab w:val="left" w:pos="900"/>
          <w:tab w:val="left" w:pos="1080"/>
        </w:tabs>
        <w:spacing w:line="520" w:lineRule="exact"/>
        <w:ind w:firstLine="636" w:firstLineChars="199"/>
        <w:rPr>
          <w:rFonts w:ascii="黑体" w:hAnsi="Times New Roman" w:eastAsia="黑体"/>
          <w:bCs/>
          <w:sz w:val="32"/>
          <w:szCs w:val="32"/>
        </w:rPr>
      </w:pPr>
      <w:r>
        <w:rPr>
          <w:rFonts w:hint="eastAsia" w:ascii="黑体" w:hAnsi="Times New Roman" w:eastAsia="黑体"/>
          <w:sz w:val="32"/>
          <w:szCs w:val="32"/>
        </w:rPr>
        <w:t>一、项目概况</w:t>
      </w:r>
    </w:p>
    <w:p w14:paraId="11655022">
      <w:pPr>
        <w:tabs>
          <w:tab w:val="left" w:pos="900"/>
          <w:tab w:val="left" w:pos="1080"/>
        </w:tabs>
        <w:spacing w:line="52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（一）项目内容：</w:t>
      </w:r>
    </w:p>
    <w:p w14:paraId="0379D004">
      <w:pPr>
        <w:tabs>
          <w:tab w:val="left" w:pos="900"/>
          <w:tab w:val="left" w:pos="1080"/>
        </w:tabs>
        <w:spacing w:line="520" w:lineRule="exact"/>
        <w:ind w:firstLine="640" w:firstLineChars="200"/>
        <w:rPr>
          <w:rFonts w:hint="eastAsia" w:ascii="仿宋_GB2312" w:hAnsi="Times New Roman" w:eastAsia="仿宋_GB2312"/>
          <w:snapToGrid w:val="0"/>
          <w:color w:val="auto"/>
          <w:kern w:val="0"/>
          <w:sz w:val="32"/>
          <w:szCs w:val="24"/>
          <w:lang w:eastAsia="zh"/>
        </w:rPr>
      </w:pPr>
      <w:r>
        <w:rPr>
          <w:rFonts w:hint="eastAsia" w:ascii="仿宋_GB2312" w:hAnsi="Times New Roman" w:eastAsia="仿宋_GB2312"/>
          <w:snapToGrid w:val="0"/>
          <w:color w:val="auto"/>
          <w:kern w:val="0"/>
          <w:sz w:val="32"/>
          <w:szCs w:val="24"/>
          <w:lang w:eastAsia="zh"/>
        </w:rPr>
        <w:t>建设主要内容：武江区龙归镇留村</w:t>
      </w:r>
      <w:r>
        <w:rPr>
          <w:rFonts w:hint="eastAsia" w:ascii="仿宋_GB2312" w:hAnsi="Times New Roman" w:eastAsia="仿宋_GB2312"/>
          <w:snapToGrid w:val="0"/>
          <w:color w:val="auto"/>
          <w:kern w:val="0"/>
          <w:sz w:val="32"/>
          <w:szCs w:val="24"/>
          <w:lang w:val="en-US" w:eastAsia="zh-CN"/>
        </w:rPr>
        <w:t>的园建工程、道路工程、排水工程、污水工程、绿化工程、外立面工程、新建厨房及农用房工程、公厕及文化室的翻新工程、三线整治工程、三通一平工程及迁坟安置坟山工程</w:t>
      </w:r>
      <w:r>
        <w:rPr>
          <w:rFonts w:hint="eastAsia" w:ascii="仿宋_GB2312" w:hAnsi="Times New Roman" w:eastAsia="仿宋_GB2312"/>
          <w:snapToGrid w:val="0"/>
          <w:color w:val="auto"/>
          <w:kern w:val="0"/>
          <w:sz w:val="32"/>
          <w:szCs w:val="24"/>
          <w:lang w:eastAsia="zh"/>
        </w:rPr>
        <w:t>等。</w:t>
      </w:r>
    </w:p>
    <w:p w14:paraId="16AA6096">
      <w:pPr>
        <w:tabs>
          <w:tab w:val="left" w:pos="900"/>
          <w:tab w:val="left" w:pos="1080"/>
        </w:tabs>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（二）实施地点：</w:t>
      </w:r>
      <w:r>
        <w:rPr>
          <w:rFonts w:hint="eastAsia" w:ascii="仿宋_GB2312" w:hAnsi="Times New Roman" w:eastAsia="仿宋_GB2312"/>
          <w:snapToGrid w:val="0"/>
          <w:color w:val="auto"/>
          <w:kern w:val="0"/>
          <w:sz w:val="32"/>
          <w:szCs w:val="24"/>
          <w:lang w:eastAsia="zh"/>
        </w:rPr>
        <w:t>武江区龙归镇留村</w:t>
      </w:r>
      <w:r>
        <w:rPr>
          <w:rFonts w:hint="eastAsia" w:ascii="仿宋_GB2312" w:hAnsi="宋体" w:eastAsia="仿宋_GB2312"/>
          <w:sz w:val="32"/>
          <w:szCs w:val="32"/>
        </w:rPr>
        <w:t>。</w:t>
      </w:r>
    </w:p>
    <w:p w14:paraId="13FB2045">
      <w:pPr>
        <w:tabs>
          <w:tab w:val="left" w:pos="900"/>
          <w:tab w:val="left" w:pos="1080"/>
        </w:tabs>
        <w:spacing w:line="52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（三）实施单位：</w:t>
      </w:r>
    </w:p>
    <w:p w14:paraId="7A4AFA32">
      <w:pPr>
        <w:tabs>
          <w:tab w:val="left" w:pos="900"/>
          <w:tab w:val="left" w:pos="1080"/>
        </w:tabs>
        <w:spacing w:line="520" w:lineRule="exact"/>
        <w:ind w:firstLine="640" w:firstLineChars="200"/>
        <w:rPr>
          <w:rFonts w:hint="eastAsia" w:ascii="仿宋_GB2312" w:hAnsi="Times New Roman" w:eastAsia="仿宋_GB2312"/>
          <w:snapToGrid w:val="0"/>
          <w:kern w:val="0"/>
          <w:sz w:val="32"/>
          <w:szCs w:val="24"/>
          <w:highlight w:val="none"/>
          <w:lang w:eastAsia="zh-CN"/>
        </w:rPr>
      </w:pPr>
      <w:r>
        <w:rPr>
          <w:rFonts w:hint="eastAsia" w:ascii="仿宋_GB2312" w:hAnsi="Times New Roman" w:eastAsia="仿宋_GB2312"/>
          <w:snapToGrid w:val="0"/>
          <w:kern w:val="0"/>
          <w:sz w:val="32"/>
          <w:szCs w:val="24"/>
          <w:highlight w:val="none"/>
          <w:lang w:eastAsia="zh-CN"/>
        </w:rPr>
        <w:t>1</w:t>
      </w:r>
      <w:r>
        <w:rPr>
          <w:rFonts w:hint="eastAsia" w:ascii="仿宋_GB2312" w:hAnsi="宋体" w:eastAsia="仿宋_GB2312"/>
          <w:snapToGrid w:val="0"/>
          <w:kern w:val="0"/>
          <w:sz w:val="32"/>
          <w:szCs w:val="24"/>
          <w:highlight w:val="none"/>
          <w:lang w:val="en-US" w:eastAsia="zh-CN"/>
        </w:rPr>
        <w:t xml:space="preserve">. </w:t>
      </w:r>
      <w:r>
        <w:rPr>
          <w:rFonts w:hint="eastAsia" w:ascii="仿宋_GB2312" w:hAnsi="Times New Roman" w:eastAsia="仿宋_GB2312"/>
          <w:snapToGrid w:val="0"/>
          <w:kern w:val="0"/>
          <w:sz w:val="32"/>
          <w:szCs w:val="24"/>
          <w:highlight w:val="none"/>
          <w:lang w:eastAsia="zh-CN"/>
        </w:rPr>
        <w:t>建设单位：</w:t>
      </w:r>
      <w:r>
        <w:rPr>
          <w:rFonts w:hint="eastAsia" w:ascii="仿宋_GB2312" w:hAnsi="宋体" w:eastAsia="仿宋_GB2312"/>
          <w:sz w:val="32"/>
          <w:szCs w:val="32"/>
          <w:highlight w:val="none"/>
          <w:lang w:eastAsia="zh-CN"/>
        </w:rPr>
        <w:t>韶关市武江区龙归镇人民政府</w:t>
      </w:r>
      <w:r>
        <w:rPr>
          <w:rFonts w:hint="eastAsia" w:ascii="仿宋_GB2312" w:hAnsi="Times New Roman" w:eastAsia="仿宋_GB2312"/>
          <w:snapToGrid w:val="0"/>
          <w:kern w:val="0"/>
          <w:sz w:val="32"/>
          <w:szCs w:val="24"/>
          <w:highlight w:val="none"/>
          <w:lang w:eastAsia="zh-CN"/>
        </w:rPr>
        <w:t>；</w:t>
      </w:r>
    </w:p>
    <w:p w14:paraId="5436C810">
      <w:pPr>
        <w:tabs>
          <w:tab w:val="left" w:pos="900"/>
          <w:tab w:val="left" w:pos="1080"/>
        </w:tabs>
        <w:spacing w:line="520" w:lineRule="exact"/>
        <w:ind w:firstLine="640" w:firstLineChars="200"/>
        <w:rPr>
          <w:rFonts w:hint="eastAsia" w:ascii="仿宋_GB2312" w:hAnsi="Times New Roman" w:eastAsia="仿宋_GB2312"/>
          <w:snapToGrid w:val="0"/>
          <w:kern w:val="0"/>
          <w:sz w:val="32"/>
          <w:szCs w:val="24"/>
          <w:highlight w:val="none"/>
          <w:lang w:eastAsia="zh-CN"/>
        </w:rPr>
      </w:pPr>
      <w:r>
        <w:rPr>
          <w:rFonts w:hint="eastAsia" w:ascii="仿宋_GB2312" w:hAnsi="Times New Roman" w:eastAsia="仿宋_GB2312"/>
          <w:snapToGrid w:val="0"/>
          <w:kern w:val="0"/>
          <w:sz w:val="32"/>
          <w:szCs w:val="24"/>
          <w:highlight w:val="none"/>
          <w:lang w:eastAsia="zh-CN"/>
        </w:rPr>
        <w:t>2</w:t>
      </w:r>
      <w:r>
        <w:rPr>
          <w:rFonts w:hint="eastAsia" w:ascii="仿宋_GB2312" w:hAnsi="宋体" w:eastAsia="仿宋_GB2312"/>
          <w:snapToGrid w:val="0"/>
          <w:kern w:val="0"/>
          <w:sz w:val="32"/>
          <w:szCs w:val="24"/>
          <w:highlight w:val="none"/>
          <w:lang w:val="en-US" w:eastAsia="zh-CN"/>
        </w:rPr>
        <w:t xml:space="preserve">. </w:t>
      </w:r>
      <w:r>
        <w:rPr>
          <w:rFonts w:hint="eastAsia" w:ascii="仿宋_GB2312" w:hAnsi="Times New Roman" w:eastAsia="仿宋_GB2312"/>
          <w:snapToGrid w:val="0"/>
          <w:kern w:val="0"/>
          <w:sz w:val="32"/>
          <w:szCs w:val="24"/>
          <w:highlight w:val="none"/>
          <w:lang w:eastAsia="zh-CN"/>
        </w:rPr>
        <w:t>设计单位：</w:t>
      </w:r>
      <w:r>
        <w:rPr>
          <w:rFonts w:hint="eastAsia" w:ascii="仿宋_GB2312" w:hAnsi="Times New Roman" w:eastAsia="仿宋_GB2312"/>
          <w:snapToGrid w:val="0"/>
          <w:kern w:val="0"/>
          <w:sz w:val="32"/>
          <w:szCs w:val="24"/>
          <w:highlight w:val="none"/>
          <w:lang w:val="en-US" w:eastAsia="zh-CN"/>
        </w:rPr>
        <w:t>云南广厦规划建筑设计院有限公司</w:t>
      </w:r>
      <w:r>
        <w:rPr>
          <w:rFonts w:hint="eastAsia" w:ascii="仿宋_GB2312" w:hAnsi="Times New Roman" w:eastAsia="仿宋_GB2312"/>
          <w:snapToGrid w:val="0"/>
          <w:kern w:val="0"/>
          <w:sz w:val="32"/>
          <w:szCs w:val="24"/>
          <w:highlight w:val="none"/>
          <w:lang w:eastAsia="zh-CN"/>
        </w:rPr>
        <w:t>；</w:t>
      </w:r>
    </w:p>
    <w:p w14:paraId="6EC43877">
      <w:pPr>
        <w:tabs>
          <w:tab w:val="left" w:pos="900"/>
          <w:tab w:val="left" w:pos="1080"/>
        </w:tabs>
        <w:spacing w:line="520" w:lineRule="exact"/>
        <w:ind w:firstLine="640" w:firstLineChars="200"/>
        <w:rPr>
          <w:rFonts w:hint="eastAsia" w:ascii="仿宋_GB2312" w:hAnsi="宋体" w:eastAsia="仿宋_GB2312" w:cs="Times New Roman"/>
          <w:b/>
          <w:bCs/>
          <w:sz w:val="32"/>
          <w:szCs w:val="32"/>
          <w:highlight w:val="none"/>
        </w:rPr>
      </w:pPr>
      <w:r>
        <w:rPr>
          <w:rFonts w:hint="eastAsia" w:ascii="仿宋_GB2312" w:hAnsi="Times New Roman" w:eastAsia="仿宋_GB2312" w:cs="Times New Roman"/>
          <w:snapToGrid w:val="0"/>
          <w:kern w:val="0"/>
          <w:sz w:val="32"/>
          <w:szCs w:val="24"/>
          <w:highlight w:val="none"/>
          <w:lang w:val="en-US" w:eastAsia="zh-CN"/>
        </w:rPr>
        <w:t>3. 编制单位：中亿正恒工程管理有限公司。</w:t>
      </w:r>
    </w:p>
    <w:p w14:paraId="4E210CD3">
      <w:pPr>
        <w:tabs>
          <w:tab w:val="left" w:pos="1080"/>
        </w:tabs>
        <w:spacing w:before="156" w:beforeLines="50" w:line="520" w:lineRule="exact"/>
        <w:ind w:firstLine="640" w:firstLineChars="200"/>
        <w:outlineLvl w:val="0"/>
        <w:rPr>
          <w:rFonts w:ascii="黑体" w:hAnsi="Times New Roman" w:eastAsia="黑体"/>
          <w:bCs/>
          <w:sz w:val="32"/>
          <w:szCs w:val="32"/>
        </w:rPr>
      </w:pPr>
      <w:r>
        <w:rPr>
          <w:rFonts w:hint="eastAsia" w:ascii="黑体" w:hAnsi="Times New Roman" w:eastAsia="黑体"/>
          <w:sz w:val="32"/>
          <w:szCs w:val="32"/>
        </w:rPr>
        <w:t>二、审核依据</w:t>
      </w:r>
    </w:p>
    <w:p w14:paraId="05691945">
      <w:pPr>
        <w:tabs>
          <w:tab w:val="left" w:pos="900"/>
          <w:tab w:val="left" w:pos="1080"/>
        </w:tabs>
        <w:spacing w:line="520" w:lineRule="exact"/>
        <w:ind w:firstLine="640" w:firstLineChars="200"/>
        <w:rPr>
          <w:rFonts w:hint="eastAsia" w:ascii="仿宋_GB2312" w:hAnsi="宋体" w:eastAsia="仿宋_GB2312" w:cs="Times New Roman"/>
          <w:sz w:val="32"/>
          <w:szCs w:val="32"/>
          <w:highlight w:val="none"/>
        </w:rPr>
      </w:pPr>
      <w:r>
        <w:rPr>
          <w:rFonts w:hint="eastAsia" w:ascii="仿宋_GB2312" w:hAnsi="宋体" w:eastAsia="仿宋_GB2312" w:cs="Times New Roman"/>
          <w:sz w:val="32"/>
          <w:szCs w:val="32"/>
          <w:highlight w:val="none"/>
        </w:rPr>
        <w:t>（一）送审资料</w:t>
      </w:r>
    </w:p>
    <w:p w14:paraId="5CF8756D">
      <w:pPr>
        <w:pStyle w:val="2"/>
        <w:ind w:firstLine="640"/>
        <w:rPr>
          <w:rFonts w:hint="default"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1.建设单位提供的《关于武江区龙归镇留村村人居环境整治项目</w:t>
      </w:r>
      <w:r>
        <w:rPr>
          <w:rFonts w:hint="eastAsia" w:ascii="仿宋" w:hAnsi="仿宋" w:eastAsia="仿宋" w:cs="仿宋"/>
          <w:snapToGrid w:val="0"/>
          <w:color w:val="auto"/>
          <w:w w:val="100"/>
          <w:kern w:val="0"/>
          <w:sz w:val="32"/>
          <w:szCs w:val="32"/>
          <w:highlight w:val="none"/>
          <w:lang w:val="en-US" w:eastAsia="zh"/>
        </w:rPr>
        <w:t>初步设计概算</w:t>
      </w:r>
      <w:r>
        <w:rPr>
          <w:rFonts w:hint="eastAsia" w:ascii="仿宋" w:hAnsi="仿宋" w:eastAsia="仿宋" w:cs="仿宋"/>
          <w:snapToGrid w:val="0"/>
          <w:color w:val="auto"/>
          <w:w w:val="100"/>
          <w:kern w:val="0"/>
          <w:sz w:val="32"/>
          <w:szCs w:val="32"/>
          <w:highlight w:val="none"/>
          <w:lang w:val="en-US" w:eastAsia="zh-CN"/>
        </w:rPr>
        <w:t>的批复》。</w:t>
      </w:r>
    </w:p>
    <w:p w14:paraId="15390E73">
      <w:pPr>
        <w:pStyle w:val="2"/>
        <w:ind w:firstLine="640"/>
        <w:rPr>
          <w:rFonts w:hint="eastAsia"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2.建设单位提供的《武江区龙归镇留村村人居环境整治项目》施工图。</w:t>
      </w:r>
    </w:p>
    <w:p w14:paraId="5E9904EC">
      <w:pPr>
        <w:pStyle w:val="2"/>
        <w:ind w:firstLine="640"/>
        <w:rPr>
          <w:rFonts w:hint="eastAsia"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3.</w:t>
      </w:r>
      <w:r>
        <w:rPr>
          <w:rFonts w:hint="eastAsia" w:ascii="仿宋_GB2312" w:hAnsi="Times New Roman" w:eastAsia="仿宋_GB2312" w:cs="Times New Roman"/>
          <w:snapToGrid w:val="0"/>
          <w:kern w:val="0"/>
          <w:sz w:val="32"/>
          <w:szCs w:val="24"/>
          <w:highlight w:val="none"/>
          <w:lang w:val="en-US" w:eastAsia="zh-CN"/>
        </w:rPr>
        <w:t>中亿正恒工程管理有限公司</w:t>
      </w:r>
      <w:r>
        <w:rPr>
          <w:rFonts w:hint="eastAsia" w:ascii="仿宋_GB2312" w:hAnsi="Times New Roman" w:eastAsia="仿宋_GB2312" w:cs="Times New Roman"/>
          <w:snapToGrid w:val="0"/>
          <w:kern w:val="0"/>
          <w:sz w:val="32"/>
          <w:szCs w:val="24"/>
          <w:highlight w:val="none"/>
          <w:lang w:val="en-US" w:eastAsia="zh"/>
        </w:rPr>
        <w:t>编制的</w:t>
      </w:r>
      <w:r>
        <w:rPr>
          <w:rFonts w:hint="eastAsia" w:ascii="仿宋" w:hAnsi="仿宋" w:eastAsia="仿宋" w:cs="仿宋"/>
          <w:snapToGrid w:val="0"/>
          <w:color w:val="auto"/>
          <w:w w:val="100"/>
          <w:kern w:val="0"/>
          <w:sz w:val="32"/>
          <w:szCs w:val="32"/>
          <w:highlight w:val="none"/>
          <w:lang w:val="en-US" w:eastAsia="zh-CN"/>
        </w:rPr>
        <w:t>招标控制价</w:t>
      </w:r>
      <w:r>
        <w:rPr>
          <w:rFonts w:hint="eastAsia" w:ascii="仿宋" w:hAnsi="仿宋" w:eastAsia="仿宋" w:cs="仿宋"/>
          <w:snapToGrid w:val="0"/>
          <w:color w:val="auto"/>
          <w:w w:val="100"/>
          <w:kern w:val="0"/>
          <w:sz w:val="32"/>
          <w:szCs w:val="32"/>
          <w:highlight w:val="none"/>
          <w:lang w:val="en-US" w:eastAsia="zh"/>
        </w:rPr>
        <w:t>、</w:t>
      </w:r>
      <w:r>
        <w:rPr>
          <w:rFonts w:hint="eastAsia" w:ascii="仿宋" w:hAnsi="仿宋" w:eastAsia="仿宋" w:cs="仿宋"/>
          <w:snapToGrid w:val="0"/>
          <w:color w:val="auto"/>
          <w:w w:val="100"/>
          <w:kern w:val="0"/>
          <w:sz w:val="32"/>
          <w:szCs w:val="32"/>
          <w:highlight w:val="none"/>
          <w:lang w:val="en-US" w:eastAsia="zh-CN"/>
        </w:rPr>
        <w:t>工程量清单</w:t>
      </w:r>
      <w:r>
        <w:rPr>
          <w:rFonts w:hint="default" w:ascii="仿宋_GB2312" w:hAnsi="宋体" w:eastAsia="仿宋_GB2312" w:cs="仿宋_GB2312"/>
          <w:kern w:val="0"/>
          <w:sz w:val="32"/>
          <w:szCs w:val="32"/>
        </w:rPr>
        <w:t>及工程量计算表</w:t>
      </w:r>
      <w:r>
        <w:rPr>
          <w:rFonts w:hint="eastAsia" w:ascii="仿宋" w:hAnsi="仿宋" w:eastAsia="仿宋" w:cs="仿宋"/>
          <w:snapToGrid w:val="0"/>
          <w:color w:val="auto"/>
          <w:w w:val="100"/>
          <w:kern w:val="0"/>
          <w:sz w:val="32"/>
          <w:szCs w:val="32"/>
          <w:highlight w:val="none"/>
          <w:lang w:val="en-US" w:eastAsia="zh-CN"/>
        </w:rPr>
        <w:t>。</w:t>
      </w:r>
    </w:p>
    <w:p w14:paraId="6017F920">
      <w:pPr>
        <w:pStyle w:val="2"/>
        <w:ind w:firstLine="640"/>
        <w:rPr>
          <w:rFonts w:hint="eastAsia"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4.《武江区龙归镇留村村人居环境整治项目</w:t>
      </w:r>
      <w:r>
        <w:rPr>
          <w:rFonts w:hint="eastAsia" w:ascii="仿宋" w:hAnsi="仿宋" w:eastAsia="仿宋" w:cs="仿宋"/>
          <w:snapToGrid w:val="0"/>
          <w:color w:val="auto"/>
          <w:w w:val="100"/>
          <w:kern w:val="0"/>
          <w:sz w:val="32"/>
          <w:szCs w:val="32"/>
          <w:highlight w:val="none"/>
          <w:lang w:val="en-US" w:eastAsia="zh"/>
        </w:rPr>
        <w:t>工作联系函</w:t>
      </w:r>
      <w:r>
        <w:rPr>
          <w:rFonts w:hint="eastAsia" w:ascii="仿宋" w:hAnsi="仿宋" w:eastAsia="仿宋" w:cs="仿宋"/>
          <w:snapToGrid w:val="0"/>
          <w:color w:val="auto"/>
          <w:w w:val="100"/>
          <w:kern w:val="0"/>
          <w:sz w:val="32"/>
          <w:szCs w:val="32"/>
          <w:highlight w:val="none"/>
          <w:lang w:val="en-US" w:eastAsia="zh-CN"/>
        </w:rPr>
        <w:t>》招标控制价审核征询意见表。</w:t>
      </w:r>
    </w:p>
    <w:p w14:paraId="3D90E24B">
      <w:pPr>
        <w:pStyle w:val="2"/>
        <w:ind w:firstLine="640"/>
        <w:rPr>
          <w:rFonts w:hint="eastAsia" w:ascii="仿宋" w:hAnsi="仿宋" w:eastAsia="仿宋" w:cs="仿宋"/>
          <w:snapToGrid w:val="0"/>
          <w:color w:val="auto"/>
          <w:w w:val="100"/>
          <w:kern w:val="0"/>
          <w:sz w:val="32"/>
          <w:szCs w:val="32"/>
          <w:highlight w:val="none"/>
          <w:lang w:val="en-US" w:eastAsia="zh"/>
        </w:rPr>
      </w:pPr>
      <w:r>
        <w:rPr>
          <w:rFonts w:hint="eastAsia" w:ascii="仿宋" w:hAnsi="仿宋" w:eastAsia="仿宋" w:cs="仿宋"/>
          <w:snapToGrid w:val="0"/>
          <w:color w:val="auto"/>
          <w:w w:val="100"/>
          <w:kern w:val="0"/>
          <w:sz w:val="32"/>
          <w:szCs w:val="32"/>
          <w:highlight w:val="none"/>
          <w:lang w:val="en-US" w:eastAsia="zh"/>
        </w:rPr>
        <w:t>5.</w:t>
      </w:r>
      <w:r>
        <w:rPr>
          <w:rFonts w:hint="eastAsia" w:ascii="仿宋" w:hAnsi="仿宋" w:eastAsia="仿宋" w:cs="仿宋"/>
          <w:snapToGrid w:val="0"/>
          <w:color w:val="auto"/>
          <w:w w:val="100"/>
          <w:kern w:val="0"/>
          <w:sz w:val="32"/>
          <w:szCs w:val="32"/>
          <w:highlight w:val="none"/>
          <w:lang w:val="en-US" w:eastAsia="zh-CN"/>
        </w:rPr>
        <w:t>《</w:t>
      </w:r>
      <w:r>
        <w:rPr>
          <w:rFonts w:hint="eastAsia" w:ascii="仿宋" w:hAnsi="仿宋" w:eastAsia="仿宋" w:cs="仿宋"/>
          <w:snapToGrid w:val="0"/>
          <w:color w:val="auto"/>
          <w:w w:val="100"/>
          <w:kern w:val="0"/>
          <w:sz w:val="32"/>
          <w:szCs w:val="32"/>
          <w:highlight w:val="none"/>
          <w:lang w:val="en-US" w:eastAsia="zh"/>
        </w:rPr>
        <w:t>关于</w:t>
      </w:r>
      <w:r>
        <w:rPr>
          <w:rFonts w:hint="eastAsia" w:ascii="仿宋" w:hAnsi="仿宋" w:eastAsia="仿宋" w:cs="仿宋"/>
          <w:snapToGrid w:val="0"/>
          <w:color w:val="auto"/>
          <w:w w:val="100"/>
          <w:kern w:val="0"/>
          <w:sz w:val="32"/>
          <w:szCs w:val="32"/>
          <w:highlight w:val="none"/>
          <w:lang w:val="en-US" w:eastAsia="zh-CN"/>
        </w:rPr>
        <w:t>武江区龙归镇留村村人居环境整治项目招标控制价审核的要求》</w:t>
      </w:r>
      <w:r>
        <w:rPr>
          <w:rFonts w:hint="eastAsia" w:ascii="仿宋" w:hAnsi="仿宋" w:eastAsia="仿宋" w:cs="仿宋"/>
          <w:snapToGrid w:val="0"/>
          <w:color w:val="auto"/>
          <w:w w:val="100"/>
          <w:kern w:val="0"/>
          <w:sz w:val="32"/>
          <w:szCs w:val="32"/>
          <w:highlight w:val="none"/>
          <w:lang w:val="en-US" w:eastAsia="zh"/>
        </w:rPr>
        <w:t>的工作联系函。</w:t>
      </w:r>
    </w:p>
    <w:p w14:paraId="4A1C0C4F">
      <w:pPr>
        <w:tabs>
          <w:tab w:val="left" w:pos="900"/>
          <w:tab w:val="left" w:pos="1080"/>
        </w:tabs>
        <w:spacing w:line="520" w:lineRule="exact"/>
        <w:ind w:firstLine="640" w:firstLineChars="200"/>
        <w:rPr>
          <w:rFonts w:hint="eastAsia" w:ascii="仿宋_GB2312" w:hAnsi="宋体" w:eastAsia="仿宋_GB2312"/>
          <w:sz w:val="32"/>
          <w:szCs w:val="32"/>
        </w:rPr>
      </w:pPr>
    </w:p>
    <w:p w14:paraId="4572563C">
      <w:pPr>
        <w:tabs>
          <w:tab w:val="left" w:pos="900"/>
          <w:tab w:val="left" w:pos="1080"/>
        </w:tabs>
        <w:spacing w:line="520" w:lineRule="exact"/>
        <w:ind w:firstLine="640" w:firstLineChars="200"/>
        <w:rPr>
          <w:rFonts w:ascii="仿宋_GB2312" w:hAnsi="宋体" w:eastAsia="仿宋_GB2312"/>
          <w:sz w:val="32"/>
          <w:szCs w:val="32"/>
        </w:rPr>
      </w:pPr>
      <w:r>
        <w:rPr>
          <w:rFonts w:hint="eastAsia" w:ascii="仿宋_GB2312" w:hAnsi="宋体" w:eastAsia="仿宋_GB2312"/>
          <w:sz w:val="32"/>
          <w:szCs w:val="32"/>
        </w:rPr>
        <w:t>（二）执行规范及定额</w:t>
      </w:r>
    </w:p>
    <w:p w14:paraId="739C529F">
      <w:pPr>
        <w:pStyle w:val="2"/>
        <w:ind w:firstLine="640"/>
        <w:rPr>
          <w:rFonts w:hint="default" w:ascii="仿宋" w:hAnsi="仿宋" w:eastAsia="仿宋" w:cs="仿宋"/>
          <w:snapToGrid w:val="0"/>
          <w:color w:val="auto"/>
          <w:w w:val="100"/>
          <w:kern w:val="0"/>
          <w:sz w:val="32"/>
          <w:szCs w:val="32"/>
          <w:highlight w:val="none"/>
          <w:lang w:val="en-US" w:eastAsia="zh-CN"/>
        </w:rPr>
      </w:pPr>
      <w:r>
        <w:rPr>
          <w:rFonts w:hint="default" w:ascii="仿宋" w:hAnsi="仿宋" w:eastAsia="仿宋" w:cs="仿宋"/>
          <w:snapToGrid w:val="0"/>
          <w:color w:val="auto"/>
          <w:w w:val="100"/>
          <w:kern w:val="0"/>
          <w:sz w:val="32"/>
          <w:szCs w:val="32"/>
          <w:highlight w:val="none"/>
          <w:lang w:val="en-US" w:eastAsia="zh-CN"/>
        </w:rPr>
        <w:t>1.《建设工程工程量清单计价</w:t>
      </w:r>
      <w:r>
        <w:rPr>
          <w:rFonts w:hint="eastAsia" w:ascii="仿宋" w:hAnsi="仿宋" w:eastAsia="仿宋" w:cs="仿宋"/>
          <w:snapToGrid w:val="0"/>
          <w:color w:val="auto"/>
          <w:w w:val="100"/>
          <w:kern w:val="0"/>
          <w:sz w:val="32"/>
          <w:szCs w:val="32"/>
          <w:highlight w:val="none"/>
          <w:lang w:val="en-US" w:eastAsia="zh-CN"/>
        </w:rPr>
        <w:t>标准</w:t>
      </w:r>
      <w:r>
        <w:rPr>
          <w:rFonts w:hint="default" w:ascii="仿宋" w:hAnsi="仿宋" w:eastAsia="仿宋" w:cs="仿宋"/>
          <w:snapToGrid w:val="0"/>
          <w:color w:val="auto"/>
          <w:w w:val="100"/>
          <w:kern w:val="0"/>
          <w:sz w:val="32"/>
          <w:szCs w:val="32"/>
          <w:highlight w:val="none"/>
          <w:lang w:val="en-US" w:eastAsia="zh-CN"/>
        </w:rPr>
        <w:t>》（GB/T50500-2024）；</w:t>
      </w:r>
    </w:p>
    <w:p w14:paraId="41DA063C">
      <w:pPr>
        <w:pStyle w:val="2"/>
        <w:ind w:firstLine="640"/>
        <w:rPr>
          <w:rFonts w:hint="default" w:ascii="仿宋" w:hAnsi="仿宋" w:eastAsia="仿宋" w:cs="仿宋"/>
          <w:snapToGrid w:val="0"/>
          <w:color w:val="auto"/>
          <w:w w:val="100"/>
          <w:kern w:val="0"/>
          <w:sz w:val="32"/>
          <w:szCs w:val="32"/>
          <w:highlight w:val="none"/>
          <w:lang w:val="en-US" w:eastAsia="zh-CN"/>
        </w:rPr>
      </w:pPr>
      <w:r>
        <w:rPr>
          <w:rFonts w:hint="default" w:ascii="仿宋" w:hAnsi="仿宋" w:eastAsia="仿宋" w:cs="仿宋"/>
          <w:snapToGrid w:val="0"/>
          <w:color w:val="auto"/>
          <w:w w:val="100"/>
          <w:kern w:val="0"/>
          <w:sz w:val="32"/>
          <w:szCs w:val="32"/>
          <w:highlight w:val="none"/>
          <w:lang w:val="en-US" w:eastAsia="zh-CN"/>
        </w:rPr>
        <w:t>2.《房屋建筑与装饰工程工程量计算</w:t>
      </w:r>
      <w:r>
        <w:rPr>
          <w:rFonts w:hint="eastAsia" w:ascii="仿宋" w:hAnsi="仿宋" w:eastAsia="仿宋" w:cs="仿宋"/>
          <w:snapToGrid w:val="0"/>
          <w:color w:val="auto"/>
          <w:w w:val="100"/>
          <w:kern w:val="0"/>
          <w:sz w:val="32"/>
          <w:szCs w:val="32"/>
          <w:highlight w:val="none"/>
          <w:lang w:val="en-US" w:eastAsia="zh-CN"/>
        </w:rPr>
        <w:t>标准</w:t>
      </w:r>
      <w:r>
        <w:rPr>
          <w:rFonts w:hint="default" w:ascii="仿宋" w:hAnsi="仿宋" w:eastAsia="仿宋" w:cs="仿宋"/>
          <w:snapToGrid w:val="0"/>
          <w:color w:val="auto"/>
          <w:w w:val="100"/>
          <w:kern w:val="0"/>
          <w:sz w:val="32"/>
          <w:szCs w:val="32"/>
          <w:highlight w:val="none"/>
          <w:lang w:val="en-US" w:eastAsia="zh-CN"/>
        </w:rPr>
        <w:t>》（GB/T50854</w:t>
      </w:r>
    </w:p>
    <w:p w14:paraId="6C44A7AD">
      <w:pPr>
        <w:pStyle w:val="2"/>
        <w:rPr>
          <w:rFonts w:hint="default" w:ascii="仿宋" w:hAnsi="仿宋" w:eastAsia="仿宋" w:cs="仿宋"/>
          <w:snapToGrid w:val="0"/>
          <w:color w:val="auto"/>
          <w:w w:val="100"/>
          <w:kern w:val="0"/>
          <w:sz w:val="32"/>
          <w:szCs w:val="32"/>
          <w:highlight w:val="none"/>
          <w:lang w:val="en-US" w:eastAsia="zh-CN"/>
        </w:rPr>
      </w:pPr>
      <w:r>
        <w:rPr>
          <w:rFonts w:hint="default" w:ascii="仿宋" w:hAnsi="仿宋" w:eastAsia="仿宋" w:cs="仿宋"/>
          <w:snapToGrid w:val="0"/>
          <w:color w:val="auto"/>
          <w:w w:val="100"/>
          <w:kern w:val="0"/>
          <w:sz w:val="32"/>
          <w:szCs w:val="32"/>
          <w:highlight w:val="none"/>
          <w:lang w:val="en-US" w:eastAsia="zh-CN"/>
        </w:rPr>
        <w:t>-2024）；</w:t>
      </w:r>
    </w:p>
    <w:p w14:paraId="6B7ACAD6">
      <w:pPr>
        <w:pStyle w:val="2"/>
        <w:ind w:firstLine="640"/>
        <w:rPr>
          <w:rFonts w:hint="default" w:ascii="仿宋" w:hAnsi="仿宋" w:eastAsia="仿宋" w:cs="仿宋"/>
          <w:snapToGrid w:val="0"/>
          <w:color w:val="auto"/>
          <w:w w:val="100"/>
          <w:kern w:val="0"/>
          <w:sz w:val="32"/>
          <w:szCs w:val="32"/>
          <w:highlight w:val="none"/>
          <w:lang w:val="en-US" w:eastAsia="zh-CN"/>
        </w:rPr>
      </w:pPr>
      <w:r>
        <w:rPr>
          <w:rFonts w:hint="default" w:ascii="仿宋" w:hAnsi="仿宋" w:eastAsia="仿宋" w:cs="仿宋"/>
          <w:snapToGrid w:val="0"/>
          <w:color w:val="auto"/>
          <w:w w:val="100"/>
          <w:kern w:val="0"/>
          <w:sz w:val="32"/>
          <w:szCs w:val="32"/>
          <w:highlight w:val="none"/>
          <w:lang w:val="en-US" w:eastAsia="zh-CN"/>
        </w:rPr>
        <w:t>3.《通用安装工程工程量计算标准》（GB/T50856-2024）；</w:t>
      </w:r>
    </w:p>
    <w:p w14:paraId="49DE88F4">
      <w:pPr>
        <w:pStyle w:val="2"/>
        <w:ind w:firstLine="640"/>
        <w:rPr>
          <w:rFonts w:hint="default" w:ascii="仿宋" w:hAnsi="仿宋" w:eastAsia="仿宋" w:cs="仿宋"/>
          <w:snapToGrid w:val="0"/>
          <w:color w:val="auto"/>
          <w:w w:val="100"/>
          <w:kern w:val="0"/>
          <w:sz w:val="32"/>
          <w:szCs w:val="32"/>
          <w:highlight w:val="none"/>
          <w:lang w:val="en-US" w:eastAsia="zh-CN"/>
        </w:rPr>
      </w:pPr>
      <w:r>
        <w:rPr>
          <w:rFonts w:hint="default" w:ascii="仿宋" w:hAnsi="仿宋" w:eastAsia="仿宋" w:cs="仿宋"/>
          <w:snapToGrid w:val="0"/>
          <w:color w:val="auto"/>
          <w:w w:val="100"/>
          <w:kern w:val="0"/>
          <w:sz w:val="32"/>
          <w:szCs w:val="32"/>
          <w:highlight w:val="none"/>
          <w:lang w:val="en-US" w:eastAsia="zh-CN"/>
        </w:rPr>
        <w:t>4.《市政工程工程量计算标准》（GB/T50857-2024）；</w:t>
      </w:r>
    </w:p>
    <w:p w14:paraId="235192A2">
      <w:pPr>
        <w:pStyle w:val="2"/>
        <w:ind w:firstLine="640"/>
        <w:rPr>
          <w:rFonts w:hint="default" w:ascii="仿宋" w:hAnsi="仿宋" w:eastAsia="仿宋" w:cs="仿宋"/>
          <w:snapToGrid w:val="0"/>
          <w:color w:val="auto"/>
          <w:w w:val="100"/>
          <w:kern w:val="0"/>
          <w:sz w:val="32"/>
          <w:szCs w:val="32"/>
          <w:highlight w:val="none"/>
          <w:lang w:val="en-US" w:eastAsia="zh-CN"/>
        </w:rPr>
      </w:pPr>
      <w:r>
        <w:rPr>
          <w:rFonts w:hint="eastAsia" w:ascii="仿宋" w:hAnsi="仿宋" w:eastAsia="仿宋" w:cs="仿宋"/>
          <w:snapToGrid w:val="0"/>
          <w:color w:val="auto"/>
          <w:w w:val="100"/>
          <w:kern w:val="0"/>
          <w:sz w:val="32"/>
          <w:szCs w:val="32"/>
          <w:highlight w:val="none"/>
          <w:lang w:val="en-US" w:eastAsia="zh-CN"/>
        </w:rPr>
        <w:t>5.</w:t>
      </w:r>
      <w:r>
        <w:rPr>
          <w:rFonts w:hint="default" w:ascii="仿宋" w:hAnsi="仿宋" w:eastAsia="仿宋" w:cs="仿宋"/>
          <w:snapToGrid w:val="0"/>
          <w:color w:val="auto"/>
          <w:w w:val="100"/>
          <w:kern w:val="0"/>
          <w:sz w:val="32"/>
          <w:szCs w:val="32"/>
          <w:highlight w:val="none"/>
          <w:lang w:val="en-US" w:eastAsia="zh-CN"/>
        </w:rPr>
        <w:t>《园林绿化工程工程量计算标准》（GB/T50858-2024）</w:t>
      </w:r>
      <w:r>
        <w:rPr>
          <w:rFonts w:hint="eastAsia" w:ascii="仿宋" w:hAnsi="仿宋" w:eastAsia="仿宋" w:cs="仿宋"/>
          <w:snapToGrid w:val="0"/>
          <w:color w:val="auto"/>
          <w:w w:val="100"/>
          <w:kern w:val="0"/>
          <w:sz w:val="32"/>
          <w:szCs w:val="32"/>
          <w:highlight w:val="none"/>
          <w:lang w:val="en-US" w:eastAsia="zh-CN"/>
        </w:rPr>
        <w:t>；</w:t>
      </w:r>
    </w:p>
    <w:p w14:paraId="36C2ADC6">
      <w:pPr>
        <w:pStyle w:val="2"/>
        <w:ind w:firstLine="640"/>
        <w:rPr>
          <w:rFonts w:hint="eastAsia" w:ascii="仿宋" w:hAnsi="仿宋" w:eastAsia="仿宋" w:cs="仿宋"/>
          <w:snapToGrid w:val="0"/>
          <w:color w:val="auto"/>
          <w:w w:val="100"/>
          <w:kern w:val="0"/>
          <w:sz w:val="32"/>
          <w:szCs w:val="32"/>
          <w:highlight w:val="none"/>
          <w:lang w:val="en-US" w:eastAsia="zh"/>
        </w:rPr>
      </w:pPr>
      <w:r>
        <w:rPr>
          <w:rFonts w:hint="eastAsia" w:ascii="仿宋" w:hAnsi="仿宋" w:eastAsia="仿宋" w:cs="仿宋"/>
          <w:snapToGrid w:val="0"/>
          <w:color w:val="auto"/>
          <w:w w:val="100"/>
          <w:kern w:val="0"/>
          <w:sz w:val="32"/>
          <w:szCs w:val="32"/>
          <w:highlight w:val="none"/>
          <w:lang w:val="en-US" w:eastAsia="zh-CN"/>
        </w:rPr>
        <w:t>6</w:t>
      </w:r>
      <w:r>
        <w:rPr>
          <w:rFonts w:hint="eastAsia" w:ascii="仿宋" w:hAnsi="仿宋" w:eastAsia="仿宋" w:cs="仿宋"/>
          <w:snapToGrid w:val="0"/>
          <w:color w:val="auto"/>
          <w:w w:val="100"/>
          <w:kern w:val="0"/>
          <w:sz w:val="32"/>
          <w:szCs w:val="32"/>
          <w:highlight w:val="none"/>
          <w:lang w:val="en-US" w:eastAsia="zh"/>
        </w:rPr>
        <w:t>.</w:t>
      </w:r>
      <w:r>
        <w:rPr>
          <w:rFonts w:hint="default" w:ascii="仿宋" w:hAnsi="仿宋" w:eastAsia="仿宋" w:cs="仿宋"/>
          <w:snapToGrid w:val="0"/>
          <w:color w:val="auto"/>
          <w:w w:val="100"/>
          <w:kern w:val="0"/>
          <w:sz w:val="32"/>
          <w:szCs w:val="32"/>
          <w:highlight w:val="none"/>
          <w:lang w:val="en-US" w:eastAsia="zh-CN"/>
        </w:rPr>
        <w:t>《广东省住房和城乡建设厅关于调整广东省建设工程计价依据增值税税率的通知》粤建标函〔2019〕819号。</w:t>
      </w:r>
    </w:p>
    <w:p w14:paraId="71F0F0B2">
      <w:pPr>
        <w:numPr>
          <w:ilvl w:val="0"/>
          <w:numId w:val="0"/>
        </w:numPr>
        <w:suppressAutoHyphens/>
        <w:adjustRightInd w:val="0"/>
        <w:spacing w:line="360" w:lineRule="auto"/>
        <w:ind w:firstLine="640" w:firstLineChars="200"/>
        <w:jc w:val="left"/>
        <w:rPr>
          <w:rFonts w:hint="eastAsia" w:ascii="Times New Roman" w:hAnsi="Times New Roman" w:eastAsia="黑体"/>
          <w:snapToGrid w:val="0"/>
          <w:kern w:val="0"/>
          <w:sz w:val="32"/>
          <w:szCs w:val="24"/>
          <w:lang w:eastAsia="zh-CN"/>
        </w:rPr>
      </w:pPr>
      <w:r>
        <w:rPr>
          <w:rFonts w:hint="eastAsia" w:ascii="Times New Roman" w:hAnsi="Times New Roman" w:eastAsia="黑体"/>
          <w:snapToGrid w:val="0"/>
          <w:kern w:val="0"/>
          <w:sz w:val="32"/>
          <w:szCs w:val="24"/>
          <w:lang w:eastAsia="zh-CN"/>
        </w:rPr>
        <w:t>三、其他说明</w:t>
      </w:r>
    </w:p>
    <w:p w14:paraId="27BAF983">
      <w:pPr>
        <w:pStyle w:val="2"/>
        <w:numPr>
          <w:ilvl w:val="0"/>
          <w:numId w:val="0"/>
        </w:numPr>
        <w:ind w:left="0" w:leftChars="0" w:firstLine="640" w:firstLineChars="200"/>
        <w:rPr>
          <w:rFonts w:hint="eastAsia" w:ascii="仿宋_GB2312" w:hAnsi="宋体" w:eastAsia="仿宋_GB2312"/>
          <w:sz w:val="32"/>
          <w:szCs w:val="32"/>
          <w:highlight w:val="none"/>
          <w:lang w:val="en-US" w:eastAsia="zh-CN"/>
        </w:rPr>
      </w:pPr>
      <w:r>
        <w:rPr>
          <w:rFonts w:hint="default" w:ascii="仿宋_GB2312" w:hAnsi="宋体" w:eastAsia="仿宋_GB2312" w:cs="Times New Roman"/>
          <w:kern w:val="0"/>
          <w:sz w:val="32"/>
          <w:szCs w:val="32"/>
          <w:highlight w:val="none"/>
          <w:lang w:val="en-US" w:eastAsia="zh-CN" w:bidi="ar-SA"/>
        </w:rPr>
        <w:t>1．</w:t>
      </w:r>
      <w:r>
        <w:rPr>
          <w:rFonts w:hint="eastAsia" w:ascii="仿宋_GB2312" w:hAnsi="宋体" w:eastAsia="仿宋_GB2312"/>
          <w:color w:val="auto"/>
          <w:sz w:val="32"/>
          <w:szCs w:val="32"/>
          <w:highlight w:val="none"/>
          <w:lang w:val="en-US" w:eastAsia="zh-CN"/>
        </w:rPr>
        <w:t>根据建设单位提供的</w:t>
      </w:r>
      <w:r>
        <w:rPr>
          <w:rFonts w:hint="eastAsia" w:ascii="仿宋_GB2312" w:hAnsi="宋体" w:eastAsia="仿宋_GB2312"/>
          <w:color w:val="auto"/>
          <w:sz w:val="32"/>
          <w:szCs w:val="32"/>
          <w:highlight w:val="none"/>
          <w:lang w:val="en-US" w:eastAsia="zh"/>
        </w:rPr>
        <w:t>关于“</w:t>
      </w:r>
      <w:r>
        <w:rPr>
          <w:rFonts w:hint="eastAsia" w:ascii="仿宋_GB2312" w:hAnsi="宋体" w:eastAsia="仿宋_GB2312"/>
          <w:sz w:val="32"/>
          <w:szCs w:val="32"/>
          <w:highlight w:val="none"/>
          <w:lang w:val="en-US" w:eastAsia="zh"/>
        </w:rPr>
        <w:t>关于武江区龙归镇留村村人居环境整治项目招标控制价审核的要求</w:t>
      </w:r>
      <w:r>
        <w:rPr>
          <w:rFonts w:hint="eastAsia" w:ascii="仿宋_GB2312" w:hAnsi="宋体" w:eastAsia="仿宋_GB2312"/>
          <w:color w:val="auto"/>
          <w:sz w:val="32"/>
          <w:szCs w:val="32"/>
          <w:highlight w:val="none"/>
          <w:lang w:val="en-US" w:eastAsia="zh"/>
        </w:rPr>
        <w:t>”的工作联系函</w:t>
      </w:r>
      <w:r>
        <w:rPr>
          <w:rFonts w:hint="eastAsia" w:ascii="仿宋_GB2312" w:hAnsi="Times New Roman" w:eastAsia="仿宋_GB2312"/>
          <w:snapToGrid w:val="0"/>
          <w:color w:val="auto"/>
          <w:kern w:val="0"/>
          <w:sz w:val="32"/>
          <w:szCs w:val="24"/>
          <w:highlight w:val="none"/>
          <w:lang w:val="en-US" w:eastAsia="zh-CN"/>
        </w:rPr>
        <w:t>，土方、建筑废料等弃置，运距综合考虑</w:t>
      </w:r>
      <w:r>
        <w:rPr>
          <w:rFonts w:hint="eastAsia" w:ascii="仿宋_GB2312" w:hAnsi="宋体" w:eastAsia="仿宋_GB2312"/>
          <w:sz w:val="32"/>
          <w:szCs w:val="32"/>
          <w:highlight w:val="none"/>
          <w:lang w:val="en-US" w:eastAsia="zh-CN"/>
        </w:rPr>
        <w:t>。</w:t>
      </w:r>
    </w:p>
    <w:p w14:paraId="12BB347B">
      <w:pPr>
        <w:pStyle w:val="2"/>
        <w:numPr>
          <w:ilvl w:val="0"/>
          <w:numId w:val="0"/>
        </w:numPr>
        <w:ind w:left="0" w:leftChars="0" w:firstLine="640" w:firstLineChars="200"/>
        <w:rPr>
          <w:rFonts w:hint="eastAsia" w:ascii="仿宋_GB2312" w:hAnsi="宋体" w:eastAsia="仿宋_GB2312" w:cs="仿宋_GB2312"/>
          <w:kern w:val="0"/>
          <w:sz w:val="32"/>
          <w:szCs w:val="32"/>
          <w:highlight w:val="none"/>
          <w:lang w:val="en-US" w:eastAsia="zh-CN" w:bidi="ar"/>
        </w:rPr>
      </w:pPr>
      <w:r>
        <w:rPr>
          <w:rFonts w:hint="eastAsia" w:ascii="仿宋_GB2312" w:hAnsi="宋体" w:eastAsia="仿宋_GB2312" w:cs="仿宋_GB2312"/>
          <w:kern w:val="0"/>
          <w:sz w:val="32"/>
          <w:szCs w:val="32"/>
          <w:highlight w:val="none"/>
          <w:lang w:val="en-US" w:eastAsia="zh" w:bidi="ar"/>
        </w:rPr>
        <w:t>2</w:t>
      </w:r>
      <w:r>
        <w:rPr>
          <w:rFonts w:hint="default" w:ascii="仿宋_GB2312" w:hAnsi="宋体" w:eastAsia="仿宋_GB2312" w:cs="仿宋_GB2312"/>
          <w:kern w:val="0"/>
          <w:sz w:val="32"/>
          <w:szCs w:val="32"/>
          <w:highlight w:val="none"/>
          <w:lang w:val="en-US" w:eastAsia="zh-CN" w:bidi="ar"/>
        </w:rPr>
        <w:t>．</w:t>
      </w:r>
      <w:r>
        <w:rPr>
          <w:rFonts w:hint="eastAsia" w:ascii="仿宋_GB2312" w:hAnsi="宋体" w:eastAsia="仿宋_GB2312"/>
          <w:sz w:val="32"/>
          <w:szCs w:val="32"/>
          <w:highlight w:val="none"/>
          <w:lang w:val="en-US" w:eastAsia="zh-CN"/>
        </w:rPr>
        <w:t>根据建设单位提供的</w:t>
      </w:r>
      <w:r>
        <w:rPr>
          <w:rFonts w:hint="eastAsia" w:ascii="仿宋_GB2312" w:hAnsi="宋体" w:eastAsia="仿宋_GB2312"/>
          <w:sz w:val="32"/>
          <w:szCs w:val="32"/>
          <w:highlight w:val="none"/>
          <w:lang w:val="en-US" w:eastAsia="zh"/>
        </w:rPr>
        <w:t>关于</w:t>
      </w:r>
      <w:r>
        <w:rPr>
          <w:rFonts w:hint="eastAsia" w:ascii="仿宋_GB2312" w:hAnsi="宋体" w:eastAsia="仿宋_GB2312"/>
          <w:color w:val="auto"/>
          <w:sz w:val="32"/>
          <w:szCs w:val="32"/>
          <w:highlight w:val="none"/>
          <w:lang w:val="en-US" w:eastAsia="zh"/>
        </w:rPr>
        <w:t>“</w:t>
      </w:r>
      <w:r>
        <w:rPr>
          <w:rFonts w:hint="eastAsia" w:ascii="仿宋_GB2312" w:hAnsi="宋体" w:eastAsia="仿宋_GB2312"/>
          <w:sz w:val="32"/>
          <w:szCs w:val="32"/>
          <w:highlight w:val="none"/>
          <w:lang w:val="en-US" w:eastAsia="zh"/>
        </w:rPr>
        <w:t>关于武江区龙归镇留村村人居环境整治项目招标控制价审核的要求</w:t>
      </w:r>
      <w:r>
        <w:rPr>
          <w:rFonts w:hint="eastAsia" w:ascii="仿宋_GB2312" w:hAnsi="宋体" w:eastAsia="仿宋_GB2312"/>
          <w:color w:val="auto"/>
          <w:sz w:val="32"/>
          <w:szCs w:val="32"/>
          <w:highlight w:val="none"/>
          <w:lang w:val="en-US" w:eastAsia="zh"/>
        </w:rPr>
        <w:t>”</w:t>
      </w:r>
      <w:r>
        <w:rPr>
          <w:rFonts w:hint="eastAsia" w:ascii="仿宋_GB2312" w:hAnsi="宋体" w:eastAsia="仿宋_GB2312"/>
          <w:sz w:val="32"/>
          <w:szCs w:val="32"/>
          <w:highlight w:val="none"/>
          <w:lang w:val="en-US" w:eastAsia="zh"/>
        </w:rPr>
        <w:t>的工作联系函</w:t>
      </w:r>
      <w:r>
        <w:rPr>
          <w:rFonts w:hint="eastAsia" w:ascii="仿宋_GB2312" w:hAnsi="Times New Roman" w:eastAsia="仿宋_GB2312"/>
          <w:snapToGrid w:val="0"/>
          <w:kern w:val="0"/>
          <w:sz w:val="32"/>
          <w:szCs w:val="24"/>
          <w:highlight w:val="none"/>
          <w:lang w:val="en-US" w:eastAsia="zh-CN"/>
        </w:rPr>
        <w:t>，</w:t>
      </w:r>
      <w:r>
        <w:rPr>
          <w:rFonts w:hint="eastAsia" w:ascii="仿宋_GB2312" w:hAnsi="宋体" w:eastAsia="仿宋_GB2312"/>
          <w:sz w:val="32"/>
          <w:szCs w:val="32"/>
          <w:highlight w:val="none"/>
          <w:lang w:val="en-US" w:eastAsia="zh-CN"/>
        </w:rPr>
        <w:t>以下产品列入暂估价：暂估价价格为上限价，结算时单项价格和总价均不超出上限价且提供发票、转账记录、购销合同、竣工图、施工方案等相关佐证资料作为结算参考</w:t>
      </w:r>
      <w:r>
        <w:rPr>
          <w:rFonts w:hint="eastAsia" w:ascii="仿宋_GB2312" w:hAnsi="宋体" w:eastAsia="仿宋_GB2312" w:cs="仿宋_GB2312"/>
          <w:kern w:val="0"/>
          <w:sz w:val="32"/>
          <w:szCs w:val="32"/>
          <w:highlight w:val="none"/>
          <w:lang w:val="en-US" w:eastAsia="zh" w:bidi="ar"/>
        </w:rPr>
        <w:t>。</w:t>
      </w:r>
    </w:p>
    <w:p w14:paraId="2E706312">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1）健身器材共计14套，其中自重式划船器1套，单价647.19元/套;双人漫步机2套，单价945.68元/套;双人健骑机1套，单价654.47元/套；单人椭圆机1套，单价929.41元/套；三位扭腰器2套，单价428.07元/套；腰背按摩器2套，单价428.07元/套；上肢牵引器1套，单价428.06元/套；腿部按摩器1套，单价894.93元/套；双人大转轮2套，单价911.2元/套；自重式坐推训练器1套，单价1166.13元/套；总计10146.2元（包含装、不含基础、不含税）结算时提供采购合同、发票、转账记录等资料作为参考，预算暂估价单项和总项均为上限价，结算时不可超暂估价结算。</w:t>
      </w:r>
    </w:p>
    <w:p w14:paraId="6E93774F">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（2）</w:t>
      </w:r>
      <w:r>
        <w:rPr>
          <w:rFonts w:hint="default" w:ascii="仿宋_GB2312" w:hAnsi="宋体" w:eastAsia="仿宋_GB2312" w:cs="Times New Roman"/>
          <w:color w:val="auto"/>
          <w:kern w:val="0"/>
          <w:sz w:val="32"/>
          <w:szCs w:val="32"/>
          <w:highlight w:val="none"/>
          <w:lang w:val="en-US" w:eastAsia="zh-CN" w:bidi="ar-SA"/>
        </w:rPr>
        <w:t>和美留村广告牌暂按637.33元/m2（含安装费，不含税）计算，共5.8064m2，总计3700.59元，结算时提供采购合同、发票、转账记录等资料作为参考，预算暂估价单项和总项均为上限价，结算时不可超暂估价结算。</w:t>
      </w:r>
    </w:p>
    <w:p w14:paraId="339E65B0">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（3）</w:t>
      </w:r>
      <w:r>
        <w:rPr>
          <w:rFonts w:hint="default" w:ascii="仿宋_GB2312" w:hAnsi="宋体" w:eastAsia="仿宋_GB2312" w:cs="Times New Roman"/>
          <w:color w:val="auto"/>
          <w:kern w:val="0"/>
          <w:sz w:val="32"/>
          <w:szCs w:val="32"/>
          <w:highlight w:val="none"/>
          <w:lang w:val="en-US" w:eastAsia="zh-CN" w:bidi="ar-SA"/>
        </w:rPr>
        <w:t>樟荫小径暂按1057.06元/m2（含安装费，不含税）计算，共1.25m2，总计1,321.33元，结算时提供采购合同、发票、转账记录等资料作为参考，预算暂估价单项和总项均为上限价，结算时不可超暂估价结算。</w:t>
      </w:r>
    </w:p>
    <w:p w14:paraId="50283C6E">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（4）</w:t>
      </w:r>
      <w:r>
        <w:rPr>
          <w:rFonts w:hint="default" w:ascii="仿宋_GB2312" w:hAnsi="宋体" w:eastAsia="仿宋_GB2312" w:cs="Times New Roman"/>
          <w:color w:val="auto"/>
          <w:kern w:val="0"/>
          <w:sz w:val="32"/>
          <w:szCs w:val="32"/>
          <w:highlight w:val="none"/>
          <w:lang w:val="en-US" w:eastAsia="zh-CN" w:bidi="ar-SA"/>
        </w:rPr>
        <w:t>小公园入口装饰-成品纺车轮暂按378.56元/套（含安装费，不含税）计算，共2套，总计757.12元，结算时提供采购合同、发票、转账记录等资料作为参考，预算暂估价单项和总项均为上限价，结算时不可超暂估价结算。</w:t>
      </w:r>
    </w:p>
    <w:p w14:paraId="168A71F8">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5）小公园入口装饰-成品瓦罐暂按61.88元/套（含安装费，不含税）计算，共2套，总计123.76元，结算时提供采购合同、发票、转账记录等资料作为参考，预算暂估价单项和总项均为上限价，结算时不可超暂估价结算。</w:t>
      </w:r>
    </w:p>
    <w:p w14:paraId="68752509">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6）小公园入口装饰-成品石磨盘暂按525.13元/套（含安装费，不含税）计算，共1套，总计525.13元，结算时提供采购合同、发票、转账记录等资料作为参考，预算暂估价单项和总项均为上限价，结算时不可超暂估价结算。</w:t>
      </w:r>
    </w:p>
    <w:p w14:paraId="0B811A91">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7）小公园入口装饰-成品亚克力字体暂按133.95元/套（含安装费，不含税）计算，共6套，总计803.71元，结算时提供采购合同、发票、转账记录等资料作为参考，预算暂估价单项和总项均为上限价，结算时不可超暂估价结算。</w:t>
      </w:r>
    </w:p>
    <w:p w14:paraId="26FD28EE">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8）小公园入口装饰-φ300防腐木暂按24.75元/m（含安装费，不含税）计算，共8m，总计198.02元，结算时提供采购合同、发票、转账记录等资料作为参考，预算暂估价单项和总项均为上限价，结算时不可超暂估价结算。</w:t>
      </w:r>
    </w:p>
    <w:p w14:paraId="109D6A22">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9）字体立牌暂按2168元/套（含安装费，不含税）计算，共4套，总计8672元，结算时提供采购合同、发票、转账记录等资料作为参考，预算暂估价单项和总项均为上限价，结算时不可超暂估价结算。</w:t>
      </w:r>
    </w:p>
    <w:p w14:paraId="551DF8EF">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10）党建宣传牌暂按1128.4元/m2（含安装费，不含税）计算，共22.4m2，总计25276.16元，结算时提供采购合同、发票、转账记录等资料作为参考，预算暂估价单项和总项均为上限价，结算时不可超暂估价结算。</w:t>
      </w:r>
    </w:p>
    <w:p w14:paraId="019A9EE7">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11）篮球架暂按1850.78元/套（含安装费，不含税）计算，共4套，总计7403.1元，结算时提供采购合同、发票、转账记录等资料作为参考，预算暂估价单项和总项均为上限价，结算时不可超暂估价结算。</w:t>
      </w:r>
    </w:p>
    <w:p w14:paraId="40323A6B">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12）墙面花篮暂按36.40元/套（含安装费，不含税）计算，共16套，总计582.4元，结算时提供采购合同、发票、转账记录等资料作为参考，预算暂估价单项和总项均为上限价，结算时不可超暂估价结算。</w:t>
      </w:r>
    </w:p>
    <w:p w14:paraId="48576D9A">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13）原有休憩亭修复暂按1820元/项（含安装费，不含税）计算，共1项，总计1820元，结算时提供采购合同、发票、转账记录等资料作为参考，预算暂估价单项和总项均为上限价，结算时不可超暂估价结算。</w:t>
      </w:r>
    </w:p>
    <w:p w14:paraId="4B0E36FB">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14）乒乓球桌暂按1703.52元/套（含安装费，不含税）计算，共6套，总计10221.12元，结算时提供采购合同、发票、转账记录等资料作为参考，预算暂估价单项和总项均为上限价，结算时不可超暂估价结算。</w:t>
      </w:r>
    </w:p>
    <w:p w14:paraId="227165A1">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15）花岗岩坐凳暂按360元/套（含安装费，不含税）计算，共22套，总计7920元，结算时提供采购合同、发票、转账记录等资料作为参考，预算暂估价单项和总项均为上限价，结算时不可超暂估价结算。</w:t>
      </w:r>
    </w:p>
    <w:p w14:paraId="13A68719">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16）钢结构长廊暂按40506.67元/套（含安装费，不含税）计算，共1套，总计40506.67元，结算时提供采购合同、发票、转账记录等资料作为参考，预算暂估价单项和总项均为上限价，结算时不可超暂估价结算。</w:t>
      </w:r>
    </w:p>
    <w:p w14:paraId="4F478EC6">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17）钢结构凉亭暂按28480元/套（含安装费，不含税）计算，共1套，总计28480元，结算时提供采购合同、发票、转账记录等资料作为参考，预算暂估价单项和总项均为上限价，结算时不可超暂估价结算。</w:t>
      </w:r>
    </w:p>
    <w:p w14:paraId="0BE798E7">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18）村口标识暂按664元/m2（含安装费，不含税）计算，共51.52m2，总计34209.28元，结算时提供采购合同、发票、转账记录等资料作为参考，预算暂估价单项和总项均为上限价，结算时不可超暂估价结算。</w:t>
      </w:r>
    </w:p>
    <w:p w14:paraId="7A5CA1F6">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19）文化宣传栏暂按650.67元/m2（含安装费，不含税）计算，共16.8m2，总计10931.2元，结算时提供采购合同、发票、转账记录等资料作为参考，预算暂估价单项和总项均为上限价，结算时不可超暂估价结算。</w:t>
      </w:r>
    </w:p>
    <w:p w14:paraId="1CF40574">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20）留村标牌暂按1063.79元/m2（含安装费，不含税）计算，共43.2m2，总计45955.73元，结算时提供采购合同、发票、转账记录等资料作为参考，预算暂估价单项和总项均为上限价，结算时不可超暂估价结算。</w:t>
      </w:r>
    </w:p>
    <w:p w14:paraId="32324A66">
      <w:pPr>
        <w:pStyle w:val="2"/>
        <w:numPr>
          <w:ilvl w:val="0"/>
          <w:numId w:val="0"/>
        </w:numPr>
        <w:ind w:left="0" w:leftChars="0" w:firstLine="640" w:firstLineChars="200"/>
        <w:rPr>
          <w:rFonts w:hint="default"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 w:bidi="ar-SA"/>
        </w:rPr>
        <w:t>（</w:t>
      </w:r>
      <w:r>
        <w:rPr>
          <w:rFonts w:hint="default" w:ascii="仿宋_GB2312" w:hAnsi="宋体" w:eastAsia="仿宋_GB2312" w:cs="Times New Roman"/>
          <w:color w:val="auto"/>
          <w:kern w:val="0"/>
          <w:sz w:val="32"/>
          <w:szCs w:val="32"/>
          <w:highlight w:val="none"/>
          <w:lang w:val="en-US" w:eastAsia="zh-CN" w:bidi="ar-SA"/>
        </w:rPr>
        <w:t>21）厂区电动伸缩门（配备 370W–550W 减速电机，不锈钢材质：框架厚度 1.0mm–1.5mm，门板厚度 0.6mm–1.0mm，电机防护等级：≥IP55，电源参数：AC 380V 50Hz）暂按22968.4元/套（含安装费，不含税）计算，共2套，总计45936.8元，结算时提供采购合同、发票、转账记录等资料作为参考，预算暂估价单项和总项均为上限价，结算时不可超暂估价结算。</w:t>
      </w:r>
    </w:p>
    <w:p w14:paraId="584198E7">
      <w:pPr>
        <w:pStyle w:val="2"/>
        <w:numPr>
          <w:ilvl w:val="0"/>
          <w:numId w:val="0"/>
        </w:numPr>
        <w:ind w:left="0" w:leftChars="0"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sz w:val="32"/>
          <w:szCs w:val="32"/>
          <w:highlight w:val="none"/>
          <w:lang w:val="en-US" w:eastAsia="zh"/>
        </w:rPr>
        <w:t>3.</w:t>
      </w:r>
      <w:r>
        <w:rPr>
          <w:rFonts w:hint="default" w:ascii="方正仿宋_GB2312" w:hAnsi="方正仿宋_GB2312" w:eastAsia="方正仿宋_GB2312" w:cs="方正仿宋_GB2312"/>
          <w:kern w:val="2"/>
          <w:sz w:val="32"/>
          <w:szCs w:val="32"/>
          <w:highlight w:val="none"/>
        </w:rPr>
        <w:t>因</w:t>
      </w:r>
      <w:r>
        <w:rPr>
          <w:rFonts w:hint="eastAsia" w:ascii="仿宋_GB2312" w:hAnsi="宋体" w:eastAsia="仿宋_GB2312" w:cs="Times New Roman"/>
          <w:color w:val="auto"/>
          <w:sz w:val="32"/>
          <w:szCs w:val="32"/>
          <w:highlight w:val="none"/>
          <w:lang w:val="en-US" w:eastAsia="zh-CN"/>
        </w:rPr>
        <w:t>考虑到工程施工过</w:t>
      </w:r>
      <w:bookmarkStart w:id="0" w:name="_GoBack"/>
      <w:bookmarkEnd w:id="0"/>
      <w:r>
        <w:rPr>
          <w:rFonts w:hint="eastAsia" w:ascii="仿宋_GB2312" w:hAnsi="宋体" w:eastAsia="仿宋_GB2312" w:cs="Times New Roman"/>
          <w:color w:val="auto"/>
          <w:sz w:val="32"/>
          <w:szCs w:val="32"/>
          <w:highlight w:val="none"/>
          <w:lang w:val="en-US" w:eastAsia="zh-CN"/>
        </w:rPr>
        <w:t>程中存在的不确定性、设计图的不可预见性，编制招标控制价时考虑计入暂列金额，暂列金按分部分项项目费的</w:t>
      </w:r>
      <w:r>
        <w:rPr>
          <w:rFonts w:hint="eastAsia" w:ascii="仿宋_GB2312" w:hAnsi="宋体" w:eastAsia="仿宋_GB2312" w:cs="Times New Roman"/>
          <w:color w:val="auto"/>
          <w:sz w:val="32"/>
          <w:szCs w:val="32"/>
          <w:highlight w:val="none"/>
          <w:lang w:val="en-US" w:eastAsia="zh"/>
        </w:rPr>
        <w:t>7</w:t>
      </w:r>
      <w:r>
        <w:rPr>
          <w:rFonts w:hint="eastAsia" w:ascii="仿宋_GB2312" w:hAnsi="宋体" w:eastAsia="仿宋_GB2312" w:cs="Times New Roman"/>
          <w:color w:val="auto"/>
          <w:sz w:val="32"/>
          <w:szCs w:val="32"/>
          <w:highlight w:val="none"/>
          <w:lang w:val="en-US" w:eastAsia="zh-CN"/>
        </w:rPr>
        <w:t xml:space="preserve">%计算。 </w:t>
      </w:r>
    </w:p>
    <w:p w14:paraId="02C6A388">
      <w:pPr>
        <w:pStyle w:val="2"/>
        <w:numPr>
          <w:ilvl w:val="0"/>
          <w:numId w:val="0"/>
        </w:numPr>
        <w:ind w:left="0" w:leftChars="0"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kern w:val="0"/>
          <w:sz w:val="32"/>
          <w:szCs w:val="32"/>
          <w:highlight w:val="none"/>
          <w:lang w:val="en-US" w:eastAsia="zh" w:bidi="ar-SA"/>
        </w:rPr>
        <w:t>4</w:t>
      </w:r>
      <w:r>
        <w:rPr>
          <w:rFonts w:hint="default" w:ascii="仿宋_GB2312" w:hAnsi="宋体" w:eastAsia="仿宋_GB2312" w:cs="Times New Roman"/>
          <w:color w:val="auto"/>
          <w:kern w:val="0"/>
          <w:sz w:val="32"/>
          <w:szCs w:val="32"/>
          <w:highlight w:val="none"/>
          <w:lang w:val="en-US" w:eastAsia="zh-CN" w:bidi="ar-SA"/>
        </w:rPr>
        <w:t>．</w:t>
      </w:r>
      <w:r>
        <w:rPr>
          <w:rFonts w:hint="eastAsia" w:ascii="仿宋_GB2312" w:hAnsi="宋体" w:eastAsia="仿宋_GB2312" w:cs="Times New Roman"/>
          <w:color w:val="auto"/>
          <w:sz w:val="32"/>
          <w:szCs w:val="32"/>
          <w:highlight w:val="none"/>
          <w:lang w:val="en-US" w:eastAsia="zh-CN"/>
        </w:rPr>
        <w:t>上述暂列金额虽列入招标控制价，但并不属于承包人所有，也不必然发生，只能按照发包人（建设单位）的指示使用，其最终结算费用应以实际发生为准，其余额仍归发包人（建设单位）所有。</w:t>
      </w:r>
    </w:p>
    <w:p w14:paraId="38357E7B">
      <w:pPr>
        <w:pStyle w:val="2"/>
        <w:numPr>
          <w:ilvl w:val="0"/>
          <w:numId w:val="0"/>
        </w:numPr>
        <w:ind w:left="0" w:leftChars="0" w:firstLine="640" w:firstLineChars="200"/>
        <w:rPr>
          <w:rFonts w:hint="eastAsia"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kern w:val="0"/>
          <w:sz w:val="32"/>
          <w:szCs w:val="32"/>
          <w:highlight w:val="none"/>
          <w:lang w:val="en-US" w:eastAsia="zh" w:bidi="ar-SA"/>
        </w:rPr>
        <w:t>5</w:t>
      </w:r>
      <w:r>
        <w:rPr>
          <w:rFonts w:hint="default" w:ascii="仿宋_GB2312" w:hAnsi="宋体" w:eastAsia="仿宋_GB2312" w:cs="Times New Roman"/>
          <w:color w:val="auto"/>
          <w:kern w:val="0"/>
          <w:sz w:val="32"/>
          <w:szCs w:val="32"/>
          <w:highlight w:val="none"/>
          <w:lang w:val="en-US" w:eastAsia="zh-CN" w:bidi="ar-SA"/>
        </w:rPr>
        <w:t>．将可计量的措施项目（绿化乔木支撑）放入分部分项中计取。</w:t>
      </w:r>
    </w:p>
    <w:p w14:paraId="3DB0B0A1">
      <w:pPr>
        <w:pStyle w:val="2"/>
        <w:numPr>
          <w:ilvl w:val="0"/>
          <w:numId w:val="0"/>
        </w:numPr>
        <w:ind w:left="0" w:leftChars="0" w:firstLine="640" w:firstLineChars="200"/>
        <w:rPr>
          <w:rFonts w:hint="eastAsia" w:ascii="仿宋_GB2312" w:hAnsi="宋体" w:eastAsia="仿宋_GB2312" w:cs="Times New Roman"/>
          <w:color w:val="auto"/>
          <w:kern w:val="0"/>
          <w:sz w:val="32"/>
          <w:szCs w:val="32"/>
          <w:highlight w:val="none"/>
          <w:lang w:val="en-US" w:eastAsia="zh" w:bidi="ar-SA"/>
        </w:rPr>
      </w:pPr>
      <w:r>
        <w:rPr>
          <w:rFonts w:hint="eastAsia" w:ascii="仿宋_GB2312" w:hAnsi="宋体" w:eastAsia="仿宋_GB2312" w:cs="Times New Roman"/>
          <w:color w:val="auto"/>
          <w:kern w:val="0"/>
          <w:sz w:val="32"/>
          <w:szCs w:val="32"/>
          <w:highlight w:val="none"/>
          <w:lang w:val="en-US" w:eastAsia="zh" w:bidi="ar-SA"/>
        </w:rPr>
        <w:t>6</w:t>
      </w:r>
      <w:r>
        <w:rPr>
          <w:rFonts w:hint="eastAsia" w:ascii="仿宋_GB2312" w:hAnsi="宋体" w:eastAsia="仿宋_GB2312" w:cs="Times New Roman"/>
          <w:color w:val="auto"/>
          <w:kern w:val="0"/>
          <w:sz w:val="32"/>
          <w:szCs w:val="32"/>
          <w:highlight w:val="none"/>
          <w:lang w:val="en-US" w:eastAsia="zh-CN" w:bidi="ar-SA"/>
        </w:rPr>
        <w:t>.</w:t>
      </w:r>
      <w:r>
        <w:rPr>
          <w:rFonts w:hint="eastAsia" w:ascii="仿宋_GB2312" w:hAnsi="宋体" w:eastAsia="仿宋_GB2312" w:cs="Times New Roman"/>
          <w:color w:val="auto"/>
          <w:kern w:val="0"/>
          <w:sz w:val="32"/>
          <w:szCs w:val="32"/>
          <w:highlight w:val="none"/>
          <w:lang w:val="en-US" w:eastAsia="zh" w:bidi="ar-SA"/>
        </w:rPr>
        <w:t>根据建设单位提供的关于“关于武江区龙归镇留村村人居环境整治项目招标控制价审核的要求”的工作联系函，外立面属于农房改造。</w:t>
      </w:r>
    </w:p>
    <w:p w14:paraId="74813160">
      <w:pPr>
        <w:pStyle w:val="2"/>
        <w:numPr>
          <w:ilvl w:val="0"/>
          <w:numId w:val="0"/>
        </w:numPr>
        <w:ind w:left="0" w:leftChars="0" w:firstLine="640" w:firstLineChars="200"/>
        <w:rPr>
          <w:rFonts w:hint="eastAsia" w:ascii="仿宋_GB2312" w:hAnsi="宋体" w:eastAsia="仿宋_GB2312"/>
          <w:sz w:val="32"/>
          <w:szCs w:val="32"/>
          <w:highlight w:val="none"/>
          <w:lang w:val="en-US" w:eastAsia="zh"/>
        </w:rPr>
      </w:pPr>
      <w:r>
        <w:rPr>
          <w:rFonts w:hint="eastAsia" w:ascii="仿宋_GB2312" w:hAnsi="宋体" w:eastAsia="仿宋_GB2312" w:cs="Times New Roman"/>
          <w:color w:val="auto"/>
          <w:kern w:val="0"/>
          <w:sz w:val="32"/>
          <w:szCs w:val="32"/>
          <w:highlight w:val="none"/>
          <w:lang w:val="en-US" w:eastAsia="zh" w:bidi="ar-SA"/>
        </w:rPr>
        <w:t>7</w:t>
      </w:r>
      <w:r>
        <w:rPr>
          <w:rFonts w:hint="default" w:ascii="仿宋_GB2312" w:hAnsi="宋体" w:eastAsia="仿宋_GB2312" w:cs="Times New Roman"/>
          <w:color w:val="auto"/>
          <w:kern w:val="0"/>
          <w:sz w:val="32"/>
          <w:szCs w:val="32"/>
          <w:highlight w:val="none"/>
          <w:lang w:val="en-US" w:eastAsia="zh-CN" w:bidi="ar-SA"/>
        </w:rPr>
        <w:t>．</w:t>
      </w:r>
      <w:r>
        <w:rPr>
          <w:rFonts w:hint="eastAsia" w:ascii="仿宋_GB2312" w:hAnsi="宋体" w:eastAsia="仿宋_GB2312"/>
          <w:sz w:val="32"/>
          <w:szCs w:val="32"/>
          <w:highlight w:val="none"/>
          <w:lang w:val="en-US" w:eastAsia="zh-CN"/>
        </w:rPr>
        <w:t>根据建设单位提供的</w:t>
      </w:r>
      <w:r>
        <w:rPr>
          <w:rFonts w:hint="eastAsia" w:ascii="仿宋_GB2312" w:hAnsi="宋体" w:eastAsia="仿宋_GB2312"/>
          <w:sz w:val="32"/>
          <w:szCs w:val="32"/>
          <w:highlight w:val="none"/>
          <w:lang w:val="en-US" w:eastAsia="zh"/>
        </w:rPr>
        <w:t>关于</w:t>
      </w:r>
      <w:r>
        <w:rPr>
          <w:rFonts w:hint="eastAsia" w:ascii="仿宋_GB2312" w:hAnsi="宋体" w:eastAsia="仿宋_GB2312"/>
          <w:color w:val="auto"/>
          <w:sz w:val="32"/>
          <w:szCs w:val="32"/>
          <w:highlight w:val="none"/>
          <w:lang w:val="en-US" w:eastAsia="zh"/>
        </w:rPr>
        <w:t>“</w:t>
      </w:r>
      <w:r>
        <w:rPr>
          <w:rFonts w:hint="eastAsia" w:ascii="仿宋_GB2312" w:hAnsi="宋体" w:eastAsia="仿宋_GB2312"/>
          <w:sz w:val="32"/>
          <w:szCs w:val="32"/>
          <w:highlight w:val="none"/>
          <w:lang w:val="en-US" w:eastAsia="zh"/>
        </w:rPr>
        <w:t>关于武江区龙归镇留村村人居环境整治项目招标控制价审核的要求</w:t>
      </w:r>
      <w:r>
        <w:rPr>
          <w:rFonts w:hint="eastAsia" w:ascii="仿宋_GB2312" w:hAnsi="宋体" w:eastAsia="仿宋_GB2312"/>
          <w:color w:val="auto"/>
          <w:sz w:val="32"/>
          <w:szCs w:val="32"/>
          <w:highlight w:val="none"/>
          <w:lang w:val="en-US" w:eastAsia="zh"/>
        </w:rPr>
        <w:t>”</w:t>
      </w:r>
      <w:r>
        <w:rPr>
          <w:rFonts w:hint="eastAsia" w:ascii="仿宋_GB2312" w:hAnsi="宋体" w:eastAsia="仿宋_GB2312"/>
          <w:sz w:val="32"/>
          <w:szCs w:val="32"/>
          <w:highlight w:val="none"/>
          <w:lang w:val="en-US" w:eastAsia="zh"/>
        </w:rPr>
        <w:t>的工作联系函，本项目不计取预算包干费。</w:t>
      </w:r>
    </w:p>
    <w:p w14:paraId="1229CEE1">
      <w:pPr>
        <w:pStyle w:val="2"/>
        <w:numPr>
          <w:ilvl w:val="0"/>
          <w:numId w:val="0"/>
        </w:numPr>
        <w:ind w:left="0" w:leftChars="0" w:firstLine="640" w:firstLineChars="200"/>
        <w:rPr>
          <w:rFonts w:hint="eastAsia" w:ascii="仿宋_GB2312" w:hAnsi="Times New Roman" w:eastAsia="仿宋_GB2312"/>
          <w:snapToGrid w:val="0"/>
          <w:color w:val="auto"/>
          <w:kern w:val="0"/>
          <w:sz w:val="32"/>
          <w:szCs w:val="24"/>
          <w:highlight w:val="none"/>
          <w:lang w:val="en-US" w:eastAsia="zh-CN"/>
        </w:rPr>
      </w:pPr>
      <w:r>
        <w:rPr>
          <w:rFonts w:hint="eastAsia" w:ascii="仿宋_GB2312" w:hAnsi="宋体" w:eastAsia="仿宋_GB2312"/>
          <w:sz w:val="32"/>
          <w:szCs w:val="32"/>
          <w:highlight w:val="none"/>
          <w:lang w:val="en-US" w:eastAsia="zh"/>
        </w:rPr>
        <w:t>8.</w:t>
      </w:r>
      <w:r>
        <w:rPr>
          <w:rFonts w:hint="eastAsia" w:ascii="仿宋_GB2312" w:hAnsi="宋体" w:eastAsia="仿宋_GB2312"/>
          <w:sz w:val="32"/>
          <w:szCs w:val="32"/>
          <w:highlight w:val="none"/>
          <w:lang w:val="en-US" w:eastAsia="zh-CN"/>
        </w:rPr>
        <w:t>根据建设单位提供的</w:t>
      </w:r>
      <w:r>
        <w:rPr>
          <w:rFonts w:hint="eastAsia" w:ascii="仿宋_GB2312" w:hAnsi="宋体" w:eastAsia="仿宋_GB2312"/>
          <w:sz w:val="32"/>
          <w:szCs w:val="32"/>
          <w:highlight w:val="none"/>
          <w:lang w:val="en-US" w:eastAsia="zh"/>
        </w:rPr>
        <w:t>关于</w:t>
      </w:r>
      <w:r>
        <w:rPr>
          <w:rFonts w:hint="eastAsia" w:ascii="仿宋_GB2312" w:hAnsi="宋体" w:eastAsia="仿宋_GB2312"/>
          <w:color w:val="auto"/>
          <w:sz w:val="32"/>
          <w:szCs w:val="32"/>
          <w:highlight w:val="none"/>
          <w:lang w:val="en-US" w:eastAsia="zh"/>
        </w:rPr>
        <w:t>“</w:t>
      </w:r>
      <w:r>
        <w:rPr>
          <w:rFonts w:hint="eastAsia" w:ascii="仿宋_GB2312" w:hAnsi="宋体" w:eastAsia="仿宋_GB2312"/>
          <w:sz w:val="32"/>
          <w:szCs w:val="32"/>
          <w:highlight w:val="none"/>
          <w:lang w:val="en-US" w:eastAsia="zh"/>
        </w:rPr>
        <w:t>关于武江区龙归镇留村村人居环境整治项目招标控制价审核的要求</w:t>
      </w:r>
      <w:r>
        <w:rPr>
          <w:rFonts w:hint="eastAsia" w:ascii="仿宋_GB2312" w:hAnsi="宋体" w:eastAsia="仿宋_GB2312"/>
          <w:color w:val="auto"/>
          <w:sz w:val="32"/>
          <w:szCs w:val="32"/>
          <w:highlight w:val="none"/>
          <w:lang w:val="en-US" w:eastAsia="zh"/>
        </w:rPr>
        <w:t>”</w:t>
      </w:r>
      <w:r>
        <w:rPr>
          <w:rFonts w:hint="eastAsia" w:ascii="仿宋_GB2312" w:hAnsi="宋体" w:eastAsia="仿宋_GB2312"/>
          <w:sz w:val="32"/>
          <w:szCs w:val="32"/>
          <w:highlight w:val="none"/>
          <w:lang w:val="en-US" w:eastAsia="zh"/>
        </w:rPr>
        <w:t>的工作联系函，本项目综合脚手架使用天数为65天，</w:t>
      </w:r>
      <w:r>
        <w:rPr>
          <w:rFonts w:hint="eastAsia" w:ascii="仿宋_GB2312" w:hAnsi="Times New Roman" w:eastAsia="仿宋_GB2312"/>
          <w:snapToGrid w:val="0"/>
          <w:color w:val="auto"/>
          <w:kern w:val="0"/>
          <w:sz w:val="32"/>
          <w:szCs w:val="24"/>
          <w:highlight w:val="none"/>
          <w:lang w:val="en-US" w:eastAsia="zh-CN"/>
        </w:rPr>
        <w:t>结算应提供实际工期确认等资料作为结算依据。</w:t>
      </w:r>
    </w:p>
    <w:p w14:paraId="19E5A27C">
      <w:pPr>
        <w:pStyle w:val="2"/>
        <w:numPr>
          <w:ilvl w:val="0"/>
          <w:numId w:val="0"/>
        </w:numPr>
        <w:ind w:left="0" w:leftChars="0" w:firstLine="640" w:firstLineChars="200"/>
        <w:rPr>
          <w:rFonts w:hint="default" w:ascii="仿宋_GB2312" w:hAnsi="宋体" w:eastAsia="仿宋_GB2312" w:cs="Times New Roman"/>
          <w:color w:val="auto"/>
          <w:sz w:val="32"/>
          <w:szCs w:val="32"/>
          <w:highlight w:val="none"/>
          <w:lang w:val="en-US" w:eastAsia="zh-CN"/>
        </w:rPr>
      </w:pPr>
      <w:r>
        <w:rPr>
          <w:rFonts w:hint="eastAsia" w:ascii="仿宋_GB2312" w:hAnsi="宋体" w:eastAsia="仿宋_GB2312" w:cs="Times New Roman"/>
          <w:color w:val="auto"/>
          <w:kern w:val="0"/>
          <w:sz w:val="32"/>
          <w:szCs w:val="32"/>
          <w:highlight w:val="none"/>
          <w:lang w:val="en-US" w:eastAsia="zh-CN" w:bidi="ar-SA"/>
        </w:rPr>
        <w:t>9</w:t>
      </w:r>
      <w:r>
        <w:rPr>
          <w:rFonts w:hint="default" w:ascii="仿宋_GB2312" w:hAnsi="宋体" w:eastAsia="仿宋_GB2312" w:cs="Times New Roman"/>
          <w:color w:val="auto"/>
          <w:kern w:val="0"/>
          <w:sz w:val="32"/>
          <w:szCs w:val="32"/>
          <w:highlight w:val="none"/>
          <w:lang w:val="en-US" w:eastAsia="zh-CN" w:bidi="ar-SA"/>
        </w:rPr>
        <w:t>．</w:t>
      </w:r>
      <w:r>
        <w:rPr>
          <w:rFonts w:hint="eastAsia" w:ascii="仿宋_GB2312" w:hAnsi="宋体" w:eastAsia="仿宋_GB2312" w:cs="Times New Roman"/>
          <w:color w:val="auto"/>
          <w:sz w:val="32"/>
          <w:szCs w:val="32"/>
          <w:highlight w:val="none"/>
          <w:lang w:val="en-US" w:eastAsia="zh-CN"/>
        </w:rPr>
        <w:t>图纸不详之处详见设计单位、</w:t>
      </w:r>
      <w:r>
        <w:rPr>
          <w:rFonts w:hint="eastAsia" w:ascii="仿宋_GB2312" w:hAnsi="宋体" w:eastAsia="仿宋_GB2312" w:cs="Times New Roman"/>
          <w:color w:val="auto"/>
          <w:sz w:val="32"/>
          <w:szCs w:val="32"/>
          <w:highlight w:val="none"/>
          <w:lang w:val="en-US" w:eastAsia="zh"/>
        </w:rPr>
        <w:t>预算编制单位、</w:t>
      </w:r>
      <w:r>
        <w:rPr>
          <w:rFonts w:hint="eastAsia" w:ascii="仿宋_GB2312" w:hAnsi="宋体" w:eastAsia="仿宋_GB2312" w:cs="Times New Roman"/>
          <w:color w:val="auto"/>
          <w:sz w:val="32"/>
          <w:szCs w:val="32"/>
          <w:highlight w:val="none"/>
          <w:lang w:val="en-US" w:eastAsia="zh-CN"/>
        </w:rPr>
        <w:t>建设单位回复的《招标控制价审核征询意见表》。</w:t>
      </w:r>
    </w:p>
    <w:p w14:paraId="15D9D6C8">
      <w:pPr>
        <w:rPr>
          <w:rFonts w:hint="eastAsia"/>
          <w:lang w:val="en-US" w:eastAsia="zh-CN"/>
        </w:rPr>
      </w:pPr>
    </w:p>
    <w:sectPr>
      <w:pgSz w:w="11906" w:h="16838"/>
      <w:pgMar w:top="1020" w:right="1417" w:bottom="89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1" w:fontKey="{15778371-5864-42DB-9F1F-47C3E8F23718}"/>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D6AD9129-FFC3-4A49-A381-4C407A6078E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QyYThiOGEwMzMyNzdhMzdhNTkyNmYzYmFhZWZlZmEifQ=="/>
  </w:docVars>
  <w:rsids>
    <w:rsidRoot w:val="713E16E8"/>
    <w:rsid w:val="001F303E"/>
    <w:rsid w:val="00625E51"/>
    <w:rsid w:val="007C05EF"/>
    <w:rsid w:val="00B948B3"/>
    <w:rsid w:val="02367D74"/>
    <w:rsid w:val="024711DF"/>
    <w:rsid w:val="03824055"/>
    <w:rsid w:val="03C3286F"/>
    <w:rsid w:val="09002522"/>
    <w:rsid w:val="0BEC343E"/>
    <w:rsid w:val="0CB82A52"/>
    <w:rsid w:val="0D141A34"/>
    <w:rsid w:val="0DA8159E"/>
    <w:rsid w:val="0F421873"/>
    <w:rsid w:val="10074FA7"/>
    <w:rsid w:val="10B93CC5"/>
    <w:rsid w:val="117009AE"/>
    <w:rsid w:val="11BD0CCB"/>
    <w:rsid w:val="1327184E"/>
    <w:rsid w:val="14876E6C"/>
    <w:rsid w:val="15120EDC"/>
    <w:rsid w:val="151B1C30"/>
    <w:rsid w:val="1529426A"/>
    <w:rsid w:val="1645367E"/>
    <w:rsid w:val="17E17EDC"/>
    <w:rsid w:val="17F43F68"/>
    <w:rsid w:val="18805A8F"/>
    <w:rsid w:val="1A0C2973"/>
    <w:rsid w:val="1A203384"/>
    <w:rsid w:val="1B5D6177"/>
    <w:rsid w:val="1B6D679A"/>
    <w:rsid w:val="1B9A461E"/>
    <w:rsid w:val="1BAA1DEE"/>
    <w:rsid w:val="1D706756"/>
    <w:rsid w:val="1E3D2A1D"/>
    <w:rsid w:val="212A681A"/>
    <w:rsid w:val="21AF0F7E"/>
    <w:rsid w:val="21C60A5C"/>
    <w:rsid w:val="25093CB7"/>
    <w:rsid w:val="25E0500F"/>
    <w:rsid w:val="262F4618"/>
    <w:rsid w:val="28FD525E"/>
    <w:rsid w:val="29446030"/>
    <w:rsid w:val="2A2715DD"/>
    <w:rsid w:val="2AA77D87"/>
    <w:rsid w:val="2CA2633B"/>
    <w:rsid w:val="2CC36E16"/>
    <w:rsid w:val="2CC36E42"/>
    <w:rsid w:val="2D480837"/>
    <w:rsid w:val="2D8D6895"/>
    <w:rsid w:val="2DA37DF5"/>
    <w:rsid w:val="2E1054B0"/>
    <w:rsid w:val="2E422901"/>
    <w:rsid w:val="2E5A0ACC"/>
    <w:rsid w:val="2ECF76CF"/>
    <w:rsid w:val="3030697B"/>
    <w:rsid w:val="307D0CDB"/>
    <w:rsid w:val="319E09A5"/>
    <w:rsid w:val="32326EC9"/>
    <w:rsid w:val="32E50496"/>
    <w:rsid w:val="33022C64"/>
    <w:rsid w:val="330870A4"/>
    <w:rsid w:val="33747C7D"/>
    <w:rsid w:val="33A72B79"/>
    <w:rsid w:val="33EA252D"/>
    <w:rsid w:val="348F2DD7"/>
    <w:rsid w:val="35722521"/>
    <w:rsid w:val="358C6356"/>
    <w:rsid w:val="35F00533"/>
    <w:rsid w:val="35F41BFC"/>
    <w:rsid w:val="3650258D"/>
    <w:rsid w:val="37CF76C8"/>
    <w:rsid w:val="398D0612"/>
    <w:rsid w:val="3AFA683F"/>
    <w:rsid w:val="3BA92C34"/>
    <w:rsid w:val="3C2B0489"/>
    <w:rsid w:val="3DA03F39"/>
    <w:rsid w:val="3F7A63C2"/>
    <w:rsid w:val="426944AD"/>
    <w:rsid w:val="43B94141"/>
    <w:rsid w:val="442F268D"/>
    <w:rsid w:val="47414799"/>
    <w:rsid w:val="477144BC"/>
    <w:rsid w:val="4AA406F0"/>
    <w:rsid w:val="4C016E23"/>
    <w:rsid w:val="4D0B3AFD"/>
    <w:rsid w:val="4F77691C"/>
    <w:rsid w:val="4FEE654D"/>
    <w:rsid w:val="515733E7"/>
    <w:rsid w:val="539347B6"/>
    <w:rsid w:val="553E6087"/>
    <w:rsid w:val="563625D1"/>
    <w:rsid w:val="581043D4"/>
    <w:rsid w:val="5A535976"/>
    <w:rsid w:val="5D2153EA"/>
    <w:rsid w:val="5DAA666C"/>
    <w:rsid w:val="5E4C66DB"/>
    <w:rsid w:val="5EEB5943"/>
    <w:rsid w:val="5EFD2130"/>
    <w:rsid w:val="5F4F2F4B"/>
    <w:rsid w:val="61640A02"/>
    <w:rsid w:val="61753B5C"/>
    <w:rsid w:val="62001E71"/>
    <w:rsid w:val="633D3BE3"/>
    <w:rsid w:val="639500A7"/>
    <w:rsid w:val="640C1262"/>
    <w:rsid w:val="6448234D"/>
    <w:rsid w:val="6619707E"/>
    <w:rsid w:val="68B536B2"/>
    <w:rsid w:val="69285A6D"/>
    <w:rsid w:val="6B656390"/>
    <w:rsid w:val="6B744F4D"/>
    <w:rsid w:val="6D461FF8"/>
    <w:rsid w:val="6F6614F5"/>
    <w:rsid w:val="6FE4229B"/>
    <w:rsid w:val="711E2E7D"/>
    <w:rsid w:val="713E16E8"/>
    <w:rsid w:val="72C5513F"/>
    <w:rsid w:val="742A74C3"/>
    <w:rsid w:val="75606BF7"/>
    <w:rsid w:val="765C5986"/>
    <w:rsid w:val="77682AC6"/>
    <w:rsid w:val="78935C36"/>
    <w:rsid w:val="79CA2E50"/>
    <w:rsid w:val="7A4169D3"/>
    <w:rsid w:val="7A58338F"/>
    <w:rsid w:val="7AE53606"/>
    <w:rsid w:val="7B4119B6"/>
    <w:rsid w:val="7CCE794F"/>
    <w:rsid w:val="7CF131F1"/>
    <w:rsid w:val="7D53138D"/>
    <w:rsid w:val="7DAB6B5B"/>
    <w:rsid w:val="7E2761AA"/>
    <w:rsid w:val="7E979777"/>
    <w:rsid w:val="7FF515D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adjustRightInd w:val="0"/>
      <w:spacing w:line="360" w:lineRule="atLeast"/>
      <w:jc w:val="left"/>
      <w:textAlignment w:val="baseline"/>
    </w:pPr>
    <w:rPr>
      <w:rFonts w:ascii="宋体"/>
      <w:kern w:val="0"/>
      <w:sz w:val="24"/>
    </w:r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autoRedefine/>
    <w:qFormat/>
    <w:uiPriority w:val="0"/>
    <w:rPr>
      <w:rFonts w:asciiTheme="minorHAnsi" w:hAnsiTheme="minorHAnsi" w:eastAsiaTheme="minorEastAsia" w:cstheme="minorBidi"/>
      <w:kern w:val="2"/>
      <w:sz w:val="18"/>
      <w:szCs w:val="18"/>
    </w:rPr>
  </w:style>
  <w:style w:type="character" w:customStyle="1" w:styleId="9">
    <w:name w:val="页脚 Char"/>
    <w:basedOn w:val="7"/>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3271</Words>
  <Characters>3721</Characters>
  <Lines>8</Lines>
  <Paragraphs>2</Paragraphs>
  <TotalTime>0</TotalTime>
  <ScaleCrop>false</ScaleCrop>
  <LinksUpToDate>false</LinksUpToDate>
  <CharactersWithSpaces>3734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2020-03-21T19:06:00Z</dcterms:created>
  <dc:creator>七苇。</dc:creator>
  <cp:lastModifiedBy>竹</cp:lastModifiedBy>
  <cp:lastPrinted>2025-12-24T00:39:00Z</cp:lastPrinted>
  <dcterms:modified xsi:type="dcterms:W3CDTF">2026-04-22T06:52:41Z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553F6AF1028200F0B127C468DAD8526D_43</vt:lpwstr>
  </property>
  <property fmtid="{D5CDD505-2E9C-101B-9397-08002B2CF9AE}" pid="4" name="KSOTemplateDocerSaveRecord">
    <vt:lpwstr>eyJoZGlkIjoiNTQ5NzM0OTI2YzIwNGZiOGRkM2M2OWQ4N2U1MDI0YmEiLCJ1c2VySWQiOiI2MTkyNDA1NTMifQ==</vt:lpwstr>
  </property>
</Properties>
</file>