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AD5F5">
      <w:pPr>
        <w:pStyle w:val="34"/>
        <w:spacing w:line="360" w:lineRule="auto"/>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始兴县顿岗镇全域土地综合整治（乡村空间“三提三化”）项目光伏项目（</w:t>
      </w:r>
      <w:r>
        <w:rPr>
          <w:rFonts w:hint="eastAsia" w:ascii="宋体" w:hAnsi="宋体" w:eastAsia="宋体" w:cs="宋体"/>
          <w:b/>
          <w:bCs/>
          <w:color w:val="auto"/>
          <w:sz w:val="52"/>
          <w:szCs w:val="52"/>
          <w:highlight w:val="none"/>
          <w:lang w:val="en-US" w:eastAsia="zh-CN"/>
        </w:rPr>
        <w:t>二</w:t>
      </w:r>
      <w:r>
        <w:rPr>
          <w:rFonts w:hint="eastAsia" w:ascii="宋体" w:hAnsi="宋体" w:eastAsia="宋体" w:cs="宋体"/>
          <w:b/>
          <w:bCs/>
          <w:color w:val="auto"/>
          <w:sz w:val="52"/>
          <w:szCs w:val="52"/>
          <w:highlight w:val="none"/>
          <w:lang w:eastAsia="zh-CN"/>
        </w:rPr>
        <w:t>期）设计、施工总承包</w:t>
      </w:r>
    </w:p>
    <w:p w14:paraId="4744D7C3">
      <w:pPr>
        <w:pStyle w:val="34"/>
        <w:spacing w:line="360" w:lineRule="auto"/>
        <w:jc w:val="center"/>
        <w:rPr>
          <w:rFonts w:hint="eastAsia" w:ascii="宋体" w:hAnsi="宋体" w:eastAsia="宋体" w:cs="宋体"/>
          <w:b/>
          <w:bCs/>
          <w:color w:val="auto"/>
          <w:sz w:val="48"/>
          <w:szCs w:val="48"/>
          <w:highlight w:val="none"/>
          <w:lang w:eastAsia="zh-CN"/>
        </w:rPr>
      </w:pPr>
    </w:p>
    <w:p w14:paraId="15ADBAF3">
      <w:pPr>
        <w:rPr>
          <w:rFonts w:hint="eastAsia" w:ascii="宋体" w:hAnsi="宋体" w:eastAsia="宋体" w:cs="宋体"/>
          <w:lang w:eastAsia="zh-CN"/>
        </w:rPr>
      </w:pPr>
    </w:p>
    <w:p w14:paraId="60734F4B">
      <w:pPr>
        <w:pStyle w:val="34"/>
        <w:spacing w:line="360" w:lineRule="auto"/>
        <w:jc w:val="cente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t>招标文件</w:t>
      </w:r>
    </w:p>
    <w:p w14:paraId="3281DFB2">
      <w:pPr>
        <w:rPr>
          <w:rFonts w:hint="eastAsia" w:ascii="宋体" w:hAnsi="宋体" w:eastAsia="宋体" w:cs="宋体"/>
        </w:rPr>
      </w:pPr>
    </w:p>
    <w:tbl>
      <w:tblPr>
        <w:tblStyle w:val="25"/>
        <w:tblpPr w:leftFromText="180" w:rightFromText="180" w:vertAnchor="text" w:horzAnchor="page" w:tblpX="1036" w:tblpY="1038"/>
        <w:tblOverlap w:val="never"/>
        <w:tblW w:w="9853" w:type="dxa"/>
        <w:jc w:val="center"/>
        <w:tblLayout w:type="fixed"/>
        <w:tblCellMar>
          <w:top w:w="0" w:type="dxa"/>
          <w:left w:w="0" w:type="dxa"/>
          <w:bottom w:w="0" w:type="dxa"/>
          <w:right w:w="0" w:type="dxa"/>
        </w:tblCellMar>
      </w:tblPr>
      <w:tblGrid>
        <w:gridCol w:w="5442"/>
        <w:gridCol w:w="4411"/>
      </w:tblGrid>
      <w:tr w14:paraId="5066B943">
        <w:tblPrEx>
          <w:tblCellMar>
            <w:top w:w="0" w:type="dxa"/>
            <w:left w:w="0" w:type="dxa"/>
            <w:bottom w:w="0" w:type="dxa"/>
            <w:right w:w="0" w:type="dxa"/>
          </w:tblCellMar>
        </w:tblPrEx>
        <w:trPr>
          <w:trHeight w:val="1205" w:hRule="atLeast"/>
          <w:jc w:val="center"/>
        </w:trPr>
        <w:tc>
          <w:tcPr>
            <w:tcW w:w="5442" w:type="dxa"/>
            <w:noWrap w:val="0"/>
            <w:vAlign w:val="center"/>
          </w:tcPr>
          <w:p w14:paraId="722F992A">
            <w:pPr>
              <w:pStyle w:val="35"/>
              <w:spacing w:line="240" w:lineRule="auto"/>
              <w:jc w:val="distribute"/>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招     标     人（盖章）：</w:t>
            </w:r>
          </w:p>
        </w:tc>
        <w:tc>
          <w:tcPr>
            <w:tcW w:w="4411" w:type="dxa"/>
            <w:noWrap w:val="0"/>
            <w:vAlign w:val="center"/>
          </w:tcPr>
          <w:p w14:paraId="3325A997">
            <w:pPr>
              <w:pStyle w:val="35"/>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广东兴展土地整理开发有限公司</w:t>
            </w:r>
          </w:p>
        </w:tc>
      </w:tr>
      <w:tr w14:paraId="5B41FE0B">
        <w:tblPrEx>
          <w:tblCellMar>
            <w:top w:w="0" w:type="dxa"/>
            <w:left w:w="0" w:type="dxa"/>
            <w:bottom w:w="0" w:type="dxa"/>
            <w:right w:w="0" w:type="dxa"/>
          </w:tblCellMar>
        </w:tblPrEx>
        <w:trPr>
          <w:trHeight w:val="1190" w:hRule="atLeast"/>
          <w:jc w:val="center"/>
        </w:trPr>
        <w:tc>
          <w:tcPr>
            <w:tcW w:w="5442" w:type="dxa"/>
            <w:noWrap w:val="0"/>
            <w:vAlign w:val="center"/>
          </w:tcPr>
          <w:p w14:paraId="1DA5F858">
            <w:pPr>
              <w:pStyle w:val="35"/>
              <w:wordWrap w:val="0"/>
              <w:adjustRightInd w:val="0"/>
              <w:snapToGrid w:val="0"/>
              <w:spacing w:line="240" w:lineRule="auto"/>
              <w:jc w:val="distribute"/>
              <w:rPr>
                <w:rFonts w:hint="eastAsia" w:ascii="宋体" w:hAnsi="宋体" w:eastAsia="宋体" w:cs="宋体"/>
                <w:color w:val="auto"/>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4411" w:type="dxa"/>
            <w:noWrap w:val="0"/>
            <w:vAlign w:val="center"/>
          </w:tcPr>
          <w:p w14:paraId="08D9A0A9">
            <w:pPr>
              <w:pStyle w:val="35"/>
              <w:spacing w:line="240" w:lineRule="auto"/>
              <w:rPr>
                <w:rFonts w:hint="eastAsia" w:ascii="宋体" w:hAnsi="宋体" w:eastAsia="宋体" w:cs="宋体"/>
                <w:color w:val="auto"/>
                <w:sz w:val="28"/>
                <w:szCs w:val="28"/>
                <w:highlight w:val="none"/>
              </w:rPr>
            </w:pPr>
          </w:p>
        </w:tc>
      </w:tr>
      <w:tr w14:paraId="4FD563E7">
        <w:tblPrEx>
          <w:tblCellMar>
            <w:top w:w="0" w:type="dxa"/>
            <w:left w:w="0" w:type="dxa"/>
            <w:bottom w:w="0" w:type="dxa"/>
            <w:right w:w="0" w:type="dxa"/>
          </w:tblCellMar>
        </w:tblPrEx>
        <w:trPr>
          <w:trHeight w:val="1185" w:hRule="atLeast"/>
          <w:jc w:val="center"/>
        </w:trPr>
        <w:tc>
          <w:tcPr>
            <w:tcW w:w="5442" w:type="dxa"/>
            <w:noWrap w:val="0"/>
            <w:vAlign w:val="center"/>
          </w:tcPr>
          <w:p w14:paraId="218CDECE">
            <w:pPr>
              <w:pStyle w:val="35"/>
              <w:wordWrap w:val="0"/>
              <w:adjustRightInd w:val="0"/>
              <w:snapToGrid w:val="0"/>
              <w:spacing w:line="240" w:lineRule="auto"/>
              <w:jc w:val="distribute"/>
              <w:rPr>
                <w:rFonts w:hint="eastAsia" w:ascii="宋体" w:hAnsi="宋体" w:eastAsia="宋体" w:cs="宋体"/>
                <w:color w:val="auto"/>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4411" w:type="dxa"/>
            <w:noWrap w:val="0"/>
            <w:vAlign w:val="center"/>
          </w:tcPr>
          <w:p w14:paraId="67F1E799">
            <w:pPr>
              <w:pStyle w:val="35"/>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1"/>
                <w:highlight w:val="none"/>
                <w:lang w:eastAsia="zh-CN"/>
              </w:rPr>
              <w:t>广州穗图项目管理有限公司</w:t>
            </w:r>
          </w:p>
        </w:tc>
      </w:tr>
      <w:tr w14:paraId="57712C66">
        <w:tblPrEx>
          <w:tblCellMar>
            <w:top w:w="0" w:type="dxa"/>
            <w:left w:w="0" w:type="dxa"/>
            <w:bottom w:w="0" w:type="dxa"/>
            <w:right w:w="0" w:type="dxa"/>
          </w:tblCellMar>
        </w:tblPrEx>
        <w:trPr>
          <w:trHeight w:val="1185" w:hRule="atLeast"/>
          <w:jc w:val="center"/>
        </w:trPr>
        <w:tc>
          <w:tcPr>
            <w:tcW w:w="5442" w:type="dxa"/>
            <w:noWrap w:val="0"/>
            <w:vAlign w:val="center"/>
          </w:tcPr>
          <w:p w14:paraId="36AB99B5">
            <w:pPr>
              <w:pStyle w:val="35"/>
              <w:wordWrap w:val="0"/>
              <w:adjustRightInd w:val="0"/>
              <w:snapToGrid w:val="0"/>
              <w:spacing w:line="240" w:lineRule="auto"/>
              <w:jc w:val="distribute"/>
              <w:rPr>
                <w:rFonts w:hint="eastAsia" w:ascii="宋体" w:hAnsi="宋体" w:eastAsia="宋体" w:cs="宋体"/>
                <w:color w:val="auto"/>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4411" w:type="dxa"/>
            <w:noWrap w:val="0"/>
            <w:vAlign w:val="center"/>
          </w:tcPr>
          <w:p w14:paraId="708E6DF5">
            <w:pPr>
              <w:pStyle w:val="35"/>
              <w:spacing w:line="240" w:lineRule="auto"/>
              <w:rPr>
                <w:rFonts w:hint="eastAsia" w:ascii="宋体" w:hAnsi="宋体" w:eastAsia="宋体" w:cs="宋体"/>
                <w:color w:val="auto"/>
                <w:sz w:val="28"/>
                <w:szCs w:val="28"/>
                <w:highlight w:val="none"/>
              </w:rPr>
            </w:pPr>
          </w:p>
        </w:tc>
      </w:tr>
      <w:tr w14:paraId="29D5525A">
        <w:tblPrEx>
          <w:tblCellMar>
            <w:top w:w="0" w:type="dxa"/>
            <w:left w:w="0" w:type="dxa"/>
            <w:bottom w:w="0" w:type="dxa"/>
            <w:right w:w="0" w:type="dxa"/>
          </w:tblCellMar>
        </w:tblPrEx>
        <w:trPr>
          <w:trHeight w:val="892" w:hRule="atLeast"/>
          <w:jc w:val="center"/>
        </w:trPr>
        <w:tc>
          <w:tcPr>
            <w:tcW w:w="5442" w:type="dxa"/>
            <w:noWrap w:val="0"/>
            <w:vAlign w:val="center"/>
          </w:tcPr>
          <w:p w14:paraId="2C5F9DD6">
            <w:pPr>
              <w:pStyle w:val="35"/>
              <w:wordWrap w:val="0"/>
              <w:adjustRightInd w:val="0"/>
              <w:snapToGrid w:val="0"/>
              <w:spacing w:line="240" w:lineRule="auto"/>
              <w:jc w:val="distribute"/>
              <w:rPr>
                <w:rFonts w:hint="eastAsia" w:ascii="宋体" w:hAnsi="宋体" w:eastAsia="宋体" w:cs="宋体"/>
                <w:color w:val="auto"/>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4411" w:type="dxa"/>
            <w:noWrap w:val="0"/>
            <w:vAlign w:val="center"/>
          </w:tcPr>
          <w:p w14:paraId="05D5B7D9">
            <w:pPr>
              <w:pStyle w:val="35"/>
              <w:spacing w:line="240" w:lineRule="auto"/>
              <w:rPr>
                <w:rFonts w:hint="eastAsia" w:ascii="宋体" w:hAnsi="宋体" w:eastAsia="宋体" w:cs="宋体"/>
                <w:color w:val="auto"/>
                <w:sz w:val="28"/>
                <w:szCs w:val="28"/>
                <w:highlight w:val="none"/>
              </w:rPr>
            </w:pPr>
          </w:p>
        </w:tc>
      </w:tr>
      <w:tr w14:paraId="24FBCD3D">
        <w:tblPrEx>
          <w:tblCellMar>
            <w:top w:w="0" w:type="dxa"/>
            <w:left w:w="0" w:type="dxa"/>
            <w:bottom w:w="0" w:type="dxa"/>
            <w:right w:w="0" w:type="dxa"/>
          </w:tblCellMar>
        </w:tblPrEx>
        <w:trPr>
          <w:trHeight w:val="892" w:hRule="atLeast"/>
          <w:jc w:val="center"/>
        </w:trPr>
        <w:tc>
          <w:tcPr>
            <w:tcW w:w="5442" w:type="dxa"/>
            <w:noWrap w:val="0"/>
            <w:vAlign w:val="center"/>
          </w:tcPr>
          <w:p w14:paraId="5A99DCDF">
            <w:pPr>
              <w:pStyle w:val="35"/>
              <w:wordWrap w:val="0"/>
              <w:adjustRightInd w:val="0"/>
              <w:snapToGrid w:val="0"/>
              <w:spacing w:line="240" w:lineRule="auto"/>
              <w:jc w:val="distribute"/>
              <w:rPr>
                <w:rFonts w:hint="eastAsia" w:ascii="宋体" w:hAnsi="宋体" w:eastAsia="宋体" w:cs="宋体"/>
                <w:color w:val="auto"/>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4411" w:type="dxa"/>
            <w:noWrap w:val="0"/>
            <w:vAlign w:val="center"/>
          </w:tcPr>
          <w:p w14:paraId="03C71868">
            <w:pPr>
              <w:pStyle w:val="35"/>
              <w:spacing w:line="240" w:lineRule="auto"/>
              <w:rPr>
                <w:rFonts w:hint="eastAsia" w:ascii="宋体" w:hAnsi="宋体" w:eastAsia="宋体" w:cs="宋体"/>
                <w:color w:val="auto"/>
                <w:sz w:val="28"/>
                <w:highlight w:val="none"/>
              </w:rPr>
            </w:pPr>
            <w:r>
              <w:rPr>
                <w:rFonts w:hint="eastAsia" w:ascii="宋体" w:hAnsi="宋体" w:eastAsia="宋体" w:cs="宋体"/>
                <w:color w:val="auto"/>
                <w:sz w:val="28"/>
                <w:highlight w:val="none"/>
              </w:rPr>
              <w:t>202</w:t>
            </w:r>
            <w:r>
              <w:rPr>
                <w:rFonts w:hint="eastAsia" w:ascii="宋体" w:hAnsi="宋体" w:eastAsia="宋体" w:cs="宋体"/>
                <w:color w:val="auto"/>
                <w:sz w:val="28"/>
                <w:highlight w:val="none"/>
                <w:lang w:val="en-US" w:eastAsia="zh-CN"/>
              </w:rPr>
              <w:t>6</w:t>
            </w:r>
            <w:r>
              <w:rPr>
                <w:rFonts w:hint="eastAsia" w:ascii="宋体" w:hAnsi="宋体" w:eastAsia="宋体" w:cs="宋体"/>
                <w:color w:val="auto"/>
                <w:sz w:val="28"/>
                <w:highlight w:val="none"/>
              </w:rPr>
              <w:t>年</w:t>
            </w:r>
            <w:r>
              <w:rPr>
                <w:rFonts w:hint="eastAsia" w:ascii="宋体" w:hAnsi="宋体" w:eastAsia="宋体" w:cs="宋体"/>
                <w:color w:val="auto"/>
                <w:sz w:val="28"/>
                <w:highlight w:val="none"/>
                <w:lang w:val="en-US" w:eastAsia="zh-CN"/>
              </w:rPr>
              <w:t>01</w:t>
            </w:r>
            <w:r>
              <w:rPr>
                <w:rFonts w:hint="eastAsia" w:ascii="宋体" w:hAnsi="宋体" w:eastAsia="宋体" w:cs="宋体"/>
                <w:color w:val="auto"/>
                <w:sz w:val="28"/>
                <w:highlight w:val="none"/>
              </w:rPr>
              <w:t xml:space="preserve">月   </w:t>
            </w:r>
          </w:p>
        </w:tc>
      </w:tr>
    </w:tbl>
    <w:p w14:paraId="0B82ECA2">
      <w:pPr>
        <w:bidi w:val="0"/>
        <w:rPr>
          <w:rFonts w:hint="eastAsia" w:ascii="宋体" w:hAnsi="宋体" w:eastAsia="宋体" w:cs="宋体"/>
          <w:color w:val="auto"/>
        </w:rPr>
      </w:pPr>
    </w:p>
    <w:p w14:paraId="65896186">
      <w:pPr>
        <w:pStyle w:val="36"/>
        <w:tabs>
          <w:tab w:val="left" w:pos="4935"/>
        </w:tabs>
        <w:jc w:val="center"/>
        <w:rPr>
          <w:rFonts w:hint="eastAsia" w:ascii="宋体" w:hAnsi="宋体" w:eastAsia="宋体" w:cs="宋体"/>
          <w:b/>
          <w:color w:val="auto"/>
          <w:sz w:val="28"/>
          <w:szCs w:val="28"/>
          <w:highlight w:val="none"/>
        </w:rPr>
      </w:pPr>
    </w:p>
    <w:p w14:paraId="64C916A3">
      <w:pPr>
        <w:pStyle w:val="36"/>
        <w:tabs>
          <w:tab w:val="left" w:pos="4935"/>
        </w:tabs>
        <w:jc w:val="center"/>
        <w:rPr>
          <w:rFonts w:hint="eastAsia" w:ascii="宋体" w:hAnsi="宋体" w:eastAsia="宋体" w:cs="宋体"/>
          <w:b/>
          <w:color w:val="auto"/>
          <w:sz w:val="28"/>
          <w:szCs w:val="28"/>
          <w:highlight w:val="none"/>
        </w:rPr>
      </w:pPr>
    </w:p>
    <w:p w14:paraId="23A68A81">
      <w:pPr>
        <w:pStyle w:val="36"/>
        <w:tabs>
          <w:tab w:val="left" w:pos="4935"/>
        </w:tabs>
        <w:jc w:val="center"/>
        <w:rPr>
          <w:rFonts w:hint="eastAsia" w:ascii="宋体" w:hAnsi="宋体" w:eastAsia="宋体" w:cs="宋体"/>
          <w:b/>
          <w:color w:val="auto"/>
          <w:sz w:val="28"/>
          <w:szCs w:val="28"/>
          <w:highlight w:val="none"/>
        </w:rPr>
      </w:pPr>
    </w:p>
    <w:p w14:paraId="6A608776">
      <w:pPr>
        <w:pStyle w:val="36"/>
        <w:tabs>
          <w:tab w:val="left" w:pos="4935"/>
        </w:tabs>
        <w:jc w:val="center"/>
        <w:rPr>
          <w:rFonts w:hint="eastAsia" w:ascii="宋体" w:hAnsi="宋体" w:eastAsia="宋体" w:cs="宋体"/>
          <w:b/>
          <w:color w:val="auto"/>
          <w:sz w:val="28"/>
          <w:szCs w:val="28"/>
          <w:highlight w:val="none"/>
        </w:rPr>
      </w:pPr>
    </w:p>
    <w:p w14:paraId="2A8F95E8">
      <w:pPr>
        <w:pStyle w:val="36"/>
        <w:tabs>
          <w:tab w:val="left" w:pos="4935"/>
        </w:tabs>
        <w:jc w:val="center"/>
        <w:rPr>
          <w:rFonts w:hint="eastAsia" w:ascii="宋体" w:hAnsi="宋体" w:eastAsia="宋体" w:cs="宋体"/>
          <w:b/>
          <w:color w:val="auto"/>
          <w:sz w:val="28"/>
          <w:szCs w:val="28"/>
          <w:highlight w:val="none"/>
        </w:rPr>
      </w:pPr>
    </w:p>
    <w:p w14:paraId="63E93E5B">
      <w:pPr>
        <w:pStyle w:val="36"/>
        <w:tabs>
          <w:tab w:val="left" w:pos="4935"/>
        </w:tabs>
        <w:jc w:val="center"/>
        <w:rPr>
          <w:rFonts w:hint="eastAsia" w:ascii="宋体" w:hAnsi="宋体" w:eastAsia="宋体" w:cs="宋体"/>
          <w:b/>
          <w:color w:val="auto"/>
          <w:sz w:val="28"/>
          <w:szCs w:val="28"/>
          <w:highlight w:val="none"/>
        </w:rPr>
      </w:pPr>
    </w:p>
    <w:p w14:paraId="2E81FA94">
      <w:pPr>
        <w:pStyle w:val="36"/>
        <w:tabs>
          <w:tab w:val="left" w:pos="4935"/>
        </w:tabs>
        <w:jc w:val="center"/>
        <w:rPr>
          <w:rFonts w:hint="eastAsia" w:ascii="宋体" w:hAnsi="宋体" w:eastAsia="宋体" w:cs="宋体"/>
          <w:b/>
          <w:color w:val="auto"/>
          <w:sz w:val="28"/>
          <w:szCs w:val="28"/>
          <w:highlight w:val="none"/>
        </w:rPr>
      </w:pPr>
    </w:p>
    <w:p w14:paraId="6284BB1C">
      <w:pPr>
        <w:pStyle w:val="36"/>
        <w:tabs>
          <w:tab w:val="left" w:pos="4935"/>
        </w:tabs>
        <w:jc w:val="center"/>
        <w:rPr>
          <w:rFonts w:hint="eastAsia" w:ascii="宋体" w:hAnsi="宋体" w:eastAsia="宋体" w:cs="宋体"/>
          <w:b/>
          <w:color w:val="auto"/>
          <w:sz w:val="28"/>
          <w:szCs w:val="28"/>
          <w:highlight w:val="none"/>
        </w:rPr>
      </w:pPr>
    </w:p>
    <w:p w14:paraId="4DE7217A">
      <w:pPr>
        <w:pStyle w:val="36"/>
        <w:tabs>
          <w:tab w:val="left" w:pos="4935"/>
        </w:tabs>
        <w:jc w:val="center"/>
        <w:rPr>
          <w:rFonts w:hint="eastAsia" w:ascii="宋体" w:hAnsi="宋体" w:eastAsia="宋体" w:cs="宋体"/>
          <w:b/>
          <w:color w:val="auto"/>
          <w:sz w:val="28"/>
          <w:szCs w:val="28"/>
          <w:highlight w:val="none"/>
        </w:rPr>
      </w:pPr>
    </w:p>
    <w:p w14:paraId="20B5CFA0">
      <w:pPr>
        <w:pStyle w:val="36"/>
        <w:tabs>
          <w:tab w:val="left" w:pos="4935"/>
        </w:tabs>
        <w:jc w:val="center"/>
        <w:rPr>
          <w:rFonts w:hint="eastAsia" w:ascii="宋体" w:hAnsi="宋体" w:eastAsia="宋体" w:cs="宋体"/>
          <w:b/>
          <w:color w:val="auto"/>
          <w:sz w:val="28"/>
          <w:szCs w:val="28"/>
          <w:highlight w:val="none"/>
        </w:rPr>
      </w:pPr>
    </w:p>
    <w:p w14:paraId="0DAFAEDF">
      <w:pPr>
        <w:pStyle w:val="36"/>
        <w:tabs>
          <w:tab w:val="left" w:pos="4935"/>
        </w:tabs>
        <w:jc w:val="center"/>
        <w:rPr>
          <w:rFonts w:hint="eastAsia" w:ascii="宋体" w:hAnsi="宋体" w:eastAsia="宋体" w:cs="宋体"/>
          <w:b/>
          <w:color w:val="auto"/>
          <w:sz w:val="28"/>
          <w:szCs w:val="28"/>
          <w:highlight w:val="none"/>
        </w:rPr>
      </w:pPr>
    </w:p>
    <w:p w14:paraId="69665A51">
      <w:pPr>
        <w:pStyle w:val="36"/>
        <w:tabs>
          <w:tab w:val="left" w:pos="4935"/>
        </w:tabs>
        <w:jc w:val="center"/>
        <w:rPr>
          <w:rFonts w:hint="eastAsia" w:ascii="宋体" w:hAnsi="宋体" w:eastAsia="宋体" w:cs="宋体"/>
          <w:b/>
          <w:color w:val="auto"/>
          <w:sz w:val="28"/>
          <w:szCs w:val="28"/>
          <w:highlight w:val="none"/>
        </w:rPr>
      </w:pPr>
    </w:p>
    <w:p w14:paraId="0F0AA18B">
      <w:pPr>
        <w:pStyle w:val="36"/>
        <w:tabs>
          <w:tab w:val="left" w:pos="4935"/>
        </w:tabs>
        <w:jc w:val="center"/>
        <w:rPr>
          <w:rFonts w:hint="eastAsia" w:ascii="宋体" w:hAnsi="宋体" w:eastAsia="宋体" w:cs="宋体"/>
          <w:b/>
          <w:color w:val="auto"/>
          <w:sz w:val="28"/>
          <w:szCs w:val="28"/>
          <w:highlight w:val="none"/>
        </w:rPr>
      </w:pPr>
    </w:p>
    <w:p w14:paraId="7F0A1E56">
      <w:pPr>
        <w:pStyle w:val="36"/>
        <w:tabs>
          <w:tab w:val="left" w:pos="4935"/>
        </w:tabs>
        <w:jc w:val="center"/>
        <w:rPr>
          <w:rFonts w:hint="eastAsia" w:ascii="宋体" w:hAnsi="宋体" w:eastAsia="宋体" w:cs="宋体"/>
          <w:b/>
          <w:color w:val="auto"/>
          <w:sz w:val="28"/>
          <w:szCs w:val="28"/>
          <w:highlight w:val="none"/>
        </w:rPr>
      </w:pPr>
    </w:p>
    <w:p w14:paraId="67E58D07">
      <w:pPr>
        <w:pStyle w:val="36"/>
        <w:tabs>
          <w:tab w:val="left" w:pos="4935"/>
        </w:tabs>
        <w:jc w:val="center"/>
        <w:rPr>
          <w:rFonts w:hint="eastAsia" w:ascii="宋体" w:hAnsi="宋体" w:eastAsia="宋体" w:cs="宋体"/>
          <w:b/>
          <w:color w:val="auto"/>
          <w:sz w:val="28"/>
          <w:szCs w:val="28"/>
          <w:highlight w:val="none"/>
        </w:rPr>
      </w:pPr>
    </w:p>
    <w:p w14:paraId="6C0A708D">
      <w:pPr>
        <w:pStyle w:val="36"/>
        <w:tabs>
          <w:tab w:val="left" w:pos="4935"/>
        </w:tabs>
        <w:jc w:val="center"/>
        <w:rPr>
          <w:rFonts w:hint="eastAsia" w:ascii="宋体" w:hAnsi="宋体" w:eastAsia="宋体" w:cs="宋体"/>
          <w:b/>
          <w:color w:val="auto"/>
          <w:sz w:val="28"/>
          <w:szCs w:val="28"/>
          <w:highlight w:val="none"/>
        </w:rPr>
      </w:pPr>
    </w:p>
    <w:p w14:paraId="75F5A20B">
      <w:pPr>
        <w:pStyle w:val="36"/>
        <w:tabs>
          <w:tab w:val="left" w:pos="4935"/>
        </w:tabs>
        <w:jc w:val="center"/>
        <w:rPr>
          <w:rFonts w:hint="eastAsia" w:ascii="宋体" w:hAnsi="宋体" w:eastAsia="宋体" w:cs="宋体"/>
          <w:b/>
          <w:color w:val="auto"/>
          <w:sz w:val="28"/>
          <w:szCs w:val="28"/>
          <w:highlight w:val="none"/>
        </w:rPr>
      </w:pPr>
    </w:p>
    <w:p w14:paraId="324A3077">
      <w:pPr>
        <w:pStyle w:val="36"/>
        <w:tabs>
          <w:tab w:val="left" w:pos="4935"/>
        </w:tabs>
        <w:jc w:val="center"/>
        <w:rPr>
          <w:rFonts w:hint="eastAsia" w:ascii="宋体" w:hAnsi="宋体" w:eastAsia="宋体" w:cs="宋体"/>
          <w:b/>
          <w:color w:val="auto"/>
          <w:sz w:val="28"/>
          <w:szCs w:val="28"/>
          <w:highlight w:val="none"/>
        </w:rPr>
      </w:pPr>
    </w:p>
    <w:p w14:paraId="29134622">
      <w:pPr>
        <w:pStyle w:val="36"/>
        <w:tabs>
          <w:tab w:val="left" w:pos="4935"/>
        </w:tabs>
        <w:jc w:val="center"/>
        <w:rPr>
          <w:rFonts w:hint="eastAsia" w:ascii="宋体" w:hAnsi="宋体" w:eastAsia="宋体" w:cs="宋体"/>
          <w:b/>
          <w:color w:val="auto"/>
          <w:sz w:val="28"/>
          <w:szCs w:val="28"/>
          <w:highlight w:val="none"/>
        </w:rPr>
      </w:pPr>
    </w:p>
    <w:p w14:paraId="514247C6">
      <w:pPr>
        <w:pStyle w:val="36"/>
        <w:tabs>
          <w:tab w:val="left" w:pos="4935"/>
        </w:tabs>
        <w:jc w:val="center"/>
        <w:rPr>
          <w:rFonts w:hint="eastAsia" w:ascii="宋体" w:hAnsi="宋体" w:eastAsia="宋体" w:cs="宋体"/>
          <w:b/>
          <w:color w:val="auto"/>
          <w:sz w:val="28"/>
          <w:szCs w:val="28"/>
          <w:highlight w:val="none"/>
        </w:rPr>
      </w:pPr>
    </w:p>
    <w:p w14:paraId="2DC3416E">
      <w:pPr>
        <w:pStyle w:val="36"/>
        <w:tabs>
          <w:tab w:val="left" w:pos="4935"/>
        </w:tabs>
        <w:jc w:val="center"/>
        <w:rPr>
          <w:rFonts w:hint="eastAsia" w:ascii="宋体" w:hAnsi="宋体" w:eastAsia="宋体" w:cs="宋体"/>
          <w:b/>
          <w:color w:val="auto"/>
          <w:sz w:val="28"/>
          <w:szCs w:val="28"/>
          <w:highlight w:val="none"/>
        </w:rPr>
        <w:sectPr>
          <w:footerReference r:id="rId3" w:type="default"/>
          <w:endnotePr>
            <w:numFmt w:val="decimal"/>
          </w:endnotePr>
          <w:pgSz w:w="11906" w:h="16838"/>
          <w:pgMar w:top="1134" w:right="1134" w:bottom="1134" w:left="1134" w:header="851" w:footer="992" w:gutter="0"/>
          <w:pgNumType w:fmt="decimalFullWidth" w:start="1"/>
          <w:cols w:space="720" w:num="1"/>
          <w:docGrid w:type="lines" w:linePitch="312" w:charSpace="0"/>
        </w:sectPr>
      </w:pPr>
    </w:p>
    <w:p w14:paraId="6E729219">
      <w:pPr>
        <w:pStyle w:val="36"/>
        <w:tabs>
          <w:tab w:val="left" w:pos="4935"/>
        </w:tabs>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    录</w:t>
      </w:r>
    </w:p>
    <w:p w14:paraId="27CFD836">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TOC \o "1-4" \h \z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_Toc13450 </w:instrText>
      </w:r>
      <w:r>
        <w:rPr>
          <w:rFonts w:hint="eastAsia" w:ascii="宋体" w:hAnsi="宋体" w:eastAsia="宋体" w:cs="宋体"/>
          <w:szCs w:val="21"/>
          <w:highlight w:val="none"/>
        </w:rPr>
        <w:fldChar w:fldCharType="separate"/>
      </w:r>
      <w:r>
        <w:rPr>
          <w:rFonts w:hint="eastAsia" w:ascii="宋体" w:hAnsi="宋体" w:eastAsia="宋体" w:cs="宋体"/>
          <w:kern w:val="44"/>
          <w:szCs w:val="28"/>
          <w:highlight w:val="none"/>
        </w:rPr>
        <w:t>第一章投标须知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_Toc13450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47B732CD">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_Toc12079 </w:instrText>
      </w:r>
      <w:r>
        <w:rPr>
          <w:rFonts w:hint="eastAsia" w:ascii="宋体" w:hAnsi="宋体" w:eastAsia="宋体" w:cs="宋体"/>
          <w:szCs w:val="21"/>
          <w:highlight w:val="none"/>
        </w:rPr>
        <w:fldChar w:fldCharType="separate"/>
      </w:r>
      <w:r>
        <w:rPr>
          <w:rFonts w:hint="eastAsia" w:ascii="宋体" w:hAnsi="宋体" w:eastAsia="宋体" w:cs="宋体"/>
          <w:kern w:val="2"/>
          <w:highlight w:val="none"/>
        </w:rPr>
        <w:t>第一节</w:t>
      </w:r>
      <w:r>
        <w:rPr>
          <w:rFonts w:hint="eastAsia" w:ascii="宋体" w:hAnsi="宋体" w:eastAsia="宋体" w:cs="宋体"/>
          <w:kern w:val="2"/>
          <w:highlight w:val="none"/>
          <w:lang w:val="en-US" w:eastAsia="zh-CN"/>
        </w:rPr>
        <w:t xml:space="preserve"> </w:t>
      </w:r>
      <w:r>
        <w:rPr>
          <w:rFonts w:hint="eastAsia" w:ascii="宋体" w:hAnsi="宋体" w:eastAsia="宋体" w:cs="宋体"/>
          <w:kern w:val="2"/>
          <w:highlight w:val="none"/>
        </w:rPr>
        <w:t>投标须知前附表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_Toc12079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5B6E0E2E">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_Toc20578 </w:instrText>
      </w:r>
      <w:r>
        <w:rPr>
          <w:rFonts w:hint="eastAsia" w:ascii="宋体" w:hAnsi="宋体" w:eastAsia="宋体" w:cs="宋体"/>
          <w:szCs w:val="21"/>
          <w:highlight w:val="none"/>
        </w:rPr>
        <w:fldChar w:fldCharType="separate"/>
      </w:r>
      <w:r>
        <w:rPr>
          <w:rFonts w:hint="eastAsia" w:ascii="宋体" w:hAnsi="宋体" w:eastAsia="宋体" w:cs="宋体"/>
          <w:kern w:val="2"/>
          <w:highlight w:val="none"/>
        </w:rPr>
        <w:t>第二节</w:t>
      </w:r>
      <w:r>
        <w:rPr>
          <w:rFonts w:hint="eastAsia" w:ascii="宋体" w:hAnsi="宋体" w:eastAsia="宋体" w:cs="宋体"/>
          <w:kern w:val="2"/>
          <w:highlight w:val="none"/>
          <w:lang w:val="en-US" w:eastAsia="zh-CN"/>
        </w:rPr>
        <w:t xml:space="preserve"> </w:t>
      </w:r>
      <w:r>
        <w:rPr>
          <w:rFonts w:hint="eastAsia" w:ascii="宋体" w:hAnsi="宋体" w:eastAsia="宋体" w:cs="宋体"/>
          <w:kern w:val="2"/>
          <w:highlight w:val="none"/>
        </w:rPr>
        <w:t>重要事项时间地点一览表.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_Toc20578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5E65BF67">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_Toc20055 </w:instrText>
      </w:r>
      <w:r>
        <w:rPr>
          <w:rFonts w:hint="eastAsia" w:ascii="宋体" w:hAnsi="宋体" w:eastAsia="宋体" w:cs="宋体"/>
          <w:szCs w:val="21"/>
          <w:highlight w:val="none"/>
        </w:rPr>
        <w:fldChar w:fldCharType="separate"/>
      </w:r>
      <w:r>
        <w:rPr>
          <w:rFonts w:hint="eastAsia" w:ascii="宋体" w:hAnsi="宋体" w:eastAsia="宋体" w:cs="宋体"/>
          <w:szCs w:val="28"/>
          <w:highlight w:val="none"/>
        </w:rPr>
        <w:t>第</w:t>
      </w:r>
      <w:r>
        <w:rPr>
          <w:rFonts w:hint="eastAsia" w:ascii="宋体" w:hAnsi="宋体" w:eastAsia="宋体" w:cs="宋体"/>
          <w:kern w:val="44"/>
          <w:szCs w:val="28"/>
          <w:highlight w:val="none"/>
        </w:rPr>
        <w:t>三节 投标须知正文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_Toc20055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4783B51E">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_Toc2521 </w:instrText>
      </w:r>
      <w:r>
        <w:rPr>
          <w:rFonts w:hint="eastAsia" w:ascii="宋体" w:hAnsi="宋体" w:eastAsia="宋体" w:cs="宋体"/>
          <w:szCs w:val="21"/>
          <w:highlight w:val="none"/>
        </w:rPr>
        <w:fldChar w:fldCharType="separate"/>
      </w:r>
      <w:r>
        <w:rPr>
          <w:rFonts w:hint="eastAsia" w:ascii="宋体" w:hAnsi="宋体" w:eastAsia="宋体" w:cs="宋体"/>
          <w:bCs/>
          <w:highlight w:val="none"/>
        </w:rPr>
        <w:t>第四节 否决投标条件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_Toc2521 \h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54535D4E">
      <w:pPr>
        <w:pStyle w:val="10"/>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_Toc12219 </w:instrText>
      </w:r>
      <w:r>
        <w:rPr>
          <w:rFonts w:hint="eastAsia" w:ascii="宋体" w:hAnsi="宋体" w:eastAsia="宋体" w:cs="宋体"/>
          <w:szCs w:val="21"/>
          <w:highlight w:val="none"/>
        </w:rPr>
        <w:fldChar w:fldCharType="separate"/>
      </w:r>
      <w:r>
        <w:rPr>
          <w:rFonts w:hint="eastAsia" w:ascii="宋体" w:hAnsi="宋体" w:eastAsia="宋体" w:cs="宋体"/>
          <w:szCs w:val="21"/>
          <w:lang w:val="en-US" w:eastAsia="zh-CN"/>
        </w:rPr>
        <w:t>第二章 中标人须知</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_Toc12219 \h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749D6F97">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_Toc23277 </w:instrText>
      </w:r>
      <w:r>
        <w:rPr>
          <w:rFonts w:hint="eastAsia" w:ascii="宋体" w:hAnsi="宋体" w:eastAsia="宋体" w:cs="宋体"/>
          <w:szCs w:val="21"/>
          <w:highlight w:val="none"/>
        </w:rPr>
        <w:fldChar w:fldCharType="separate"/>
      </w:r>
      <w:r>
        <w:rPr>
          <w:rFonts w:hint="eastAsia" w:ascii="宋体" w:hAnsi="宋体" w:eastAsia="宋体" w:cs="宋体"/>
          <w:kern w:val="44"/>
          <w:szCs w:val="28"/>
          <w:highlight w:val="none"/>
          <w:lang w:val="en-US" w:eastAsia="zh-CN" w:bidi="ar-SA"/>
        </w:rPr>
        <w:t>第三章 拟签订合同的主要条款</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_Toc23277 \h </w:instrText>
      </w:r>
      <w:r>
        <w:rPr>
          <w:rFonts w:hint="eastAsia" w:ascii="宋体" w:hAnsi="宋体" w:eastAsia="宋体" w:cs="宋体"/>
        </w:rPr>
        <w:fldChar w:fldCharType="separate"/>
      </w:r>
      <w:r>
        <w:rPr>
          <w:rFonts w:hint="eastAsia" w:ascii="宋体" w:hAnsi="宋体" w:eastAsia="宋体" w:cs="宋体"/>
        </w:rPr>
        <w:t>47</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1E512661">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_Toc22862 </w:instrText>
      </w:r>
      <w:r>
        <w:rPr>
          <w:rFonts w:hint="eastAsia" w:ascii="宋体" w:hAnsi="宋体" w:eastAsia="宋体" w:cs="宋体"/>
          <w:szCs w:val="21"/>
          <w:highlight w:val="none"/>
        </w:rPr>
        <w:fldChar w:fldCharType="separate"/>
      </w:r>
      <w:r>
        <w:rPr>
          <w:rFonts w:hint="eastAsia" w:ascii="宋体" w:hAnsi="宋体" w:eastAsia="宋体" w:cs="宋体"/>
          <w:kern w:val="44"/>
          <w:szCs w:val="28"/>
          <w:highlight w:val="none"/>
        </w:rPr>
        <w:t>第</w:t>
      </w:r>
      <w:r>
        <w:rPr>
          <w:rFonts w:hint="eastAsia" w:ascii="宋体" w:hAnsi="宋体" w:eastAsia="宋体" w:cs="宋体"/>
          <w:kern w:val="44"/>
          <w:szCs w:val="28"/>
          <w:highlight w:val="none"/>
          <w:lang w:val="en-US" w:eastAsia="zh-CN"/>
        </w:rPr>
        <w:t>四</w:t>
      </w:r>
      <w:r>
        <w:rPr>
          <w:rFonts w:hint="eastAsia" w:ascii="宋体" w:hAnsi="宋体" w:eastAsia="宋体" w:cs="宋体"/>
          <w:kern w:val="44"/>
          <w:szCs w:val="28"/>
          <w:highlight w:val="none"/>
        </w:rPr>
        <w:t>章 技术要求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_Toc22862 \h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03714E4E">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_Toc21703 </w:instrText>
      </w:r>
      <w:r>
        <w:rPr>
          <w:rFonts w:hint="eastAsia" w:ascii="宋体" w:hAnsi="宋体" w:eastAsia="宋体" w:cs="宋体"/>
          <w:szCs w:val="21"/>
          <w:highlight w:val="none"/>
        </w:rPr>
        <w:fldChar w:fldCharType="separate"/>
      </w:r>
      <w:r>
        <w:rPr>
          <w:rFonts w:hint="eastAsia" w:ascii="宋体" w:hAnsi="宋体" w:eastAsia="宋体" w:cs="宋体"/>
          <w:kern w:val="44"/>
          <w:szCs w:val="28"/>
          <w:highlight w:val="none"/>
          <w:lang w:val="en-US" w:eastAsia="zh-CN" w:bidi="ar-SA"/>
        </w:rPr>
        <w:t>第五章 投标文件格式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_Toc21703 \h </w:instrText>
      </w:r>
      <w:r>
        <w:rPr>
          <w:rFonts w:hint="eastAsia" w:ascii="宋体" w:hAnsi="宋体" w:eastAsia="宋体" w:cs="宋体"/>
        </w:rPr>
        <w:fldChar w:fldCharType="separate"/>
      </w:r>
      <w:r>
        <w:rPr>
          <w:rFonts w:hint="eastAsia" w:ascii="宋体" w:hAnsi="宋体" w:eastAsia="宋体" w:cs="宋体"/>
        </w:rPr>
        <w:t>54</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78CA9366">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_Toc16638 </w:instrText>
      </w:r>
      <w:r>
        <w:rPr>
          <w:rFonts w:hint="eastAsia" w:ascii="宋体" w:hAnsi="宋体" w:eastAsia="宋体" w:cs="宋体"/>
          <w:szCs w:val="21"/>
          <w:highlight w:val="none"/>
        </w:rPr>
        <w:fldChar w:fldCharType="separate"/>
      </w:r>
      <w:r>
        <w:rPr>
          <w:rFonts w:hint="eastAsia" w:ascii="宋体" w:hAnsi="宋体" w:eastAsia="宋体" w:cs="宋体"/>
          <w:snapToGrid w:val="0"/>
          <w:szCs w:val="24"/>
          <w:highlight w:val="none"/>
        </w:rPr>
        <w:t>格式一 封面</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_Toc16638 \h </w:instrText>
      </w:r>
      <w:r>
        <w:rPr>
          <w:rFonts w:hint="eastAsia" w:ascii="宋体" w:hAnsi="宋体" w:eastAsia="宋体" w:cs="宋体"/>
        </w:rPr>
        <w:fldChar w:fldCharType="separate"/>
      </w:r>
      <w:r>
        <w:rPr>
          <w:rFonts w:hint="eastAsia" w:ascii="宋体" w:hAnsi="宋体" w:eastAsia="宋体" w:cs="宋体"/>
        </w:rPr>
        <w:t>54</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3EF05001">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_Toc16679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格式二 《投标函》及《工程项目总价表》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_Toc16679 \h </w:instrText>
      </w:r>
      <w:r>
        <w:rPr>
          <w:rFonts w:hint="eastAsia" w:ascii="宋体" w:hAnsi="宋体" w:eastAsia="宋体" w:cs="宋体"/>
        </w:rPr>
        <w:fldChar w:fldCharType="separate"/>
      </w:r>
      <w:r>
        <w:rPr>
          <w:rFonts w:hint="eastAsia" w:ascii="宋体" w:hAnsi="宋体" w:eastAsia="宋体" w:cs="宋体"/>
        </w:rPr>
        <w:t>55</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031B4745">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_Toc12608 </w:instrText>
      </w:r>
      <w:r>
        <w:rPr>
          <w:rFonts w:hint="eastAsia" w:ascii="宋体" w:hAnsi="宋体" w:eastAsia="宋体" w:cs="宋体"/>
          <w:szCs w:val="21"/>
          <w:highlight w:val="none"/>
        </w:rPr>
        <w:fldChar w:fldCharType="separate"/>
      </w:r>
      <w:r>
        <w:rPr>
          <w:rFonts w:hint="eastAsia" w:ascii="宋体" w:hAnsi="宋体" w:eastAsia="宋体" w:cs="宋体"/>
          <w:szCs w:val="24"/>
          <w:highlight w:val="none"/>
        </w:rPr>
        <w:t>格式三 各项</w:t>
      </w:r>
      <w:r>
        <w:rPr>
          <w:rFonts w:hint="eastAsia" w:ascii="宋体" w:hAnsi="宋体" w:eastAsia="宋体" w:cs="宋体"/>
          <w:bCs/>
          <w:szCs w:val="24"/>
          <w:highlight w:val="none"/>
        </w:rPr>
        <w:t>承诺</w:t>
      </w:r>
      <w:r>
        <w:rPr>
          <w:rFonts w:hint="eastAsia" w:ascii="宋体" w:hAnsi="宋体" w:eastAsia="宋体" w:cs="宋体"/>
          <w:szCs w:val="24"/>
          <w:highlight w:val="none"/>
        </w:rPr>
        <w:t>一览表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_Toc12608 \h </w:instrText>
      </w:r>
      <w:r>
        <w:rPr>
          <w:rFonts w:hint="eastAsia" w:ascii="宋体" w:hAnsi="宋体" w:eastAsia="宋体" w:cs="宋体"/>
        </w:rPr>
        <w:fldChar w:fldCharType="separate"/>
      </w:r>
      <w:r>
        <w:rPr>
          <w:rFonts w:hint="eastAsia" w:ascii="宋体" w:hAnsi="宋体" w:eastAsia="宋体" w:cs="宋体"/>
        </w:rPr>
        <w:t>57</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2A18F6BB">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_Toc3752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格式四 授权委托书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_Toc3752 \h </w:instrText>
      </w:r>
      <w:r>
        <w:rPr>
          <w:rFonts w:hint="eastAsia" w:ascii="宋体" w:hAnsi="宋体" w:eastAsia="宋体" w:cs="宋体"/>
        </w:rPr>
        <w:fldChar w:fldCharType="separate"/>
      </w:r>
      <w:r>
        <w:rPr>
          <w:rFonts w:hint="eastAsia" w:ascii="宋体" w:hAnsi="宋体" w:eastAsia="宋体" w:cs="宋体"/>
        </w:rPr>
        <w:t>61</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772A8118">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_Toc9798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格式五 法定代表人身份证明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_Toc9798 \h </w:instrText>
      </w:r>
      <w:r>
        <w:rPr>
          <w:rFonts w:hint="eastAsia" w:ascii="宋体" w:hAnsi="宋体" w:eastAsia="宋体" w:cs="宋体"/>
        </w:rPr>
        <w:fldChar w:fldCharType="separate"/>
      </w:r>
      <w:r>
        <w:rPr>
          <w:rFonts w:hint="eastAsia" w:ascii="宋体" w:hAnsi="宋体" w:eastAsia="宋体" w:cs="宋体"/>
        </w:rPr>
        <w:t>62</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5145FE33">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_Toc4188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格式六 联合体协议书</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_Toc4188 \h </w:instrText>
      </w:r>
      <w:r>
        <w:rPr>
          <w:rFonts w:hint="eastAsia" w:ascii="宋体" w:hAnsi="宋体" w:eastAsia="宋体" w:cs="宋体"/>
        </w:rPr>
        <w:fldChar w:fldCharType="separate"/>
      </w:r>
      <w:r>
        <w:rPr>
          <w:rFonts w:hint="eastAsia" w:ascii="宋体" w:hAnsi="宋体" w:eastAsia="宋体" w:cs="宋体"/>
        </w:rPr>
        <w:t>63</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6E41A34E">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_Toc15865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格式七 投标人基本情况表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_Toc15865 \h </w:instrText>
      </w:r>
      <w:r>
        <w:rPr>
          <w:rFonts w:hint="eastAsia" w:ascii="宋体" w:hAnsi="宋体" w:eastAsia="宋体" w:cs="宋体"/>
        </w:rPr>
        <w:fldChar w:fldCharType="separate"/>
      </w:r>
      <w:r>
        <w:rPr>
          <w:rFonts w:hint="eastAsia" w:ascii="宋体" w:hAnsi="宋体" w:eastAsia="宋体" w:cs="宋体"/>
        </w:rPr>
        <w:t>65</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37963CE6">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_Toc13683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格式八 项目经理简历表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_Toc13683 \h </w:instrText>
      </w:r>
      <w:r>
        <w:rPr>
          <w:rFonts w:hint="eastAsia" w:ascii="宋体" w:hAnsi="宋体" w:eastAsia="宋体" w:cs="宋体"/>
        </w:rPr>
        <w:fldChar w:fldCharType="separate"/>
      </w:r>
      <w:r>
        <w:rPr>
          <w:rFonts w:hint="eastAsia" w:ascii="宋体" w:hAnsi="宋体" w:eastAsia="宋体" w:cs="宋体"/>
        </w:rPr>
        <w:t>66</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151468FE">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_Toc16966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格式九 项目经理任职声明</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_Toc16966 \h </w:instrText>
      </w:r>
      <w:r>
        <w:rPr>
          <w:rFonts w:hint="eastAsia" w:ascii="宋体" w:hAnsi="宋体" w:eastAsia="宋体" w:cs="宋体"/>
        </w:rPr>
        <w:fldChar w:fldCharType="separate"/>
      </w:r>
      <w:r>
        <w:rPr>
          <w:rFonts w:hint="eastAsia" w:ascii="宋体" w:hAnsi="宋体" w:eastAsia="宋体" w:cs="宋体"/>
        </w:rPr>
        <w:t>67</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4EBB220E">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_Toc9590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格式十 项目技术负责人简历表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_Toc9590 \h </w:instrText>
      </w:r>
      <w:r>
        <w:rPr>
          <w:rFonts w:hint="eastAsia" w:ascii="宋体" w:hAnsi="宋体" w:eastAsia="宋体" w:cs="宋体"/>
        </w:rPr>
        <w:fldChar w:fldCharType="separate"/>
      </w:r>
      <w:r>
        <w:rPr>
          <w:rFonts w:hint="eastAsia" w:ascii="宋体" w:hAnsi="宋体" w:eastAsia="宋体" w:cs="宋体"/>
        </w:rPr>
        <w:t>68</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37637D8A">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_Toc29849 </w:instrText>
      </w:r>
      <w:r>
        <w:rPr>
          <w:rFonts w:hint="eastAsia" w:ascii="宋体" w:hAnsi="宋体" w:eastAsia="宋体" w:cs="宋体"/>
          <w:szCs w:val="21"/>
          <w:highlight w:val="none"/>
        </w:rPr>
        <w:fldChar w:fldCharType="separate"/>
      </w:r>
      <w:r>
        <w:rPr>
          <w:rFonts w:hint="eastAsia" w:ascii="宋体" w:hAnsi="宋体" w:eastAsia="宋体" w:cs="宋体"/>
          <w:bCs/>
          <w:szCs w:val="24"/>
          <w:highlight w:val="none"/>
        </w:rPr>
        <w:t>格式十一 项目设计负责人简历表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_Toc29849 \h </w:instrText>
      </w:r>
      <w:r>
        <w:rPr>
          <w:rFonts w:hint="eastAsia" w:ascii="宋体" w:hAnsi="宋体" w:eastAsia="宋体" w:cs="宋体"/>
        </w:rPr>
        <w:fldChar w:fldCharType="separate"/>
      </w:r>
      <w:r>
        <w:rPr>
          <w:rFonts w:hint="eastAsia" w:ascii="宋体" w:hAnsi="宋体" w:eastAsia="宋体" w:cs="宋体"/>
        </w:rPr>
        <w:t>69</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765B14EB">
      <w:pPr>
        <w:pStyle w:val="19"/>
        <w:keepNext w:val="0"/>
        <w:keepLines w:val="0"/>
        <w:pageBreakBefore w:val="0"/>
        <w:widowControl w:val="0"/>
        <w:tabs>
          <w:tab w:val="right" w:leader="dot" w:pos="9638"/>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_Toc7177 </w:instrText>
      </w:r>
      <w:r>
        <w:rPr>
          <w:rFonts w:hint="eastAsia" w:ascii="宋体" w:hAnsi="宋体" w:eastAsia="宋体" w:cs="宋体"/>
          <w:szCs w:val="21"/>
          <w:highlight w:val="none"/>
        </w:rPr>
        <w:fldChar w:fldCharType="separate"/>
      </w:r>
      <w:r>
        <w:rPr>
          <w:rFonts w:hint="eastAsia" w:ascii="宋体" w:hAnsi="宋体" w:eastAsia="宋体" w:cs="宋体"/>
          <w:snapToGrid w:val="0"/>
          <w:szCs w:val="24"/>
          <w:highlight w:val="none"/>
        </w:rPr>
        <w:t>格式十二 项目管理机构组成表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_Toc7177 \h </w:instrText>
      </w:r>
      <w:r>
        <w:rPr>
          <w:rFonts w:hint="eastAsia" w:ascii="宋体" w:hAnsi="宋体" w:eastAsia="宋体" w:cs="宋体"/>
        </w:rPr>
        <w:fldChar w:fldCharType="separate"/>
      </w:r>
      <w:r>
        <w:rPr>
          <w:rFonts w:hint="eastAsia" w:ascii="宋体" w:hAnsi="宋体" w:eastAsia="宋体" w:cs="宋体"/>
        </w:rPr>
        <w:t>70</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0EBBB7EF">
      <w:pPr>
        <w:pStyle w:val="16"/>
        <w:keepNext w:val="0"/>
        <w:keepLines w:val="0"/>
        <w:pageBreakBefore w:val="0"/>
        <w:widowControl w:val="0"/>
        <w:tabs>
          <w:tab w:val="right" w:leader="dot" w:pos="9638"/>
        </w:tabs>
        <w:kinsoku/>
        <w:wordWrap/>
        <w:overflowPunct/>
        <w:topLinePunct w:val="0"/>
        <w:autoSpaceDE/>
        <w:autoSpaceDN/>
        <w:bidi w:val="0"/>
        <w:adjustRightInd/>
        <w:snapToGrid/>
        <w:spacing w:line="360" w:lineRule="auto"/>
        <w:jc w:val="left"/>
        <w:textAlignment w:val="auto"/>
        <w:rPr>
          <w:rFonts w:hint="eastAsia" w:ascii="宋体" w:hAnsi="宋体" w:eastAsia="宋体" w:cs="宋体"/>
        </w:rPr>
      </w:pPr>
      <w:r>
        <w:rPr>
          <w:rFonts w:hint="eastAsia" w:ascii="宋体" w:hAnsi="宋体" w:eastAsia="宋体" w:cs="宋体"/>
          <w:color w:val="auto"/>
          <w:szCs w:val="21"/>
          <w:highlight w:val="none"/>
        </w:rPr>
        <w:fldChar w:fldCharType="begin"/>
      </w:r>
      <w:r>
        <w:rPr>
          <w:rFonts w:hint="eastAsia" w:ascii="宋体" w:hAnsi="宋体" w:eastAsia="宋体" w:cs="宋体"/>
          <w:szCs w:val="21"/>
          <w:highlight w:val="none"/>
        </w:rPr>
        <w:instrText xml:space="preserve"> HYPERLINK \l _Toc26563 </w:instrText>
      </w:r>
      <w:r>
        <w:rPr>
          <w:rFonts w:hint="eastAsia" w:ascii="宋体" w:hAnsi="宋体" w:eastAsia="宋体" w:cs="宋体"/>
          <w:szCs w:val="21"/>
          <w:highlight w:val="none"/>
        </w:rPr>
        <w:fldChar w:fldCharType="separate"/>
      </w:r>
      <w:r>
        <w:rPr>
          <w:rFonts w:hint="eastAsia" w:ascii="宋体" w:hAnsi="宋体" w:eastAsia="宋体" w:cs="宋体"/>
          <w:kern w:val="44"/>
          <w:szCs w:val="28"/>
          <w:highlight w:val="none"/>
        </w:rPr>
        <w:t>第</w:t>
      </w:r>
      <w:r>
        <w:rPr>
          <w:rFonts w:hint="eastAsia" w:ascii="宋体" w:hAnsi="宋体" w:eastAsia="宋体" w:cs="宋体"/>
          <w:kern w:val="44"/>
          <w:szCs w:val="28"/>
          <w:highlight w:val="none"/>
          <w:lang w:val="en-US" w:eastAsia="zh-CN"/>
        </w:rPr>
        <w:t>六</w:t>
      </w:r>
      <w:r>
        <w:rPr>
          <w:rFonts w:hint="eastAsia" w:ascii="宋体" w:hAnsi="宋体" w:eastAsia="宋体" w:cs="宋体"/>
          <w:kern w:val="44"/>
          <w:szCs w:val="28"/>
          <w:highlight w:val="none"/>
        </w:rPr>
        <w:t>章  建设工程合同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_Toc26563 \h </w:instrText>
      </w:r>
      <w:r>
        <w:rPr>
          <w:rFonts w:hint="eastAsia" w:ascii="宋体" w:hAnsi="宋体" w:eastAsia="宋体" w:cs="宋体"/>
        </w:rPr>
        <w:fldChar w:fldCharType="separate"/>
      </w:r>
      <w:r>
        <w:rPr>
          <w:rFonts w:hint="eastAsia" w:ascii="宋体" w:hAnsi="宋体" w:eastAsia="宋体" w:cs="宋体"/>
        </w:rPr>
        <w:t>72</w:t>
      </w:r>
      <w:r>
        <w:rPr>
          <w:rFonts w:hint="eastAsia" w:ascii="宋体" w:hAnsi="宋体" w:eastAsia="宋体" w:cs="宋体"/>
        </w:rPr>
        <w:fldChar w:fldCharType="end"/>
      </w:r>
      <w:r>
        <w:rPr>
          <w:rFonts w:hint="eastAsia" w:ascii="宋体" w:hAnsi="宋体" w:eastAsia="宋体" w:cs="宋体"/>
          <w:color w:val="auto"/>
          <w:szCs w:val="21"/>
          <w:highlight w:val="none"/>
        </w:rPr>
        <w:fldChar w:fldCharType="end"/>
      </w:r>
    </w:p>
    <w:p w14:paraId="4F585ABF">
      <w:pPr>
        <w:pStyle w:val="36"/>
        <w:keepNext w:val="0"/>
        <w:keepLines w:val="0"/>
        <w:pageBreakBefore w:val="0"/>
        <w:widowControl w:val="0"/>
        <w:tabs>
          <w:tab w:val="left" w:pos="4935"/>
        </w:tabs>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Cs w:val="21"/>
          <w:highlight w:val="none"/>
        </w:rPr>
        <w:sectPr>
          <w:footerReference r:id="rId4" w:type="default"/>
          <w:endnotePr>
            <w:numFmt w:val="decimal"/>
          </w:endnotePr>
          <w:pgSz w:w="11906" w:h="16838"/>
          <w:pgMar w:top="1134" w:right="1134" w:bottom="1134" w:left="1134" w:header="851" w:footer="992" w:gutter="0"/>
          <w:pgNumType w:fmt="decimal" w:start="1"/>
          <w:cols w:space="720" w:num="1"/>
          <w:docGrid w:type="lines" w:linePitch="312" w:charSpace="0"/>
        </w:sectPr>
      </w:pPr>
      <w:r>
        <w:rPr>
          <w:rFonts w:hint="eastAsia" w:ascii="宋体" w:hAnsi="宋体" w:eastAsia="宋体" w:cs="宋体"/>
          <w:color w:val="auto"/>
          <w:szCs w:val="21"/>
          <w:highlight w:val="none"/>
        </w:rPr>
        <w:fldChar w:fldCharType="end"/>
      </w:r>
    </w:p>
    <w:p w14:paraId="59E4EBE9">
      <w:pPr>
        <w:pStyle w:val="37"/>
        <w:keepNext/>
        <w:keepLines/>
        <w:jc w:val="center"/>
        <w:rPr>
          <w:rFonts w:hint="eastAsia" w:ascii="宋体" w:hAnsi="宋体" w:eastAsia="宋体" w:cs="宋体"/>
          <w:b/>
          <w:color w:val="auto"/>
          <w:kern w:val="44"/>
          <w:sz w:val="28"/>
          <w:szCs w:val="28"/>
          <w:highlight w:val="none"/>
        </w:rPr>
      </w:pPr>
      <w:bookmarkStart w:id="0" w:name="_Toc13450"/>
      <w:bookmarkStart w:id="1" w:name="_Hlt111690251"/>
      <w:r>
        <w:rPr>
          <w:rFonts w:hint="eastAsia" w:ascii="宋体" w:hAnsi="宋体" w:eastAsia="宋体" w:cs="宋体"/>
          <w:b/>
          <w:color w:val="auto"/>
          <w:kern w:val="44"/>
          <w:sz w:val="28"/>
          <w:szCs w:val="28"/>
          <w:highlight w:val="none"/>
        </w:rPr>
        <w:t>第一章投标须知</w:t>
      </w:r>
      <w:bookmarkEnd w:id="0"/>
    </w:p>
    <w:p w14:paraId="380FA345">
      <w:pPr>
        <w:pStyle w:val="38"/>
        <w:keepNext/>
        <w:keepLines/>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auto"/>
          <w:kern w:val="2"/>
          <w:highlight w:val="none"/>
        </w:rPr>
      </w:pPr>
      <w:bookmarkStart w:id="2" w:name="_Hlt127175444"/>
      <w:bookmarkEnd w:id="2"/>
      <w:bookmarkStart w:id="3" w:name="_Toc12079"/>
      <w:bookmarkStart w:id="4" w:name="_Hlt120077520"/>
      <w:r>
        <w:rPr>
          <w:rFonts w:hint="eastAsia" w:ascii="宋体" w:hAnsi="宋体" w:eastAsia="宋体" w:cs="宋体"/>
          <w:b/>
          <w:color w:val="auto"/>
          <w:kern w:val="2"/>
          <w:highlight w:val="none"/>
        </w:rPr>
        <w:t>第一节</w:t>
      </w:r>
      <w:r>
        <w:rPr>
          <w:rFonts w:hint="eastAsia" w:ascii="宋体" w:hAnsi="宋体" w:eastAsia="宋体" w:cs="宋体"/>
          <w:b/>
          <w:color w:val="auto"/>
          <w:kern w:val="2"/>
          <w:highlight w:val="none"/>
          <w:lang w:val="en-US" w:eastAsia="zh-CN"/>
        </w:rPr>
        <w:t xml:space="preserve"> </w:t>
      </w:r>
      <w:r>
        <w:rPr>
          <w:rFonts w:hint="eastAsia" w:ascii="宋体" w:hAnsi="宋体" w:eastAsia="宋体" w:cs="宋体"/>
          <w:b/>
          <w:color w:val="auto"/>
          <w:kern w:val="2"/>
          <w:highlight w:val="none"/>
        </w:rPr>
        <w:t>投标须知前附表</w:t>
      </w:r>
      <w:bookmarkEnd w:id="3"/>
    </w:p>
    <w:tbl>
      <w:tblPr>
        <w:tblStyle w:val="25"/>
        <w:tblW w:w="106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2137"/>
        <w:gridCol w:w="7715"/>
        <w:gridCol w:w="30"/>
      </w:tblGrid>
      <w:tr w14:paraId="328D18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C0F3F94">
            <w:pPr>
              <w:pStyle w:val="36"/>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137" w:type="dxa"/>
            <w:tcBorders>
              <w:top w:val="single" w:color="auto" w:sz="4" w:space="0"/>
              <w:left w:val="single" w:color="auto" w:sz="4" w:space="0"/>
              <w:bottom w:val="single" w:color="auto" w:sz="4" w:space="0"/>
              <w:right w:val="single" w:color="auto" w:sz="4" w:space="0"/>
            </w:tcBorders>
            <w:noWrap/>
            <w:vAlign w:val="center"/>
          </w:tcPr>
          <w:p w14:paraId="2A2D0B19">
            <w:pPr>
              <w:pStyle w:val="36"/>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内容</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25E2E449">
            <w:pPr>
              <w:pStyle w:val="36"/>
              <w:tabs>
                <w:tab w:val="left" w:pos="1180"/>
              </w:tabs>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说明与要求</w:t>
            </w:r>
          </w:p>
        </w:tc>
      </w:tr>
      <w:tr w14:paraId="1F67C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94C9FD2">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137" w:type="dxa"/>
            <w:tcBorders>
              <w:top w:val="single" w:color="auto" w:sz="4" w:space="0"/>
              <w:left w:val="single" w:color="auto" w:sz="4" w:space="0"/>
              <w:bottom w:val="single" w:color="auto" w:sz="4" w:space="0"/>
              <w:right w:val="single" w:color="auto" w:sz="4" w:space="0"/>
            </w:tcBorders>
            <w:noWrap/>
            <w:vAlign w:val="center"/>
          </w:tcPr>
          <w:p w14:paraId="47A87DE9">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名称</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4F88F2BB">
            <w:pPr>
              <w:pStyle w:val="39"/>
              <w:keepNext w:val="0"/>
              <w:keepLines w:val="0"/>
              <w:pageBreakBefore w:val="0"/>
              <w:widowControl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始兴县顿岗镇全域土地综合整治（乡村空间“三提三化”）项目光伏项目（</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期）设计、施工总承包</w:t>
            </w:r>
          </w:p>
        </w:tc>
      </w:tr>
      <w:tr w14:paraId="6A60D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DBFEA18">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137" w:type="dxa"/>
            <w:tcBorders>
              <w:top w:val="single" w:color="auto" w:sz="4" w:space="0"/>
              <w:left w:val="single" w:color="auto" w:sz="4" w:space="0"/>
              <w:bottom w:val="single" w:color="auto" w:sz="4" w:space="0"/>
              <w:right w:val="single" w:color="auto" w:sz="4" w:space="0"/>
            </w:tcBorders>
            <w:noWrap/>
            <w:vAlign w:val="center"/>
          </w:tcPr>
          <w:p w14:paraId="13C77C66">
            <w:pPr>
              <w:pStyle w:val="36"/>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项目业主</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FCC2DFB">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广东兴展土地整理开发有限公司</w:t>
            </w:r>
          </w:p>
        </w:tc>
      </w:tr>
      <w:tr w14:paraId="6D919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E60CA75">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w:t>
            </w:r>
          </w:p>
        </w:tc>
        <w:tc>
          <w:tcPr>
            <w:tcW w:w="2137" w:type="dxa"/>
            <w:tcBorders>
              <w:top w:val="single" w:color="auto" w:sz="4" w:space="0"/>
              <w:left w:val="single" w:color="auto" w:sz="4" w:space="0"/>
              <w:bottom w:val="single" w:color="auto" w:sz="4" w:space="0"/>
              <w:right w:val="single" w:color="auto" w:sz="4" w:space="0"/>
            </w:tcBorders>
            <w:noWrap/>
            <w:vAlign w:val="center"/>
          </w:tcPr>
          <w:p w14:paraId="54A4A9AC">
            <w:pPr>
              <w:pStyle w:val="36"/>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项目批准部门</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74F6656">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始兴县发展和改革局</w:t>
            </w:r>
          </w:p>
        </w:tc>
      </w:tr>
      <w:tr w14:paraId="6EF24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26C615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2137" w:type="dxa"/>
            <w:tcBorders>
              <w:top w:val="single" w:color="auto" w:sz="4" w:space="0"/>
              <w:left w:val="single" w:color="auto" w:sz="4" w:space="0"/>
              <w:bottom w:val="single" w:color="auto" w:sz="4" w:space="0"/>
              <w:right w:val="single" w:color="auto" w:sz="4" w:space="0"/>
            </w:tcBorders>
            <w:noWrap/>
            <w:vAlign w:val="center"/>
          </w:tcPr>
          <w:p w14:paraId="1343BD9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5E7BF453">
            <w:pPr>
              <w:keepNext w:val="0"/>
              <w:keepLines w:val="0"/>
              <w:pageBreakBefore w:val="0"/>
              <w:widowControl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w:t>
            </w:r>
          </w:p>
        </w:tc>
      </w:tr>
      <w:tr w14:paraId="7CF91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56C31FC">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2137" w:type="dxa"/>
            <w:tcBorders>
              <w:top w:val="single" w:color="auto" w:sz="4" w:space="0"/>
              <w:left w:val="single" w:color="auto" w:sz="4" w:space="0"/>
              <w:bottom w:val="single" w:color="auto" w:sz="4" w:space="0"/>
              <w:right w:val="single" w:color="auto" w:sz="4" w:space="0"/>
            </w:tcBorders>
            <w:noWrap/>
            <w:vAlign w:val="center"/>
          </w:tcPr>
          <w:p w14:paraId="4A55840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4343B455">
            <w:pPr>
              <w:keepNext w:val="0"/>
              <w:keepLines w:val="0"/>
              <w:pageBreakBefore w:val="0"/>
              <w:widowControl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2508-440222-04-01-307369</w:t>
            </w:r>
          </w:p>
        </w:tc>
      </w:tr>
      <w:tr w14:paraId="7C271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5A4C0D6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2137" w:type="dxa"/>
            <w:tcBorders>
              <w:top w:val="single" w:color="auto" w:sz="4" w:space="0"/>
              <w:left w:val="single" w:color="auto" w:sz="4" w:space="0"/>
              <w:bottom w:val="single" w:color="auto" w:sz="4" w:space="0"/>
              <w:right w:val="single" w:color="auto" w:sz="4" w:space="0"/>
            </w:tcBorders>
            <w:noWrap/>
            <w:vAlign w:val="center"/>
          </w:tcPr>
          <w:p w14:paraId="33A3E8F9">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489F806E">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F0CFE0E">
            <w:pPr>
              <w:pStyle w:val="36"/>
              <w:keepNext w:val="0"/>
              <w:keepLines w:val="0"/>
              <w:pageBreakBefore w:val="0"/>
              <w:widowControl w:val="0"/>
              <w:tabs>
                <w:tab w:val="left" w:pos="1180"/>
              </w:tabs>
              <w:kinsoku/>
              <w:overflowPunct/>
              <w:topLinePunct w:val="0"/>
              <w:autoSpaceDE/>
              <w:autoSpaceDN/>
              <w:bidi w:val="0"/>
              <w:spacing w:line="360" w:lineRule="auto"/>
              <w:ind w:left="0"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eastAsia="zh-CN"/>
              </w:rPr>
              <w:t>企业自筹资金</w:t>
            </w:r>
            <w:r>
              <w:rPr>
                <w:rFonts w:hint="eastAsia" w:ascii="宋体" w:hAnsi="宋体" w:eastAsia="宋体" w:cs="宋体"/>
                <w:color w:val="auto"/>
                <w:sz w:val="24"/>
                <w:szCs w:val="24"/>
                <w:highlight w:val="none"/>
              </w:rPr>
              <w:t>100%</w:t>
            </w:r>
          </w:p>
        </w:tc>
      </w:tr>
      <w:tr w14:paraId="2CBBE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1EFEDC4">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137" w:type="dxa"/>
            <w:tcBorders>
              <w:top w:val="single" w:color="auto" w:sz="4" w:space="0"/>
              <w:left w:val="single" w:color="auto" w:sz="4" w:space="0"/>
              <w:bottom w:val="single" w:color="auto" w:sz="4" w:space="0"/>
              <w:right w:val="single" w:color="auto" w:sz="4" w:space="0"/>
            </w:tcBorders>
            <w:noWrap/>
            <w:vAlign w:val="center"/>
          </w:tcPr>
          <w:p w14:paraId="799ACB65">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6A806203">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kern w:val="0"/>
                <w:sz w:val="24"/>
                <w:szCs w:val="24"/>
                <w:highlight w:val="none"/>
                <w:lang w:eastAsia="zh-CN"/>
              </w:rPr>
              <w:t>广东兴展土地整理开发有限公司</w:t>
            </w:r>
          </w:p>
        </w:tc>
      </w:tr>
      <w:tr w14:paraId="0EA93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3C250A9">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8</w:t>
            </w:r>
          </w:p>
        </w:tc>
        <w:tc>
          <w:tcPr>
            <w:tcW w:w="2137" w:type="dxa"/>
            <w:tcBorders>
              <w:top w:val="single" w:color="auto" w:sz="4" w:space="0"/>
              <w:left w:val="single" w:color="auto" w:sz="4" w:space="0"/>
              <w:bottom w:val="single" w:color="auto" w:sz="4" w:space="0"/>
              <w:right w:val="single" w:color="auto" w:sz="4" w:space="0"/>
            </w:tcBorders>
            <w:noWrap/>
            <w:vAlign w:val="center"/>
          </w:tcPr>
          <w:p w14:paraId="6FDF374F">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49AD09D6">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广州穗图项目管理有限公司</w:t>
            </w:r>
          </w:p>
        </w:tc>
      </w:tr>
      <w:tr w14:paraId="3C046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BA7ADB3">
            <w:pPr>
              <w:pStyle w:val="36"/>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9</w:t>
            </w:r>
          </w:p>
        </w:tc>
        <w:tc>
          <w:tcPr>
            <w:tcW w:w="2137" w:type="dxa"/>
            <w:tcBorders>
              <w:top w:val="single" w:color="auto" w:sz="4" w:space="0"/>
              <w:left w:val="single" w:color="auto" w:sz="4" w:space="0"/>
              <w:bottom w:val="single" w:color="auto" w:sz="4" w:space="0"/>
              <w:right w:val="single" w:color="auto" w:sz="4" w:space="0"/>
            </w:tcBorders>
            <w:noWrap/>
            <w:vAlign w:val="center"/>
          </w:tcPr>
          <w:p w14:paraId="0D57CA54">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项目总投资</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4B845EEB">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工程总投资</w:t>
            </w:r>
            <w:r>
              <w:rPr>
                <w:rFonts w:hint="eastAsia" w:ascii="宋体" w:hAnsi="宋体" w:eastAsia="宋体" w:cs="宋体"/>
                <w:color w:val="auto"/>
                <w:sz w:val="24"/>
                <w:szCs w:val="24"/>
                <w:highlight w:val="none"/>
                <w:lang w:val="en-US" w:eastAsia="zh-CN"/>
              </w:rPr>
              <w:t>约180万元</w:t>
            </w:r>
            <w:r>
              <w:rPr>
                <w:rFonts w:hint="eastAsia" w:ascii="宋体" w:hAnsi="宋体" w:eastAsia="宋体" w:cs="宋体"/>
                <w:color w:val="auto"/>
                <w:sz w:val="24"/>
                <w:szCs w:val="24"/>
                <w:highlight w:val="none"/>
                <w:lang w:eastAsia="zh-CN"/>
              </w:rPr>
              <w:t>。</w:t>
            </w:r>
          </w:p>
        </w:tc>
      </w:tr>
      <w:tr w14:paraId="53875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4978800">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137" w:type="dxa"/>
            <w:tcBorders>
              <w:top w:val="single" w:color="auto" w:sz="4" w:space="0"/>
              <w:left w:val="single" w:color="auto" w:sz="4" w:space="0"/>
              <w:bottom w:val="single" w:color="auto" w:sz="4" w:space="0"/>
              <w:right w:val="single" w:color="auto" w:sz="4" w:space="0"/>
            </w:tcBorders>
            <w:noWrap/>
            <w:vAlign w:val="center"/>
          </w:tcPr>
          <w:p w14:paraId="3202270E">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建设地点</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579B4AB4">
            <w:pPr>
              <w:pStyle w:val="36"/>
              <w:keepNext w:val="0"/>
              <w:keepLines w:val="0"/>
              <w:pageBreakBefore w:val="0"/>
              <w:widowControl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eastAsia="zh-CN"/>
              </w:rPr>
              <w:t>始兴县顿岗镇全域土地综合整治项目区域内。</w:t>
            </w:r>
          </w:p>
        </w:tc>
      </w:tr>
      <w:tr w14:paraId="224E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1523747">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137" w:type="dxa"/>
            <w:tcBorders>
              <w:top w:val="single" w:color="auto" w:sz="4" w:space="0"/>
              <w:left w:val="single" w:color="auto" w:sz="4" w:space="0"/>
              <w:bottom w:val="single" w:color="auto" w:sz="4" w:space="0"/>
              <w:right w:val="single" w:color="auto" w:sz="4" w:space="0"/>
            </w:tcBorders>
            <w:noWrap/>
            <w:vAlign w:val="center"/>
          </w:tcPr>
          <w:p w14:paraId="1439F1BD">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项目建设内容</w:t>
            </w:r>
          </w:p>
          <w:p w14:paraId="7C3A989D">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和规模</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5A460944">
            <w:pPr>
              <w:pStyle w:val="7"/>
              <w:keepNext w:val="0"/>
              <w:keepLines w:val="0"/>
              <w:pageBreakBefore w:val="0"/>
              <w:widowControl w:val="0"/>
              <w:kinsoku/>
              <w:wordWrap/>
              <w:overflowPunct/>
              <w:topLinePunct w:val="0"/>
              <w:autoSpaceDE/>
              <w:autoSpaceDN/>
              <w:bidi w:val="0"/>
              <w:adjustRightInd/>
              <w:snapToGrid/>
              <w:spacing w:line="360" w:lineRule="auto"/>
              <w:ind w:left="0"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项目拟建设周所未来社区农房1-17栋屋顶分布式光伏及配套设施。</w:t>
            </w:r>
          </w:p>
        </w:tc>
      </w:tr>
      <w:tr w14:paraId="369D3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0AC6085">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2137" w:type="dxa"/>
            <w:tcBorders>
              <w:top w:val="single" w:color="auto" w:sz="4" w:space="0"/>
              <w:left w:val="single" w:color="auto" w:sz="4" w:space="0"/>
              <w:bottom w:val="single" w:color="auto" w:sz="4" w:space="0"/>
              <w:right w:val="single" w:color="auto" w:sz="4" w:space="0"/>
            </w:tcBorders>
            <w:noWrap/>
            <w:vAlign w:val="center"/>
          </w:tcPr>
          <w:p w14:paraId="311168C7">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p w14:paraId="2B399C62">
            <w:pPr>
              <w:pStyle w:val="36"/>
              <w:jc w:val="center"/>
              <w:rPr>
                <w:rFonts w:hint="eastAsia" w:ascii="宋体" w:hAnsi="宋体" w:eastAsia="宋体" w:cs="宋体"/>
                <w:snapToGrid w:val="0"/>
                <w:color w:val="auto"/>
                <w:kern w:val="0"/>
                <w:sz w:val="24"/>
                <w:szCs w:val="24"/>
                <w:highlight w:val="none"/>
              </w:rPr>
            </w:pP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0C57A57">
            <w:pPr>
              <w:pStyle w:val="36"/>
              <w:keepNext w:val="0"/>
              <w:keepLines w:val="0"/>
              <w:pageBreakBefore w:val="0"/>
              <w:widowControl w:val="0"/>
              <w:kinsoku/>
              <w:wordWrap/>
              <w:overflowPunct/>
              <w:topLinePunct w:val="0"/>
              <w:autoSpaceDE/>
              <w:autoSpaceDN/>
              <w:bidi w:val="0"/>
              <w:adjustRightInd/>
              <w:snapToGrid/>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本工程所涉及的内容包括但不限于以下（1）和（2）：</w:t>
            </w:r>
          </w:p>
          <w:p w14:paraId="6474D79F">
            <w:pPr>
              <w:pStyle w:val="36"/>
              <w:keepNext w:val="0"/>
              <w:keepLines w:val="0"/>
              <w:pageBreakBefore w:val="0"/>
              <w:widowControl w:val="0"/>
              <w:kinsoku/>
              <w:wordWrap/>
              <w:overflowPunct/>
              <w:topLinePunct w:val="0"/>
              <w:autoSpaceDE/>
              <w:autoSpaceDN/>
              <w:bidi w:val="0"/>
              <w:adjustRightInd/>
              <w:snapToGrid/>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）设计部分：本项目的设计范围：</w:t>
            </w:r>
            <w:r>
              <w:rPr>
                <w:rFonts w:hint="eastAsia" w:ascii="宋体" w:hAnsi="宋体" w:eastAsia="宋体" w:cs="宋体"/>
                <w:snapToGrid w:val="0"/>
                <w:color w:val="auto"/>
                <w:kern w:val="0"/>
                <w:highlight w:val="none"/>
                <w:lang w:eastAsia="zh-CN"/>
              </w:rPr>
              <w:t>确保项目顺利实施的规划、报建、施工等所需的所有建安工程等设计文件。包括：施工图设计、施工图审查、</w:t>
            </w:r>
            <w:r>
              <w:rPr>
                <w:rFonts w:hint="eastAsia" w:ascii="宋体" w:hAnsi="宋体" w:eastAsia="宋体" w:cs="宋体"/>
                <w:snapToGrid w:val="0"/>
                <w:color w:val="auto"/>
                <w:kern w:val="0"/>
                <w:highlight w:val="none"/>
                <w:lang w:val="en-US" w:eastAsia="zh-CN"/>
              </w:rPr>
              <w:t>施工和</w:t>
            </w:r>
            <w:r>
              <w:rPr>
                <w:rFonts w:hint="eastAsia" w:ascii="宋体" w:hAnsi="宋体" w:eastAsia="宋体" w:cs="宋体"/>
                <w:snapToGrid w:val="0"/>
                <w:color w:val="auto"/>
                <w:kern w:val="0"/>
                <w:highlight w:val="none"/>
                <w:lang w:eastAsia="zh-CN"/>
              </w:rPr>
              <w:t>验收过程中的设计指导及配合阶段验收等。</w:t>
            </w:r>
          </w:p>
          <w:p w14:paraId="34D33527">
            <w:pPr>
              <w:pStyle w:val="36"/>
              <w:keepNext w:val="0"/>
              <w:keepLines w:val="0"/>
              <w:pageBreakBefore w:val="0"/>
              <w:widowControl w:val="0"/>
              <w:kinsoku/>
              <w:wordWrap/>
              <w:overflowPunct/>
              <w:topLinePunct w:val="0"/>
              <w:autoSpaceDE/>
              <w:autoSpaceDN/>
              <w:bidi w:val="0"/>
              <w:adjustRightInd/>
              <w:snapToGrid/>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（2）施工部分：设计文件及工程量清单范围内的所有工程及配套工程、设施等的施工。</w:t>
            </w:r>
          </w:p>
        </w:tc>
      </w:tr>
      <w:tr w14:paraId="69C25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E8D5FC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2137" w:type="dxa"/>
            <w:tcBorders>
              <w:top w:val="single" w:color="auto" w:sz="4" w:space="0"/>
              <w:left w:val="single" w:color="auto" w:sz="4" w:space="0"/>
              <w:bottom w:val="single" w:color="auto" w:sz="4" w:space="0"/>
              <w:right w:val="single" w:color="auto" w:sz="4" w:space="0"/>
            </w:tcBorders>
            <w:noWrap/>
            <w:vAlign w:val="center"/>
          </w:tcPr>
          <w:p w14:paraId="505CAD51">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标段划分</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371156E">
            <w:pPr>
              <w:keepNext w:val="0"/>
              <w:keepLines w:val="0"/>
              <w:pageBreakBefore w:val="0"/>
              <w:widowControl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本招标项目不划分标段。</w:t>
            </w:r>
          </w:p>
        </w:tc>
      </w:tr>
      <w:tr w14:paraId="08966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0307F0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2137" w:type="dxa"/>
            <w:tcBorders>
              <w:top w:val="single" w:color="auto" w:sz="4" w:space="0"/>
              <w:left w:val="single" w:color="auto" w:sz="4" w:space="0"/>
              <w:bottom w:val="single" w:color="auto" w:sz="4" w:space="0"/>
              <w:right w:val="single" w:color="auto" w:sz="4" w:space="0"/>
            </w:tcBorders>
            <w:noWrap/>
            <w:vAlign w:val="center"/>
          </w:tcPr>
          <w:p w14:paraId="00E014A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工期</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1A17189A">
            <w:pPr>
              <w:keepNext w:val="0"/>
              <w:keepLines w:val="0"/>
              <w:pageBreakBefore w:val="0"/>
              <w:widowControl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本项目设计、施工工期：60</w:t>
            </w:r>
            <w:r>
              <w:rPr>
                <w:rFonts w:hint="eastAsia" w:ascii="宋体" w:hAnsi="宋体" w:eastAsia="宋体" w:cs="宋体"/>
                <w:color w:val="auto"/>
                <w:kern w:val="0"/>
                <w:sz w:val="24"/>
                <w:szCs w:val="24"/>
                <w:highlight w:val="none"/>
                <w:lang w:eastAsia="zh-CN"/>
              </w:rPr>
              <w:t>日历天【其中：设计工期</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lang w:eastAsia="zh-CN"/>
              </w:rPr>
              <w:t>日历天、施工工期</w:t>
            </w:r>
            <w:r>
              <w:rPr>
                <w:rFonts w:hint="eastAsia" w:ascii="宋体" w:hAnsi="宋体" w:eastAsia="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eastAsia="zh-CN"/>
              </w:rPr>
              <w:t>日历天】。</w:t>
            </w:r>
          </w:p>
        </w:tc>
      </w:tr>
      <w:tr w14:paraId="2EC00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36924EB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2137" w:type="dxa"/>
            <w:tcBorders>
              <w:top w:val="single" w:color="auto" w:sz="4" w:space="0"/>
              <w:left w:val="single" w:color="auto" w:sz="4" w:space="0"/>
              <w:bottom w:val="single" w:color="auto" w:sz="4" w:space="0"/>
              <w:right w:val="single" w:color="auto" w:sz="4" w:space="0"/>
            </w:tcBorders>
            <w:noWrap/>
            <w:vAlign w:val="center"/>
          </w:tcPr>
          <w:p w14:paraId="59E43E0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732616C4">
            <w:pPr>
              <w:pStyle w:val="36"/>
              <w:keepNext w:val="0"/>
              <w:keepLines w:val="0"/>
              <w:pageBreakBefore w:val="0"/>
              <w:kinsoku/>
              <w:overflowPunct/>
              <w:topLinePunct w:val="0"/>
              <w:autoSpaceDE/>
              <w:autoSpaceDN/>
              <w:bidi w:val="0"/>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设计要求：符合国家或行业颁布的现行有效的有关设计的规范要求，并必须通过有关部门的审查及经有资质的审图机构审查合格。</w:t>
            </w:r>
          </w:p>
          <w:p w14:paraId="1BAC78B4">
            <w:pPr>
              <w:pStyle w:val="36"/>
              <w:keepNext w:val="0"/>
              <w:keepLines w:val="0"/>
              <w:pageBreakBefore w:val="0"/>
              <w:kinsoku/>
              <w:overflowPunct/>
              <w:topLinePunct w:val="0"/>
              <w:autoSpaceDE/>
              <w:autoSpaceDN/>
              <w:bidi w:val="0"/>
              <w:spacing w:line="360" w:lineRule="auto"/>
              <w:ind w:left="0" w:firstLine="240" w:firstLineChars="100"/>
              <w:jc w:val="left"/>
              <w:textAlignment w:val="auto"/>
              <w:rPr>
                <w:rFonts w:hint="eastAsia" w:ascii="宋体" w:hAnsi="宋体" w:eastAsia="宋体" w:cs="宋体"/>
                <w:bCs/>
                <w:color w:val="auto"/>
                <w:sz w:val="24"/>
                <w:szCs w:val="24"/>
                <w:highlight w:val="none"/>
              </w:rPr>
            </w:pPr>
            <w:r>
              <w:rPr>
                <w:rFonts w:hint="eastAsia" w:ascii="宋体" w:hAnsi="宋体" w:eastAsia="宋体" w:cs="宋体"/>
                <w:snapToGrid w:val="0"/>
                <w:color w:val="auto"/>
                <w:kern w:val="0"/>
                <w:sz w:val="24"/>
                <w:szCs w:val="24"/>
                <w:highlight w:val="none"/>
              </w:rPr>
              <w:t>施工要求：施工质量必须达到合格标准。</w:t>
            </w:r>
          </w:p>
        </w:tc>
      </w:tr>
      <w:tr w14:paraId="6F807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954631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2137" w:type="dxa"/>
            <w:tcBorders>
              <w:top w:val="single" w:color="auto" w:sz="4" w:space="0"/>
              <w:left w:val="single" w:color="auto" w:sz="4" w:space="0"/>
              <w:bottom w:val="single" w:color="auto" w:sz="4" w:space="0"/>
              <w:right w:val="single" w:color="auto" w:sz="4" w:space="0"/>
            </w:tcBorders>
            <w:noWrap/>
            <w:vAlign w:val="center"/>
          </w:tcPr>
          <w:p w14:paraId="4416C3CB">
            <w:pPr>
              <w:pStyle w:val="36"/>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最高投标限价</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161623CC">
            <w:pPr>
              <w:pStyle w:val="36"/>
              <w:keepNext w:val="0"/>
              <w:keepLines w:val="0"/>
              <w:pageBreakBefore w:val="0"/>
              <w:widowControl w:val="0"/>
              <w:kinsoku/>
              <w:wordWrap/>
              <w:overflowPunct/>
              <w:topLinePunct w:val="0"/>
              <w:autoSpaceDE/>
              <w:autoSpaceDN/>
              <w:bidi w:val="0"/>
              <w:adjustRightInd/>
              <w:snapToGrid/>
              <w:spacing w:line="360" w:lineRule="auto"/>
              <w:ind w:left="0" w:firstLine="240" w:firstLineChars="100"/>
              <w:textAlignment w:val="auto"/>
              <w:rPr>
                <w:rFonts w:hint="eastAsia" w:ascii="宋体" w:hAnsi="宋体" w:eastAsia="宋体" w:cs="宋体"/>
                <w:snapToGrid w:val="0"/>
                <w:color w:val="auto"/>
                <w:kern w:val="0"/>
                <w:sz w:val="24"/>
                <w:szCs w:val="24"/>
                <w:highlight w:val="none"/>
                <w:lang w:val="en-US"/>
              </w:rPr>
            </w:pPr>
            <w:r>
              <w:rPr>
                <w:rFonts w:hint="eastAsia" w:ascii="宋体" w:hAnsi="宋体" w:eastAsia="宋体" w:cs="宋体"/>
                <w:color w:val="auto"/>
                <w:sz w:val="24"/>
                <w:szCs w:val="24"/>
                <w:highlight w:val="none"/>
                <w:lang w:eastAsia="zh-CN"/>
              </w:rPr>
              <w:t>本项目最高投标限价为人民币（大写）：</w:t>
            </w:r>
            <w:r>
              <w:rPr>
                <w:rFonts w:hint="eastAsia" w:ascii="宋体" w:hAnsi="宋体" w:eastAsia="宋体" w:cs="宋体"/>
                <w:color w:val="auto"/>
                <w:sz w:val="24"/>
                <w:szCs w:val="24"/>
                <w:highlight w:val="none"/>
                <w:u w:val="single"/>
                <w:lang w:val="en-US" w:eastAsia="zh-CN"/>
              </w:rPr>
              <w:t>壹佰捌拾万元整</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1800000.00</w:t>
            </w:r>
            <w:r>
              <w:rPr>
                <w:rFonts w:hint="eastAsia" w:ascii="宋体" w:hAnsi="宋体" w:eastAsia="宋体" w:cs="宋体"/>
                <w:color w:val="auto"/>
                <w:sz w:val="24"/>
                <w:szCs w:val="24"/>
                <w:highlight w:val="none"/>
                <w:u w:val="single"/>
                <w:lang w:eastAsia="zh-CN"/>
              </w:rPr>
              <w:t>元）</w:t>
            </w:r>
            <w:r>
              <w:rPr>
                <w:rFonts w:hint="eastAsia" w:ascii="宋体" w:hAnsi="宋体" w:eastAsia="宋体" w:cs="宋体"/>
                <w:color w:val="auto"/>
                <w:sz w:val="24"/>
                <w:szCs w:val="24"/>
                <w:highlight w:val="none"/>
                <w:u w:val="single"/>
                <w:lang w:val="en-US" w:eastAsia="zh-CN"/>
              </w:rPr>
              <w:t>（其中：</w:t>
            </w:r>
            <w:r>
              <w:rPr>
                <w:rFonts w:hint="eastAsia" w:ascii="宋体" w:hAnsi="宋体" w:eastAsia="宋体" w:cs="宋体"/>
                <w:color w:val="auto"/>
                <w:sz w:val="24"/>
                <w:szCs w:val="24"/>
                <w:highlight w:val="none"/>
                <w:u w:val="single"/>
                <w:lang w:eastAsia="zh-CN"/>
              </w:rPr>
              <w:t>设计费¥</w:t>
            </w:r>
            <w:r>
              <w:rPr>
                <w:rFonts w:hint="eastAsia" w:ascii="宋体" w:hAnsi="宋体" w:eastAsia="宋体" w:cs="宋体"/>
                <w:color w:val="auto"/>
                <w:sz w:val="24"/>
                <w:szCs w:val="24"/>
                <w:highlight w:val="none"/>
                <w:u w:val="single"/>
                <w:lang w:val="en-US" w:eastAsia="zh-CN"/>
              </w:rPr>
              <w:t>70000.00</w:t>
            </w:r>
            <w:r>
              <w:rPr>
                <w:rFonts w:hint="eastAsia" w:ascii="宋体" w:hAnsi="宋体" w:eastAsia="宋体" w:cs="宋体"/>
                <w:color w:val="auto"/>
                <w:sz w:val="24"/>
                <w:szCs w:val="24"/>
                <w:highlight w:val="none"/>
                <w:u w:val="single"/>
                <w:lang w:eastAsia="zh-CN"/>
              </w:rPr>
              <w:t>元、施工工程费¥</w:t>
            </w:r>
            <w:r>
              <w:rPr>
                <w:rFonts w:hint="eastAsia" w:ascii="宋体" w:hAnsi="宋体" w:eastAsia="宋体" w:cs="宋体"/>
                <w:color w:val="auto"/>
                <w:sz w:val="24"/>
                <w:szCs w:val="24"/>
                <w:highlight w:val="none"/>
                <w:u w:val="single"/>
                <w:lang w:val="en-US" w:eastAsia="zh-CN"/>
              </w:rPr>
              <w:t>1730000.00</w:t>
            </w:r>
            <w:r>
              <w:rPr>
                <w:rFonts w:hint="eastAsia" w:ascii="宋体" w:hAnsi="宋体" w:eastAsia="宋体" w:cs="宋体"/>
                <w:color w:val="auto"/>
                <w:sz w:val="24"/>
                <w:szCs w:val="24"/>
                <w:highlight w:val="none"/>
                <w:u w:val="single"/>
                <w:lang w:eastAsia="zh-CN"/>
              </w:rPr>
              <w:t>元）。</w:t>
            </w:r>
          </w:p>
        </w:tc>
      </w:tr>
      <w:tr w14:paraId="1717B1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gridAfter w:val="1"/>
          <w:wAfter w:w="30" w:type="dxa"/>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FED63A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2137" w:type="dxa"/>
            <w:tcBorders>
              <w:top w:val="single" w:color="auto" w:sz="4" w:space="0"/>
              <w:left w:val="single" w:color="auto" w:sz="4" w:space="0"/>
              <w:bottom w:val="single" w:color="auto" w:sz="4" w:space="0"/>
              <w:right w:val="single" w:color="auto" w:sz="4" w:space="0"/>
            </w:tcBorders>
            <w:noWrap/>
            <w:vAlign w:val="center"/>
          </w:tcPr>
          <w:p w14:paraId="467DDB58">
            <w:pPr>
              <w:pStyle w:val="36"/>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7715" w:type="dxa"/>
            <w:tcBorders>
              <w:top w:val="single" w:color="auto" w:sz="4" w:space="0"/>
              <w:left w:val="single" w:color="auto" w:sz="4" w:space="0"/>
              <w:bottom w:val="single" w:color="auto" w:sz="4" w:space="0"/>
              <w:right w:val="single" w:color="auto" w:sz="4" w:space="0"/>
            </w:tcBorders>
            <w:noWrap/>
            <w:vAlign w:val="center"/>
          </w:tcPr>
          <w:p w14:paraId="6C845B6E">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1．本次招标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接受</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联合体投标，联合体以一个投标人的身份共同投标。</w:t>
            </w:r>
          </w:p>
          <w:p w14:paraId="55DCF8AF">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联合体成员数量不超过</w:t>
            </w:r>
            <w:r>
              <w:rPr>
                <w:rFonts w:hint="eastAsia" w:ascii="宋体" w:hAnsi="宋体" w:eastAsia="宋体" w:cs="宋体"/>
                <w:color w:val="auto"/>
                <w:sz w:val="24"/>
                <w:szCs w:val="24"/>
                <w:highlight w:val="none"/>
                <w:u w:val="single"/>
              </w:rPr>
              <w:t>2</w:t>
            </w:r>
            <w:r>
              <w:rPr>
                <w:rFonts w:hint="eastAsia" w:ascii="宋体" w:hAnsi="宋体" w:eastAsia="宋体" w:cs="宋体"/>
                <w:color w:val="auto"/>
                <w:sz w:val="24"/>
                <w:szCs w:val="24"/>
                <w:highlight w:val="none"/>
              </w:rPr>
              <w:t>个。</w:t>
            </w:r>
          </w:p>
          <w:p w14:paraId="3F12D550">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2117C2B6">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1895D051">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联合体各方不得再以自己名义单独或参加其他联合体在本招标项目中投标，否则各相关投标均无效。</w:t>
            </w:r>
          </w:p>
          <w:p w14:paraId="6218B647">
            <w:pPr>
              <w:keepNext w:val="0"/>
              <w:keepLines w:val="0"/>
              <w:pageBreakBefore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2.资质要求</w:t>
            </w:r>
          </w:p>
          <w:p w14:paraId="31CB9B85">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投标人须具备独立法人</w:t>
            </w:r>
            <w:r>
              <w:rPr>
                <w:rFonts w:hint="eastAsia" w:ascii="宋体" w:hAnsi="宋体" w:eastAsia="宋体" w:cs="宋体"/>
                <w:color w:val="auto"/>
                <w:sz w:val="24"/>
                <w:szCs w:val="24"/>
                <w:highlight w:val="none"/>
                <w:lang w:val="en-US" w:eastAsia="zh-CN"/>
              </w:rPr>
              <w:t>或其他组织资格</w:t>
            </w:r>
            <w:r>
              <w:rPr>
                <w:rFonts w:hint="eastAsia" w:ascii="宋体" w:hAnsi="宋体" w:eastAsia="宋体" w:cs="宋体"/>
                <w:color w:val="auto"/>
                <w:sz w:val="24"/>
                <w:szCs w:val="24"/>
                <w:highlight w:val="none"/>
              </w:rPr>
              <w:t>，按国家法律经营。</w:t>
            </w:r>
          </w:p>
          <w:p w14:paraId="22BC2E84">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2.2.如分公司投标时，需同时满足以下条件：</w:t>
            </w:r>
          </w:p>
          <w:p w14:paraId="5F1F1599">
            <w:pPr>
              <w:pStyle w:val="39"/>
              <w:keepNext w:val="0"/>
              <w:keepLines w:val="0"/>
              <w:pageBreakBefore w:val="0"/>
              <w:numPr>
                <w:ilvl w:val="0"/>
                <w:numId w:val="0"/>
              </w:numPr>
              <w:kinsoku/>
              <w:wordWrap w:val="0"/>
              <w:overflowPunct/>
              <w:topLinePunct w:val="0"/>
              <w:autoSpaceDE/>
              <w:autoSpaceDN/>
              <w:bidi w:val="0"/>
              <w:adjustRightInd w:val="0"/>
              <w:snapToGrid w:val="0"/>
              <w:spacing w:line="360" w:lineRule="auto"/>
              <w:ind w:left="0" w:leftChars="0"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分公司参与投标时，须提供总公司的资质证书和分公司的营业执照，并在总公司的授权范围内进行，需总公司提供授权书（格式自拟）。</w:t>
            </w:r>
          </w:p>
          <w:p w14:paraId="0687F93E">
            <w:pPr>
              <w:pStyle w:val="39"/>
              <w:keepNext w:val="0"/>
              <w:keepLines w:val="0"/>
              <w:pageBreakBefore w:val="0"/>
              <w:numPr>
                <w:ilvl w:val="0"/>
                <w:numId w:val="0"/>
              </w:numPr>
              <w:kinsoku/>
              <w:wordWrap w:val="0"/>
              <w:overflowPunct/>
              <w:topLinePunct w:val="0"/>
              <w:autoSpaceDE/>
              <w:autoSpaceDN/>
              <w:bidi w:val="0"/>
              <w:adjustRightInd w:val="0"/>
              <w:snapToGrid w:val="0"/>
              <w:spacing w:line="360" w:lineRule="auto"/>
              <w:ind w:left="0" w:leftChars="0"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因分公司不具有法人资格，其民事责任由总公司承担，须总公司出具承诺函（格式自拟）。</w:t>
            </w:r>
          </w:p>
          <w:p w14:paraId="00E73C32">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投标人须持有行政主管部门颁发的企业资质证书。</w:t>
            </w:r>
          </w:p>
          <w:p w14:paraId="4662AC96">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参加投标的投标人可以是单一独立法人</w:t>
            </w:r>
            <w:r>
              <w:rPr>
                <w:rFonts w:hint="eastAsia" w:ascii="宋体" w:hAnsi="宋体" w:eastAsia="宋体" w:cs="宋体"/>
                <w:color w:val="auto"/>
                <w:sz w:val="24"/>
                <w:szCs w:val="24"/>
                <w:highlight w:val="none"/>
                <w:lang w:val="en-US" w:eastAsia="zh-CN"/>
              </w:rPr>
              <w:t>或其他组织，</w:t>
            </w:r>
            <w:r>
              <w:rPr>
                <w:rFonts w:hint="eastAsia" w:ascii="宋体" w:hAnsi="宋体" w:eastAsia="宋体" w:cs="宋体"/>
                <w:color w:val="auto"/>
                <w:sz w:val="24"/>
                <w:szCs w:val="24"/>
                <w:highlight w:val="none"/>
              </w:rPr>
              <w:t>或由不超过两家独立法人</w:t>
            </w:r>
            <w:r>
              <w:rPr>
                <w:rFonts w:hint="eastAsia" w:ascii="宋体" w:hAnsi="宋体" w:eastAsia="宋体" w:cs="宋体"/>
                <w:color w:val="auto"/>
                <w:sz w:val="24"/>
                <w:szCs w:val="24"/>
                <w:highlight w:val="none"/>
                <w:lang w:val="en-US" w:eastAsia="zh-CN"/>
              </w:rPr>
              <w:t>或其他组织</w:t>
            </w:r>
            <w:r>
              <w:rPr>
                <w:rFonts w:hint="eastAsia" w:ascii="宋体" w:hAnsi="宋体" w:eastAsia="宋体" w:cs="宋体"/>
                <w:color w:val="auto"/>
                <w:sz w:val="24"/>
                <w:szCs w:val="24"/>
                <w:highlight w:val="none"/>
              </w:rPr>
              <w:t>组成的联合体（必须注明其中一家为牵头人；联合体成员中设计、施工单位分别不得超过一家），联合体各方不得再以自己的名义单独申请，也不得同时参加两个或两个以上的联合体进行本项目的投标。单一独立法人</w:t>
            </w:r>
            <w:r>
              <w:rPr>
                <w:rFonts w:hint="eastAsia" w:ascii="宋体" w:hAnsi="宋体" w:eastAsia="宋体" w:cs="宋体"/>
                <w:color w:val="auto"/>
                <w:sz w:val="24"/>
                <w:szCs w:val="24"/>
                <w:highlight w:val="none"/>
                <w:lang w:val="en-US" w:eastAsia="zh-CN"/>
              </w:rPr>
              <w:t>或其他组织</w:t>
            </w:r>
            <w:r>
              <w:rPr>
                <w:rFonts w:hint="eastAsia" w:ascii="宋体" w:hAnsi="宋体" w:eastAsia="宋体" w:cs="宋体"/>
                <w:color w:val="auto"/>
                <w:sz w:val="24"/>
                <w:szCs w:val="24"/>
                <w:highlight w:val="none"/>
              </w:rPr>
              <w:t>必须至少同时具备以下①～②资质，组成联合体投标的，联合后必须至少具备以下①～②资质，联合体牵头人必须具备①资质，由同一专业的单位组成的联合体，按照资质等级较低的单位确定资质等级：</w:t>
            </w:r>
          </w:p>
          <w:p w14:paraId="14721403">
            <w:pPr>
              <w:keepNext w:val="0"/>
              <w:keepLines w:val="0"/>
              <w:pageBreakBefore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①施工资质</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u w:val="single"/>
              </w:rPr>
              <w:t>具备建设行政主管部门颁发的电力工程施工总承包叁级或及以上资质</w:t>
            </w:r>
            <w:r>
              <w:rPr>
                <w:rFonts w:hint="eastAsia" w:ascii="宋体" w:hAnsi="宋体" w:eastAsia="宋体" w:cs="宋体"/>
                <w:color w:val="auto"/>
                <w:sz w:val="24"/>
                <w:szCs w:val="24"/>
                <w:highlight w:val="none"/>
              </w:rPr>
              <w:t>，同时</w:t>
            </w:r>
            <w:r>
              <w:rPr>
                <w:rFonts w:hint="eastAsia" w:ascii="宋体" w:hAnsi="宋体" w:eastAsia="宋体" w:cs="宋体"/>
                <w:color w:val="auto"/>
                <w:sz w:val="24"/>
                <w:szCs w:val="24"/>
                <w:highlight w:val="none"/>
                <w:lang w:val="en-US" w:eastAsia="zh-CN"/>
              </w:rPr>
              <w:t>持有国家能源局颁发的《承装(修、试)电力设施许可证》承装、承试五级或以上许可，资质须在有效期内。对应于2025年7月1日起换发的电子证照，应为承装类三级、承试类三级或以上许可资格。 【注:依据国家能源局关于做好承装(修、试)电力设施许可证换领和延续工作的通知(国能发资质(2025)44 号)。如有最新政策文件的，从其规定。】</w:t>
            </w:r>
          </w:p>
          <w:p w14:paraId="0A832A56">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color w:val="auto"/>
                <w:sz w:val="24"/>
                <w:szCs w:val="24"/>
                <w:highlight w:val="none"/>
              </w:rPr>
              <w:t>②设计资质要求：</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工程设计综合资质甲级或工程设计</w:t>
            </w:r>
            <w:r>
              <w:rPr>
                <w:rFonts w:hint="eastAsia" w:ascii="宋体" w:hAnsi="宋体" w:eastAsia="宋体" w:cs="宋体"/>
                <w:color w:val="auto"/>
                <w:sz w:val="24"/>
                <w:szCs w:val="24"/>
                <w:highlight w:val="none"/>
                <w:lang w:val="en-US" w:eastAsia="zh-CN"/>
              </w:rPr>
              <w:t>电力行业</w:t>
            </w:r>
            <w:r>
              <w:rPr>
                <w:rFonts w:hint="eastAsia" w:ascii="宋体" w:hAnsi="宋体" w:eastAsia="宋体" w:cs="宋体"/>
                <w:bCs/>
                <w:snapToGrid w:val="0"/>
                <w:color w:val="auto"/>
                <w:kern w:val="0"/>
                <w:sz w:val="24"/>
                <w:szCs w:val="24"/>
                <w:highlight w:val="none"/>
              </w:rPr>
              <w:t>新能源</w:t>
            </w:r>
            <w:r>
              <w:rPr>
                <w:rFonts w:hint="eastAsia" w:ascii="宋体" w:hAnsi="宋体" w:cs="宋体"/>
                <w:bCs/>
                <w:snapToGrid w:val="0"/>
                <w:color w:val="auto"/>
                <w:kern w:val="0"/>
                <w:sz w:val="24"/>
                <w:szCs w:val="24"/>
                <w:highlight w:val="none"/>
                <w:lang w:val="en-US" w:eastAsia="zh-CN"/>
              </w:rPr>
              <w:t>发电</w:t>
            </w:r>
            <w:r>
              <w:rPr>
                <w:rFonts w:hint="eastAsia" w:ascii="宋体" w:hAnsi="宋体" w:eastAsia="宋体" w:cs="宋体"/>
                <w:bCs/>
                <w:snapToGrid w:val="0"/>
                <w:color w:val="auto"/>
                <w:kern w:val="0"/>
                <w:sz w:val="24"/>
                <w:szCs w:val="24"/>
                <w:highlight w:val="none"/>
              </w:rPr>
              <w:t>乙级</w:t>
            </w:r>
            <w:r>
              <w:rPr>
                <w:rFonts w:hint="eastAsia" w:ascii="宋体" w:hAnsi="宋体" w:eastAsia="宋体" w:cs="宋体"/>
                <w:bCs/>
                <w:snapToGrid w:val="0"/>
                <w:color w:val="auto"/>
                <w:kern w:val="0"/>
                <w:sz w:val="24"/>
                <w:szCs w:val="24"/>
                <w:highlight w:val="none"/>
                <w:lang w:val="en-US" w:eastAsia="zh-CN"/>
              </w:rPr>
              <w:t>（含乙级）</w:t>
            </w:r>
            <w:r>
              <w:rPr>
                <w:rFonts w:hint="eastAsia" w:ascii="宋体" w:hAnsi="宋体" w:eastAsia="宋体" w:cs="宋体"/>
                <w:bCs/>
                <w:snapToGrid w:val="0"/>
                <w:color w:val="auto"/>
                <w:kern w:val="0"/>
                <w:sz w:val="24"/>
                <w:szCs w:val="24"/>
                <w:highlight w:val="none"/>
              </w:rPr>
              <w:t>资质</w:t>
            </w:r>
            <w:r>
              <w:rPr>
                <w:rFonts w:hint="eastAsia" w:ascii="宋体" w:hAnsi="宋体" w:eastAsia="宋体" w:cs="宋体"/>
                <w:bCs/>
                <w:snapToGrid w:val="0"/>
                <w:color w:val="auto"/>
                <w:kern w:val="0"/>
                <w:sz w:val="24"/>
                <w:szCs w:val="24"/>
                <w:highlight w:val="none"/>
                <w:lang w:val="en-US" w:eastAsia="zh-CN"/>
              </w:rPr>
              <w:t>及以上</w:t>
            </w:r>
            <w:r>
              <w:rPr>
                <w:rFonts w:hint="eastAsia" w:ascii="宋体" w:hAnsi="宋体" w:eastAsia="宋体" w:cs="宋体"/>
                <w:bCs/>
                <w:snapToGrid w:val="0"/>
                <w:color w:val="auto"/>
                <w:kern w:val="0"/>
                <w:sz w:val="24"/>
                <w:szCs w:val="24"/>
                <w:highlight w:val="none"/>
                <w:lang w:eastAsia="zh-CN"/>
              </w:rPr>
              <w:t>。</w:t>
            </w:r>
          </w:p>
          <w:p w14:paraId="75B31FCE">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EC95783">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相关人员要求</w:t>
            </w:r>
          </w:p>
          <w:p w14:paraId="0F1E1AE1">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拟派项目经理为</w:t>
            </w:r>
            <w:r>
              <w:rPr>
                <w:rFonts w:hint="eastAsia" w:ascii="宋体" w:hAnsi="宋体" w:eastAsia="宋体" w:cs="宋体"/>
                <w:color w:val="auto"/>
                <w:sz w:val="24"/>
                <w:szCs w:val="24"/>
                <w:highlight w:val="none"/>
                <w:u w:val="single"/>
                <w:lang w:eastAsia="zh-CN"/>
              </w:rPr>
              <w:t>机电工程</w:t>
            </w:r>
            <w:r>
              <w:rPr>
                <w:rFonts w:hint="eastAsia" w:ascii="宋体" w:hAnsi="宋体" w:eastAsia="宋体" w:cs="宋体"/>
                <w:color w:val="auto"/>
                <w:sz w:val="24"/>
                <w:szCs w:val="24"/>
                <w:highlight w:val="none"/>
                <w:u w:val="none"/>
                <w:lang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5A485CE9">
            <w:pPr>
              <w:pStyle w:val="7"/>
              <w:keepNext w:val="0"/>
              <w:keepLines w:val="0"/>
              <w:pageBreakBefore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投标人拟派项目技术负责人须具备</w:t>
            </w:r>
            <w:r>
              <w:rPr>
                <w:rFonts w:hint="eastAsia" w:ascii="宋体" w:hAnsi="宋体" w:eastAsia="宋体" w:cs="宋体"/>
                <w:color w:val="auto"/>
                <w:sz w:val="24"/>
                <w:szCs w:val="24"/>
                <w:highlight w:val="none"/>
                <w:u w:val="single"/>
              </w:rPr>
              <w:t>中级</w:t>
            </w:r>
            <w:r>
              <w:rPr>
                <w:rFonts w:hint="eastAsia" w:ascii="宋体" w:hAnsi="宋体" w:eastAsia="宋体" w:cs="宋体"/>
                <w:color w:val="auto"/>
                <w:sz w:val="24"/>
                <w:szCs w:val="24"/>
                <w:highlight w:val="none"/>
              </w:rPr>
              <w:t>以上(含中级)技术职称。</w:t>
            </w:r>
          </w:p>
          <w:p w14:paraId="2920FE41">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3.3.投标人拟派项目设计负责人具有</w:t>
            </w:r>
            <w:r>
              <w:rPr>
                <w:rFonts w:hint="eastAsia" w:ascii="宋体" w:hAnsi="宋体" w:eastAsia="宋体" w:cs="宋体"/>
                <w:color w:val="auto"/>
                <w:sz w:val="24"/>
                <w:szCs w:val="24"/>
                <w:highlight w:val="none"/>
                <w:u w:val="single"/>
                <w:lang w:val="en-US" w:eastAsia="zh-CN"/>
              </w:rPr>
              <w:t>电力工程相关</w:t>
            </w:r>
            <w:r>
              <w:rPr>
                <w:rFonts w:hint="eastAsia" w:ascii="宋体" w:hAnsi="宋体" w:eastAsia="宋体" w:cs="宋体"/>
                <w:color w:val="auto"/>
                <w:sz w:val="24"/>
                <w:szCs w:val="24"/>
                <w:highlight w:val="none"/>
                <w:lang w:val="en-US" w:eastAsia="zh-CN"/>
              </w:rPr>
              <w:t>专业</w:t>
            </w:r>
            <w:r>
              <w:rPr>
                <w:rFonts w:hint="eastAsia" w:ascii="宋体" w:hAnsi="宋体" w:eastAsia="宋体" w:cs="宋体"/>
                <w:color w:val="auto"/>
                <w:sz w:val="24"/>
                <w:szCs w:val="24"/>
                <w:highlight w:val="none"/>
                <w:u w:val="single"/>
                <w:lang w:val="en-US" w:eastAsia="zh-CN"/>
              </w:rPr>
              <w:t>中级</w:t>
            </w:r>
            <w:r>
              <w:rPr>
                <w:rFonts w:hint="eastAsia" w:ascii="宋体" w:hAnsi="宋体" w:eastAsia="宋体" w:cs="宋体"/>
                <w:color w:val="auto"/>
                <w:sz w:val="24"/>
                <w:szCs w:val="24"/>
                <w:highlight w:val="none"/>
                <w:lang w:val="en-US" w:eastAsia="zh-CN"/>
              </w:rPr>
              <w:t>以上（含中级）技术职称。</w:t>
            </w:r>
          </w:p>
          <w:p w14:paraId="4ABE40C8">
            <w:pPr>
              <w:pStyle w:val="39"/>
              <w:keepNext w:val="0"/>
              <w:keepLines w:val="0"/>
              <w:pageBreakBefore w:val="0"/>
              <w:kinsoku/>
              <w:wordWrap w:val="0"/>
              <w:overflowPunct/>
              <w:topLinePunct w:val="0"/>
              <w:autoSpaceDE/>
              <w:autoSpaceDN/>
              <w:bidi w:val="0"/>
              <w:adjustRightInd w:val="0"/>
              <w:snapToGrid w:val="0"/>
              <w:spacing w:line="360" w:lineRule="auto"/>
              <w:ind w:lef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拟派专职安全生产管理人员须具备有效安全生产考核合格证明（C证，安全生产考核合格证书或广东省建筑施工企业管理人员安全生产考核系统考核合格信息打印页），且不少于1人。</w:t>
            </w:r>
          </w:p>
          <w:p w14:paraId="012ADBCD">
            <w:pPr>
              <w:keepNext w:val="0"/>
              <w:keepLines w:val="0"/>
              <w:pageBreakBefore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r>
              <w:rPr>
                <w:rFonts w:hint="eastAsia"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投标人（包括组成联合体的所有成员单位）与其拟派往本项目管理机构的所有人员之间必须具备合法、唯一的劳动聘用关系。拟派人员中具备注册执业资格的，其注册单位须与投标人保持一致。</w:t>
            </w:r>
          </w:p>
          <w:p w14:paraId="7CC9CC27">
            <w:pPr>
              <w:keepNext w:val="0"/>
              <w:keepLines w:val="0"/>
              <w:pageBreakBefore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禁止投标条款：</w:t>
            </w:r>
          </w:p>
          <w:p w14:paraId="6C91792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hint="eastAsia"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投标人不得存在下列情形之一：</w:t>
            </w:r>
          </w:p>
          <w:p w14:paraId="20B2CB1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w:t>
            </w:r>
            <w:r>
              <w:rPr>
                <w:rFonts w:hint="eastAsia" w:ascii="宋体" w:hAnsi="宋体" w:eastAsia="宋体" w:cs="宋体"/>
                <w:color w:val="auto"/>
                <w:sz w:val="24"/>
                <w:szCs w:val="24"/>
                <w:highlight w:val="none"/>
                <w:lang w:val="en-US" w:eastAsia="zh-CN"/>
              </w:rPr>
              <w:t>或其他组织</w:t>
            </w:r>
            <w:r>
              <w:rPr>
                <w:rFonts w:hint="eastAsia" w:ascii="宋体" w:hAnsi="宋体" w:eastAsia="宋体" w:cs="宋体"/>
                <w:color w:val="auto"/>
                <w:sz w:val="24"/>
                <w:szCs w:val="24"/>
                <w:highlight w:val="none"/>
              </w:rPr>
              <w:t>的附属机构（单位）；</w:t>
            </w:r>
          </w:p>
          <w:p w14:paraId="0CF5582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（2）为本招标项目前期准备提供咨询服务的；</w:t>
            </w:r>
          </w:p>
          <w:p w14:paraId="62BFC37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14:paraId="657E58E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14:paraId="47EA81A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（5）为本招标项目的监理人；</w:t>
            </w:r>
          </w:p>
          <w:p w14:paraId="003C565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（6）为本招标项目的代建人；</w:t>
            </w:r>
          </w:p>
          <w:p w14:paraId="5F83D6E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（7）为本招标项目的招标代理机构；</w:t>
            </w:r>
          </w:p>
          <w:p w14:paraId="6B264D6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（8）与本招标项目的监理人或代建人或招标代理机构同为一个法定代表人；</w:t>
            </w:r>
          </w:p>
          <w:p w14:paraId="413BC96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（9）与本招标项目的监理人或代建人或招标代理机构存在控股或参股关系；</w:t>
            </w:r>
          </w:p>
          <w:p w14:paraId="60D3AFE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（10）与本招标项目的监理人或代建人或招标代理机构存在相互任职或工作关系；</w:t>
            </w:r>
          </w:p>
          <w:p w14:paraId="28E83D1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（11）被依法暂停或者取消投标资格；</w:t>
            </w:r>
          </w:p>
          <w:p w14:paraId="675F59D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（12）被责令停产停业、暂扣或者吊销许可证、暂扣或者吊销执照；</w:t>
            </w:r>
          </w:p>
          <w:p w14:paraId="34E70A9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（13）进入清算程序，或被宣告破产，或其他丧失履约能力的情形；</w:t>
            </w:r>
          </w:p>
          <w:p w14:paraId="7DADBB9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（14）在最近三年内发生重大工程质量或安全问题（以相关行业主管部门的行政处罚决定或司法机关出具的有关法律文书为准）；</w:t>
            </w:r>
          </w:p>
          <w:p w14:paraId="3383399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（15）被“信用中国”网站（https://www.creditchina.gov.cn）发布的《法人和非法人组织公共信用信息报告》列入严重失信主体名单的。</w:t>
            </w:r>
          </w:p>
          <w:p w14:paraId="5A0A5962">
            <w:pPr>
              <w:keepNext w:val="0"/>
              <w:keepLines w:val="0"/>
              <w:pageBreakBefore w:val="0"/>
              <w:kinsoku/>
              <w:wordWrap w:val="0"/>
              <w:overflowPunct/>
              <w:topLinePunct w:val="0"/>
              <w:autoSpaceDE/>
              <w:autoSpaceDN/>
              <w:bidi w:val="0"/>
              <w:adjustRightInd w:val="0"/>
              <w:snapToGrid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r>
              <w:rPr>
                <w:rFonts w:hint="eastAsia"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招标人拒绝以下名单中的单位参加本次投标：</w:t>
            </w:r>
          </w:p>
          <w:tbl>
            <w:tblPr>
              <w:tblStyle w:val="25"/>
              <w:tblW w:w="7801"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3539"/>
              <w:gridCol w:w="3578"/>
            </w:tblGrid>
            <w:tr w14:paraId="76B9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4" w:type="dxa"/>
                  <w:noWrap/>
                  <w:vAlign w:val="center"/>
                </w:tcPr>
                <w:p w14:paraId="68F76F19">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3539" w:type="dxa"/>
                  <w:noWrap/>
                  <w:vAlign w:val="center"/>
                </w:tcPr>
                <w:p w14:paraId="7F0425E3">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单位名称</w:t>
                  </w:r>
                </w:p>
              </w:tc>
              <w:tc>
                <w:tcPr>
                  <w:tcW w:w="3578" w:type="dxa"/>
                  <w:noWrap/>
                  <w:vAlign w:val="center"/>
                </w:tcPr>
                <w:p w14:paraId="56DDDB0F">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拒绝原因</w:t>
                  </w:r>
                </w:p>
              </w:tc>
            </w:tr>
            <w:tr w14:paraId="24A0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4" w:type="dxa"/>
                  <w:noWrap/>
                  <w:vAlign w:val="center"/>
                </w:tcPr>
                <w:p w14:paraId="5E80B08F">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39" w:type="dxa"/>
                  <w:noWrap/>
                  <w:vAlign w:val="center"/>
                </w:tcPr>
                <w:p w14:paraId="64A235D7">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广东兴展土地整理开发有限公司</w:t>
                  </w:r>
                </w:p>
              </w:tc>
              <w:tc>
                <w:tcPr>
                  <w:tcW w:w="3578" w:type="dxa"/>
                  <w:noWrap/>
                  <w:vAlign w:val="center"/>
                </w:tcPr>
                <w:p w14:paraId="526571A2">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4D90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4" w:type="dxa"/>
                  <w:noWrap/>
                  <w:vAlign w:val="center"/>
                </w:tcPr>
                <w:p w14:paraId="474F2F7F">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539" w:type="dxa"/>
                  <w:noWrap/>
                  <w:vAlign w:val="center"/>
                </w:tcPr>
                <w:p w14:paraId="71F56D45">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广州穗图项目管理有限公司</w:t>
                  </w:r>
                </w:p>
              </w:tc>
              <w:tc>
                <w:tcPr>
                  <w:tcW w:w="3578" w:type="dxa"/>
                  <w:noWrap/>
                  <w:vAlign w:val="center"/>
                </w:tcPr>
                <w:p w14:paraId="6B8BFB71">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为本招标项目的招标代理机构</w:t>
                  </w:r>
                </w:p>
              </w:tc>
            </w:tr>
            <w:tr w14:paraId="2F9E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4" w:type="dxa"/>
                  <w:noWrap/>
                  <w:vAlign w:val="center"/>
                </w:tcPr>
                <w:p w14:paraId="7B95C021">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3539" w:type="dxa"/>
                  <w:noWrap/>
                  <w:vAlign w:val="center"/>
                </w:tcPr>
                <w:p w14:paraId="5C4BCB7E">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广东省国际工程咨询有限公司</w:t>
                  </w:r>
                </w:p>
              </w:tc>
              <w:tc>
                <w:tcPr>
                  <w:tcW w:w="3578" w:type="dxa"/>
                  <w:noWrap/>
                  <w:vAlign w:val="center"/>
                </w:tcPr>
                <w:p w14:paraId="6FCF21FC">
                  <w:pPr>
                    <w:keepNext w:val="0"/>
                    <w:keepLines w:val="0"/>
                    <w:pageBreakBefore w:val="0"/>
                    <w:widowControl w:val="0"/>
                    <w:kinsoku/>
                    <w:wordWrap w:val="0"/>
                    <w:overflowPunct/>
                    <w:topLinePunct w:val="0"/>
                    <w:autoSpaceDE/>
                    <w:autoSpaceDN/>
                    <w:bidi w:val="0"/>
                    <w:adjustRightInd w:val="0"/>
                    <w:snapToGrid w:val="0"/>
                    <w:spacing w:line="360" w:lineRule="auto"/>
                    <w:ind w:lef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为本招标项目的</w:t>
                  </w:r>
                  <w:r>
                    <w:rPr>
                      <w:rFonts w:hint="eastAsia" w:ascii="宋体" w:hAnsi="宋体" w:eastAsia="宋体" w:cs="宋体"/>
                      <w:color w:val="auto"/>
                      <w:sz w:val="24"/>
                      <w:szCs w:val="24"/>
                      <w:highlight w:val="none"/>
                      <w:lang w:val="en-US" w:eastAsia="zh-CN"/>
                    </w:rPr>
                    <w:t>可行性研究报告编制</w:t>
                  </w:r>
                </w:p>
              </w:tc>
            </w:tr>
          </w:tbl>
          <w:p w14:paraId="338E6B2F">
            <w:pPr>
              <w:pStyle w:val="40"/>
              <w:keepNext w:val="0"/>
              <w:keepLines w:val="0"/>
              <w:pageBreakBefore w:val="0"/>
              <w:kinsoku/>
              <w:overflowPunct/>
              <w:topLinePunct w:val="0"/>
              <w:autoSpaceDE/>
              <w:autoSpaceDN/>
              <w:bidi w:val="0"/>
              <w:spacing w:line="360" w:lineRule="auto"/>
              <w:ind w:left="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31AA4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gridAfter w:val="1"/>
          <w:wAfter w:w="30" w:type="dxa"/>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28598DD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2137" w:type="dxa"/>
            <w:tcBorders>
              <w:top w:val="single" w:color="auto" w:sz="4" w:space="0"/>
              <w:left w:val="single" w:color="auto" w:sz="4" w:space="0"/>
              <w:bottom w:val="single" w:color="auto" w:sz="4" w:space="0"/>
              <w:right w:val="single" w:color="auto" w:sz="4" w:space="0"/>
            </w:tcBorders>
            <w:noWrap/>
            <w:vAlign w:val="center"/>
          </w:tcPr>
          <w:p w14:paraId="0CADB08D">
            <w:pPr>
              <w:snapToGrid w:val="0"/>
              <w:spacing w:beforeLines="5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投标保证</w:t>
            </w:r>
          </w:p>
        </w:tc>
        <w:tc>
          <w:tcPr>
            <w:tcW w:w="7715" w:type="dxa"/>
            <w:tcBorders>
              <w:top w:val="single" w:color="auto" w:sz="4" w:space="0"/>
              <w:left w:val="single" w:color="auto" w:sz="4" w:space="0"/>
              <w:bottom w:val="single" w:color="auto" w:sz="4" w:space="0"/>
              <w:right w:val="single" w:color="auto" w:sz="4" w:space="0"/>
            </w:tcBorders>
            <w:noWrap/>
            <w:vAlign w:val="center"/>
          </w:tcPr>
          <w:p w14:paraId="4C99B69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投标人须缴纳金额为人民币</w:t>
            </w:r>
            <w:r>
              <w:rPr>
                <w:rFonts w:hint="eastAsia" w:ascii="宋体" w:hAnsi="宋体" w:eastAsia="宋体" w:cs="宋体"/>
                <w:b/>
                <w:bCs/>
                <w:snapToGrid w:val="0"/>
                <w:color w:val="auto"/>
                <w:kern w:val="0"/>
                <w:sz w:val="24"/>
                <w:szCs w:val="24"/>
                <w:highlight w:val="none"/>
                <w:u w:val="single"/>
                <w:lang w:val="en-US" w:eastAsia="zh-CN"/>
              </w:rPr>
              <w:t>叁</w:t>
            </w:r>
            <w:r>
              <w:rPr>
                <w:rFonts w:hint="eastAsia" w:ascii="宋体" w:hAnsi="宋体" w:eastAsia="宋体" w:cs="宋体"/>
                <w:b/>
                <w:bCs/>
                <w:snapToGrid w:val="0"/>
                <w:color w:val="auto"/>
                <w:kern w:val="0"/>
                <w:sz w:val="24"/>
                <w:szCs w:val="24"/>
                <w:highlight w:val="none"/>
                <w:u w:val="single"/>
              </w:rPr>
              <w:t>万元整</w:t>
            </w:r>
            <w:r>
              <w:rPr>
                <w:rFonts w:hint="eastAsia" w:ascii="宋体" w:hAnsi="宋体" w:eastAsia="宋体" w:cs="宋体"/>
                <w:snapToGrid w:val="0"/>
                <w:color w:val="auto"/>
                <w:kern w:val="0"/>
                <w:sz w:val="24"/>
                <w:szCs w:val="24"/>
                <w:highlight w:val="none"/>
              </w:rPr>
              <w:t>的投标保证。联合体投标的，由联合体牵头人缴纳。</w:t>
            </w:r>
          </w:p>
          <w:p w14:paraId="49F6A9E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投标保证的形式包括投标保证金、投标保证担保、投标保证保险三种，</w:t>
            </w:r>
          </w:p>
          <w:p w14:paraId="037B2AD4">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由投标人自主选择。</w:t>
            </w:r>
          </w:p>
          <w:p w14:paraId="1A089F3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重要事项时间地点一览表”）前，从其基本账户将投标保证金转账到指定的缴纳账号。逾期到账的、从非投标人基本账户转出的，其投标无效。</w:t>
            </w:r>
          </w:p>
          <w:p w14:paraId="54C15E3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银行保函，银行保函的有效期不得短于投标有效期。投标人必须在投标保证担保截止时间（见本章“重要事项时间地点一览表”）前，使用工程建设交易系统完成网上办理电子保函。</w:t>
            </w:r>
          </w:p>
          <w:p w14:paraId="1799516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见本章“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2F40BD7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710E5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8269FF3">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19</w:t>
            </w:r>
          </w:p>
        </w:tc>
        <w:tc>
          <w:tcPr>
            <w:tcW w:w="2137" w:type="dxa"/>
            <w:tcBorders>
              <w:top w:val="single" w:color="auto" w:sz="4" w:space="0"/>
              <w:left w:val="single" w:color="auto" w:sz="4" w:space="0"/>
              <w:bottom w:val="single" w:color="auto" w:sz="4" w:space="0"/>
              <w:right w:val="single" w:color="auto" w:sz="4" w:space="0"/>
            </w:tcBorders>
            <w:noWrap/>
            <w:vAlign w:val="center"/>
          </w:tcPr>
          <w:p w14:paraId="37A643B5">
            <w:pPr>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投标有效期</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2E3D625">
            <w:pPr>
              <w:wordWrap w:val="0"/>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snapToGrid w:val="0"/>
                <w:color w:val="auto"/>
                <w:kern w:val="0"/>
                <w:sz w:val="24"/>
                <w:szCs w:val="24"/>
                <w:highlight w:val="none"/>
              </w:rPr>
              <w:t xml:space="preserve">  本次招标的投标有效期为</w:t>
            </w:r>
            <w:r>
              <w:rPr>
                <w:rFonts w:hint="eastAsia" w:ascii="宋体" w:hAnsi="宋体" w:eastAsia="宋体" w:cs="宋体"/>
                <w:snapToGrid w:val="0"/>
                <w:color w:val="auto"/>
                <w:kern w:val="0"/>
                <w:sz w:val="24"/>
                <w:szCs w:val="24"/>
                <w:highlight w:val="none"/>
                <w:u w:val="single"/>
                <w:lang w:val="en-US" w:eastAsia="zh-CN"/>
              </w:rPr>
              <w:t xml:space="preserve"> 90 </w:t>
            </w:r>
            <w:r>
              <w:rPr>
                <w:rFonts w:hint="eastAsia" w:ascii="宋体" w:hAnsi="宋体" w:eastAsia="宋体" w:cs="宋体"/>
                <w:snapToGrid w:val="0"/>
                <w:color w:val="auto"/>
                <w:kern w:val="0"/>
                <w:sz w:val="24"/>
                <w:szCs w:val="24"/>
                <w:highlight w:val="none"/>
              </w:rPr>
              <w:t>个日历天。</w:t>
            </w:r>
          </w:p>
        </w:tc>
      </w:tr>
      <w:tr w14:paraId="34EEF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4BBF9B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2137" w:type="dxa"/>
            <w:tcBorders>
              <w:top w:val="single" w:color="auto" w:sz="4" w:space="0"/>
              <w:left w:val="single" w:color="auto" w:sz="4" w:space="0"/>
              <w:bottom w:val="single" w:color="auto" w:sz="4" w:space="0"/>
              <w:right w:val="single" w:color="auto" w:sz="4" w:space="0"/>
            </w:tcBorders>
            <w:noWrap/>
            <w:vAlign w:val="center"/>
          </w:tcPr>
          <w:p w14:paraId="03481FB9">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投标文件组成</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4F55E752">
            <w:pPr>
              <w:wordWrap w:val="0"/>
              <w:adjustRightInd w:val="0"/>
              <w:snapToGrid w:val="0"/>
              <w:spacing w:line="360" w:lineRule="auto"/>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投标标书分为一册。</w:t>
            </w:r>
          </w:p>
        </w:tc>
      </w:tr>
      <w:tr w14:paraId="33A71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0B078B6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2137" w:type="dxa"/>
            <w:tcBorders>
              <w:top w:val="single" w:color="auto" w:sz="4" w:space="0"/>
              <w:left w:val="single" w:color="auto" w:sz="4" w:space="0"/>
              <w:bottom w:val="single" w:color="auto" w:sz="4" w:space="0"/>
              <w:right w:val="single" w:color="auto" w:sz="4" w:space="0"/>
            </w:tcBorders>
            <w:noWrap/>
            <w:vAlign w:val="center"/>
          </w:tcPr>
          <w:p w14:paraId="09D516F5">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2E41DB38">
            <w:pPr>
              <w:wordWrap w:val="0"/>
              <w:adjustRightInd w:val="0"/>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人组成，其中招标人代表0人，专家</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人。专家从广东省综合评标评审专家库－韶关区域中随机抽取，其中技术类专家</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人，经济类专家2人。</w:t>
            </w:r>
          </w:p>
        </w:tc>
      </w:tr>
      <w:tr w14:paraId="6B3690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3519BE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2137" w:type="dxa"/>
            <w:tcBorders>
              <w:top w:val="single" w:color="auto" w:sz="4" w:space="0"/>
              <w:left w:val="single" w:color="auto" w:sz="4" w:space="0"/>
              <w:bottom w:val="single" w:color="auto" w:sz="4" w:space="0"/>
              <w:right w:val="single" w:color="auto" w:sz="4" w:space="0"/>
            </w:tcBorders>
            <w:noWrap/>
            <w:vAlign w:val="center"/>
          </w:tcPr>
          <w:p w14:paraId="77E398B0">
            <w:pPr>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558E5C3A">
            <w:pPr>
              <w:wordWrap w:val="0"/>
              <w:adjustRightInd w:val="0"/>
              <w:snapToGrid w:val="0"/>
              <w:spacing w:line="24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综合评估法</w:t>
            </w:r>
          </w:p>
        </w:tc>
      </w:tr>
      <w:tr w14:paraId="4A695D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B67E8F3">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137" w:type="dxa"/>
            <w:tcBorders>
              <w:top w:val="single" w:color="auto" w:sz="4" w:space="0"/>
              <w:left w:val="single" w:color="auto" w:sz="4" w:space="0"/>
              <w:bottom w:val="single" w:color="auto" w:sz="4" w:space="0"/>
              <w:right w:val="single" w:color="auto" w:sz="4" w:space="0"/>
            </w:tcBorders>
            <w:noWrap/>
            <w:vAlign w:val="center"/>
          </w:tcPr>
          <w:p w14:paraId="2B2378B3">
            <w:pPr>
              <w:pStyle w:val="36"/>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安全文明施工</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06D5A340">
            <w:pPr>
              <w:pStyle w:val="36"/>
              <w:spacing w:line="240" w:lineRule="auto"/>
              <w:ind w:firstLine="240" w:firstLineChars="1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达到国家、省、市有关标准</w:t>
            </w:r>
            <w:r>
              <w:rPr>
                <w:rFonts w:hint="eastAsia" w:ascii="宋体" w:hAnsi="宋体" w:eastAsia="宋体" w:cs="宋体"/>
                <w:color w:val="auto"/>
                <w:sz w:val="24"/>
                <w:szCs w:val="24"/>
                <w:highlight w:val="none"/>
                <w:lang w:eastAsia="zh-CN"/>
              </w:rPr>
              <w:t>。</w:t>
            </w:r>
          </w:p>
        </w:tc>
      </w:tr>
      <w:tr w14:paraId="4D7A6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2D73984">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137" w:type="dxa"/>
            <w:tcBorders>
              <w:top w:val="single" w:color="auto" w:sz="4" w:space="0"/>
              <w:left w:val="single" w:color="auto" w:sz="4" w:space="0"/>
              <w:bottom w:val="single" w:color="auto" w:sz="4" w:space="0"/>
              <w:right w:val="single" w:color="auto" w:sz="4" w:space="0"/>
            </w:tcBorders>
            <w:noWrap/>
            <w:vAlign w:val="center"/>
          </w:tcPr>
          <w:p w14:paraId="71BFB749">
            <w:pPr>
              <w:pStyle w:val="36"/>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房屋建筑工程</w:t>
            </w:r>
          </w:p>
          <w:p w14:paraId="18F594FE">
            <w:pPr>
              <w:pStyle w:val="36"/>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绿色建筑标准</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69798C6E">
            <w:pPr>
              <w:pStyle w:val="36"/>
              <w:spacing w:line="24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本招标项目不纳入绿色建筑实施范围。</w:t>
            </w:r>
          </w:p>
        </w:tc>
      </w:tr>
      <w:tr w14:paraId="4044B4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241A6C6">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137" w:type="dxa"/>
            <w:tcBorders>
              <w:top w:val="single" w:color="auto" w:sz="4" w:space="0"/>
              <w:left w:val="single" w:color="auto" w:sz="4" w:space="0"/>
              <w:bottom w:val="single" w:color="auto" w:sz="4" w:space="0"/>
              <w:right w:val="single" w:color="auto" w:sz="4" w:space="0"/>
            </w:tcBorders>
            <w:noWrap/>
            <w:vAlign w:val="center"/>
          </w:tcPr>
          <w:p w14:paraId="22171AA4">
            <w:pPr>
              <w:pStyle w:val="36"/>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工程款支付</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2CF778F0">
            <w:pPr>
              <w:pStyle w:val="36"/>
              <w:spacing w:line="240" w:lineRule="auto"/>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详见本招标文件“</w:t>
            </w:r>
            <w:r>
              <w:rPr>
                <w:rFonts w:hint="eastAsia" w:ascii="宋体" w:hAnsi="宋体" w:eastAsia="宋体" w:cs="宋体"/>
                <w:color w:val="auto"/>
                <w:sz w:val="24"/>
                <w:szCs w:val="24"/>
                <w:highlight w:val="none"/>
                <w:lang w:val="en-US" w:eastAsia="zh-CN"/>
              </w:rPr>
              <w:t xml:space="preserve">4 </w:t>
            </w:r>
            <w:r>
              <w:rPr>
                <w:rFonts w:hint="eastAsia" w:ascii="宋体" w:hAnsi="宋体" w:eastAsia="宋体" w:cs="宋体"/>
                <w:color w:val="auto"/>
                <w:sz w:val="24"/>
                <w:szCs w:val="24"/>
                <w:highlight w:val="none"/>
              </w:rPr>
              <w:t>工程付款办法”</w:t>
            </w:r>
          </w:p>
        </w:tc>
      </w:tr>
      <w:tr w14:paraId="780575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2D45866">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137" w:type="dxa"/>
            <w:tcBorders>
              <w:top w:val="single" w:color="auto" w:sz="4" w:space="0"/>
              <w:left w:val="single" w:color="auto" w:sz="4" w:space="0"/>
              <w:bottom w:val="single" w:color="auto" w:sz="4" w:space="0"/>
              <w:right w:val="single" w:color="auto" w:sz="4" w:space="0"/>
            </w:tcBorders>
            <w:noWrap/>
            <w:vAlign w:val="center"/>
          </w:tcPr>
          <w:p w14:paraId="6AD31F59">
            <w:pPr>
              <w:pStyle w:val="36"/>
              <w:spacing w:line="24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工程质量保证金</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298AE5C9">
            <w:pPr>
              <w:pStyle w:val="36"/>
              <w:spacing w:line="240" w:lineRule="auto"/>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工程质量保证金总金额为结算价的3%，从工程竣工验收合格之日起计满</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w:t>
            </w:r>
          </w:p>
        </w:tc>
      </w:tr>
      <w:tr w14:paraId="64E6F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E25109B">
            <w:pPr>
              <w:pStyle w:val="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137" w:type="dxa"/>
            <w:tcBorders>
              <w:top w:val="single" w:color="auto" w:sz="4" w:space="0"/>
              <w:left w:val="single" w:color="auto" w:sz="4" w:space="0"/>
              <w:bottom w:val="single" w:color="auto" w:sz="4" w:space="0"/>
              <w:right w:val="single" w:color="auto" w:sz="4" w:space="0"/>
            </w:tcBorders>
            <w:noWrap/>
            <w:vAlign w:val="center"/>
          </w:tcPr>
          <w:p w14:paraId="08EBD855">
            <w:pPr>
              <w:snapToGrid w:val="0"/>
              <w:spacing w:beforeLines="5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招标代理服务</w:t>
            </w:r>
            <w:r>
              <w:rPr>
                <w:rFonts w:hint="eastAsia" w:ascii="宋体" w:hAnsi="宋体" w:eastAsia="宋体" w:cs="宋体"/>
                <w:snapToGrid w:val="0"/>
                <w:color w:val="auto"/>
                <w:kern w:val="0"/>
                <w:sz w:val="24"/>
                <w:szCs w:val="24"/>
                <w:highlight w:val="none"/>
                <w:lang w:val="en-US" w:eastAsia="zh-CN"/>
              </w:rPr>
              <w:t>费</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1E5A806C">
            <w:pPr>
              <w:keepNext w:val="0"/>
              <w:keepLines w:val="0"/>
              <w:pageBreakBefore w:val="0"/>
              <w:widowControl w:val="0"/>
              <w:kinsoku/>
              <w:wordWrap/>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本项目的招标代理费由中标人支付，该费用不再另行报价，由投标人在投标报价时综合考虑在内。招标代理服务费参照《招标代理服务收费管理暂行办法》（计价格[2002]1980号），以中标价为计费基数计算。</w:t>
            </w:r>
          </w:p>
        </w:tc>
      </w:tr>
      <w:tr w14:paraId="79197C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6A81D4A8">
            <w:pPr>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28</w:t>
            </w:r>
          </w:p>
        </w:tc>
        <w:tc>
          <w:tcPr>
            <w:tcW w:w="2137" w:type="dxa"/>
            <w:tcBorders>
              <w:top w:val="single" w:color="auto" w:sz="4" w:space="0"/>
              <w:left w:val="single" w:color="auto" w:sz="4" w:space="0"/>
              <w:bottom w:val="single" w:color="auto" w:sz="4" w:space="0"/>
              <w:right w:val="single" w:color="auto" w:sz="4" w:space="0"/>
            </w:tcBorders>
            <w:noWrap/>
            <w:vAlign w:val="center"/>
          </w:tcPr>
          <w:p w14:paraId="691D6BA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5FF5C056">
            <w:pPr>
              <w:wordWrap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65F3D21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广东兴展土地整理开发有限公司</w:t>
            </w:r>
          </w:p>
          <w:p w14:paraId="60310D9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始兴县顿岗镇围下村535国道旁顿岗镇产业发展中心(3号楼)二楼限办公场所使用)</w:t>
            </w:r>
          </w:p>
          <w:p w14:paraId="53C057C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蒋工</w:t>
            </w:r>
          </w:p>
          <w:p w14:paraId="45173AF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联系电话：0751-</w:t>
            </w:r>
            <w:r>
              <w:rPr>
                <w:rFonts w:hint="eastAsia" w:ascii="宋体" w:hAnsi="宋体" w:eastAsia="宋体" w:cs="宋体"/>
                <w:snapToGrid w:val="0"/>
                <w:color w:val="auto"/>
                <w:kern w:val="0"/>
                <w:sz w:val="24"/>
                <w:szCs w:val="24"/>
                <w:highlight w:val="none"/>
                <w:lang w:val="en-US" w:eastAsia="zh-CN"/>
              </w:rPr>
              <w:t>6973382</w:t>
            </w:r>
          </w:p>
        </w:tc>
      </w:tr>
      <w:tr w14:paraId="7D40D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72FF6720">
            <w:pPr>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w:t>
            </w:r>
          </w:p>
        </w:tc>
        <w:tc>
          <w:tcPr>
            <w:tcW w:w="2137" w:type="dxa"/>
            <w:tcBorders>
              <w:top w:val="single" w:color="auto" w:sz="4" w:space="0"/>
              <w:left w:val="single" w:color="auto" w:sz="4" w:space="0"/>
              <w:bottom w:val="single" w:color="auto" w:sz="4" w:space="0"/>
              <w:right w:val="single" w:color="auto" w:sz="4" w:space="0"/>
            </w:tcBorders>
            <w:noWrap/>
            <w:vAlign w:val="center"/>
          </w:tcPr>
          <w:p w14:paraId="7F54225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3840CE6C">
            <w:pPr>
              <w:wordWrap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55D46E0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单位名称：广州穗图项目管理有限公司</w:t>
            </w:r>
          </w:p>
          <w:p w14:paraId="3ACBA23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办公地址：韶关市武江区西联镇老阳山323线旁新五洲国际汽配用品商贸城A1幢404、405号房</w:t>
            </w:r>
          </w:p>
          <w:p w14:paraId="56FE92A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联系人（部门）：莫工</w:t>
            </w:r>
          </w:p>
          <w:p w14:paraId="0F2E222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snapToGrid w:val="0"/>
                <w:color w:val="auto"/>
                <w:kern w:val="0"/>
                <w:sz w:val="24"/>
                <w:szCs w:val="24"/>
                <w:highlight w:val="none"/>
                <w:lang w:val="en-US" w:eastAsia="zh-CN"/>
              </w:rPr>
              <w:t>联系电话：18927850072</w:t>
            </w:r>
          </w:p>
        </w:tc>
      </w:tr>
      <w:tr w14:paraId="13E3A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492443D5">
            <w:pPr>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0</w:t>
            </w:r>
          </w:p>
        </w:tc>
        <w:tc>
          <w:tcPr>
            <w:tcW w:w="2137" w:type="dxa"/>
            <w:tcBorders>
              <w:top w:val="single" w:color="auto" w:sz="4" w:space="0"/>
              <w:left w:val="single" w:color="auto" w:sz="4" w:space="0"/>
              <w:bottom w:val="single" w:color="auto" w:sz="4" w:space="0"/>
              <w:right w:val="single" w:color="auto" w:sz="4" w:space="0"/>
            </w:tcBorders>
            <w:noWrap/>
            <w:vAlign w:val="center"/>
          </w:tcPr>
          <w:p w14:paraId="65F70FA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4B6DE0FA">
            <w:pPr>
              <w:wordWrap w:val="0"/>
              <w:adjustRightInd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3E233E8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6065CF9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zh-CN"/>
              </w:rPr>
              <w:t>始兴县永安大道中79号行政服务大楼四楼</w:t>
            </w:r>
          </w:p>
          <w:p w14:paraId="4F53746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zh-CN"/>
              </w:rPr>
              <w:t>邓工</w:t>
            </w:r>
          </w:p>
          <w:p w14:paraId="2850253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联系电话： </w:t>
            </w:r>
            <w:r>
              <w:rPr>
                <w:rFonts w:hint="eastAsia" w:ascii="宋体" w:hAnsi="宋体" w:eastAsia="宋体" w:cs="宋体"/>
                <w:snapToGrid w:val="0"/>
                <w:color w:val="auto"/>
                <w:kern w:val="0"/>
                <w:sz w:val="24"/>
                <w:szCs w:val="24"/>
                <w:highlight w:val="none"/>
                <w:lang w:val="zh-CN"/>
              </w:rPr>
              <w:t>0751-3315236</w:t>
            </w:r>
          </w:p>
        </w:tc>
      </w:tr>
      <w:tr w14:paraId="2CA736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10" w:type="dxa"/>
            <w:tcBorders>
              <w:top w:val="single" w:color="auto" w:sz="4" w:space="0"/>
              <w:left w:val="single" w:color="auto" w:sz="4" w:space="0"/>
              <w:bottom w:val="single" w:color="auto" w:sz="4" w:space="0"/>
              <w:right w:val="single" w:color="auto" w:sz="4" w:space="0"/>
            </w:tcBorders>
            <w:noWrap/>
            <w:vAlign w:val="center"/>
          </w:tcPr>
          <w:p w14:paraId="16DBE9C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31</w:t>
            </w:r>
          </w:p>
        </w:tc>
        <w:tc>
          <w:tcPr>
            <w:tcW w:w="2137" w:type="dxa"/>
            <w:tcBorders>
              <w:top w:val="single" w:color="auto" w:sz="4" w:space="0"/>
              <w:left w:val="single" w:color="auto" w:sz="4" w:space="0"/>
              <w:bottom w:val="single" w:color="auto" w:sz="4" w:space="0"/>
              <w:right w:val="single" w:color="auto" w:sz="4" w:space="0"/>
            </w:tcBorders>
            <w:noWrap/>
            <w:vAlign w:val="center"/>
          </w:tcPr>
          <w:p w14:paraId="44306BA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51BCE2A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745" w:type="dxa"/>
            <w:gridSpan w:val="2"/>
            <w:tcBorders>
              <w:top w:val="single" w:color="auto" w:sz="4" w:space="0"/>
              <w:left w:val="single" w:color="auto" w:sz="4" w:space="0"/>
              <w:bottom w:val="single" w:color="auto" w:sz="4" w:space="0"/>
              <w:right w:val="single" w:color="auto" w:sz="4" w:space="0"/>
            </w:tcBorders>
            <w:noWrap/>
            <w:vAlign w:val="center"/>
          </w:tcPr>
          <w:p w14:paraId="61C2886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w:t>
            </w:r>
            <w:r>
              <w:rPr>
                <w:rFonts w:hint="eastAsia" w:ascii="宋体" w:hAnsi="宋体" w:eastAsia="宋体" w:cs="宋体"/>
                <w:snapToGrid w:val="0"/>
                <w:color w:val="auto"/>
                <w:kern w:val="0"/>
                <w:sz w:val="24"/>
                <w:szCs w:val="24"/>
                <w:highlight w:val="none"/>
                <w:lang w:eastAsia="zh-CN"/>
              </w:rPr>
              <w:t>始兴县住房和城乡建设管理局</w:t>
            </w:r>
          </w:p>
          <w:p w14:paraId="08C33CD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办公地址：始兴县太平镇沿江北路1号 </w:t>
            </w:r>
          </w:p>
          <w:p w14:paraId="0BBAE8C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联系人（部门）：建管股</w:t>
            </w:r>
          </w:p>
          <w:p w14:paraId="0CE6F6F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联系电话：0751-3315107 </w:t>
            </w:r>
          </w:p>
        </w:tc>
      </w:tr>
      <w:bookmarkEnd w:id="4"/>
    </w:tbl>
    <w:p w14:paraId="31257FFE">
      <w:pPr>
        <w:pStyle w:val="38"/>
        <w:keepNext/>
        <w:keepLines/>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auto"/>
          <w:kern w:val="2"/>
          <w:highlight w:val="none"/>
        </w:rPr>
      </w:pPr>
      <w:bookmarkStart w:id="5" w:name="_Toc122859103"/>
      <w:bookmarkStart w:id="6" w:name="_Toc122671103"/>
      <w:bookmarkStart w:id="7" w:name="_Toc122769943"/>
      <w:r>
        <w:rPr>
          <w:rFonts w:hint="eastAsia" w:ascii="宋体" w:hAnsi="宋体" w:eastAsia="宋体" w:cs="宋体"/>
          <w:b/>
          <w:color w:val="auto"/>
          <w:kern w:val="2"/>
          <w:highlight w:val="none"/>
        </w:rPr>
        <w:br w:type="page"/>
      </w:r>
      <w:bookmarkEnd w:id="5"/>
      <w:bookmarkEnd w:id="6"/>
      <w:bookmarkEnd w:id="7"/>
      <w:bookmarkStart w:id="8" w:name="_Toc20578"/>
      <w:r>
        <w:rPr>
          <w:rFonts w:hint="eastAsia" w:ascii="宋体" w:hAnsi="宋体" w:eastAsia="宋体" w:cs="宋体"/>
          <w:b/>
          <w:color w:val="auto"/>
          <w:kern w:val="2"/>
          <w:highlight w:val="none"/>
        </w:rPr>
        <w:t>第二节</w:t>
      </w:r>
      <w:r>
        <w:rPr>
          <w:rFonts w:hint="eastAsia" w:ascii="宋体" w:hAnsi="宋体" w:eastAsia="宋体" w:cs="宋体"/>
          <w:b/>
          <w:color w:val="auto"/>
          <w:kern w:val="2"/>
          <w:highlight w:val="none"/>
          <w:lang w:val="en-US" w:eastAsia="zh-CN"/>
        </w:rPr>
        <w:t xml:space="preserve"> </w:t>
      </w:r>
      <w:r>
        <w:rPr>
          <w:rFonts w:hint="eastAsia" w:ascii="宋体" w:hAnsi="宋体" w:eastAsia="宋体" w:cs="宋体"/>
          <w:b/>
          <w:color w:val="auto"/>
          <w:kern w:val="2"/>
          <w:highlight w:val="none"/>
        </w:rPr>
        <w:t>重要事项时间地点一览表.</w:t>
      </w:r>
      <w:bookmarkEnd w:id="8"/>
    </w:p>
    <w:tbl>
      <w:tblPr>
        <w:tblStyle w:val="25"/>
        <w:tblW w:w="967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3"/>
        <w:gridCol w:w="1606"/>
        <w:gridCol w:w="7570"/>
      </w:tblGrid>
      <w:tr w14:paraId="613B4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7E1BD18C">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281C7971">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招标公告</w:t>
            </w:r>
          </w:p>
          <w:p w14:paraId="2215D110">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发布时间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D5F8448">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01</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20</w:t>
            </w:r>
            <w:r>
              <w:rPr>
                <w:rFonts w:hint="eastAsia" w:ascii="宋体" w:hAnsi="宋体" w:eastAsia="宋体" w:cs="宋体"/>
                <w:snapToGrid w:val="0"/>
                <w:color w:val="auto"/>
                <w:kern w:val="0"/>
                <w:sz w:val="24"/>
                <w:highlight w:val="none"/>
                <w:u w:val="none"/>
                <w:lang w:val="en-US" w:eastAsia="zh-CN"/>
              </w:rPr>
              <w:t>日</w:t>
            </w:r>
            <w:r>
              <w:rPr>
                <w:rFonts w:hint="eastAsia" w:ascii="宋体" w:hAnsi="宋体" w:cs="宋体"/>
                <w:snapToGrid w:val="0"/>
                <w:color w:val="auto"/>
                <w:kern w:val="0"/>
                <w:sz w:val="24"/>
                <w:highlight w:val="none"/>
                <w:u w:val="none"/>
                <w:lang w:val="en-US" w:eastAsia="zh-CN"/>
              </w:rPr>
              <w:t>17</w:t>
            </w:r>
            <w:r>
              <w:rPr>
                <w:rFonts w:hint="eastAsia" w:ascii="宋体" w:hAnsi="宋体" w:eastAsia="宋体" w:cs="宋体"/>
                <w:snapToGrid w:val="0"/>
                <w:color w:val="auto"/>
                <w:kern w:val="0"/>
                <w:sz w:val="24"/>
                <w:highlight w:val="none"/>
                <w:u w:val="none"/>
              </w:rPr>
              <w:t>时</w:t>
            </w:r>
            <w:r>
              <w:rPr>
                <w:rFonts w:hint="eastAsia" w:ascii="宋体" w:hAnsi="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tc>
      </w:tr>
      <w:tr w14:paraId="71773C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03C2B43">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59C05ABE">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获取招标文件截止时间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64E09849">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10</w:t>
            </w:r>
            <w:r>
              <w:rPr>
                <w:rFonts w:hint="eastAsia" w:ascii="宋体" w:hAnsi="宋体" w:eastAsia="宋体" w:cs="宋体"/>
                <w:snapToGrid w:val="0"/>
                <w:color w:val="auto"/>
                <w:kern w:val="0"/>
                <w:sz w:val="24"/>
                <w:highlight w:val="none"/>
                <w:u w:val="none"/>
                <w:lang w:val="en-US" w:eastAsia="zh-CN"/>
              </w:rPr>
              <w:t>日</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ascii="宋体" w:hAnsi="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tc>
      </w:tr>
      <w:tr w14:paraId="690FA1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14B2595">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4D816FB4">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网上提问</w:t>
            </w:r>
          </w:p>
          <w:p w14:paraId="10272DA1">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207EE40">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01</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31</w:t>
            </w:r>
            <w:r>
              <w:rPr>
                <w:rFonts w:hint="eastAsia" w:ascii="宋体" w:hAnsi="宋体" w:eastAsia="宋体" w:cs="宋体"/>
                <w:snapToGrid w:val="0"/>
                <w:color w:val="auto"/>
                <w:kern w:val="0"/>
                <w:sz w:val="24"/>
                <w:highlight w:val="none"/>
                <w:u w:val="none"/>
                <w:lang w:val="en-US" w:eastAsia="zh-CN"/>
              </w:rPr>
              <w:t xml:space="preserve">日16 </w:t>
            </w:r>
            <w:r>
              <w:rPr>
                <w:rFonts w:hint="eastAsia" w:ascii="宋体" w:hAnsi="宋体" w:eastAsia="宋体" w:cs="宋体"/>
                <w:snapToGrid w:val="0"/>
                <w:color w:val="auto"/>
                <w:kern w:val="0"/>
                <w:sz w:val="24"/>
                <w:highlight w:val="none"/>
                <w:u w:val="none"/>
              </w:rPr>
              <w:t>时</w:t>
            </w:r>
            <w:r>
              <w:rPr>
                <w:rFonts w:hint="eastAsia" w:ascii="宋体" w:hAnsi="宋体" w:eastAsia="宋体" w:cs="宋体"/>
                <w:snapToGrid w:val="0"/>
                <w:color w:val="auto"/>
                <w:kern w:val="0"/>
                <w:sz w:val="24"/>
                <w:highlight w:val="none"/>
                <w:u w:val="none"/>
                <w:lang w:val="en-US" w:eastAsia="zh-CN"/>
              </w:rPr>
              <w:t xml:space="preserve">00 </w:t>
            </w:r>
            <w:r>
              <w:rPr>
                <w:rFonts w:hint="eastAsia" w:ascii="宋体" w:hAnsi="宋体" w:eastAsia="宋体" w:cs="宋体"/>
                <w:snapToGrid w:val="0"/>
                <w:color w:val="auto"/>
                <w:kern w:val="0"/>
                <w:sz w:val="24"/>
                <w:highlight w:val="none"/>
                <w:u w:val="none"/>
              </w:rPr>
              <w:t>分</w:t>
            </w:r>
          </w:p>
        </w:tc>
      </w:tr>
      <w:tr w14:paraId="058488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53AE883">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z w:val="24"/>
                <w:szCs w:val="32"/>
              </w:rPr>
              <w:t>4</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632EF053">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网上答疑</w:t>
            </w:r>
          </w:p>
          <w:p w14:paraId="50033366">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33C01249">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01</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31</w:t>
            </w:r>
            <w:r>
              <w:rPr>
                <w:rFonts w:hint="eastAsia" w:ascii="宋体" w:hAnsi="宋体" w:eastAsia="宋体" w:cs="宋体"/>
                <w:snapToGrid w:val="0"/>
                <w:color w:val="auto"/>
                <w:kern w:val="0"/>
                <w:sz w:val="24"/>
                <w:highlight w:val="none"/>
                <w:u w:val="none"/>
                <w:lang w:val="en-US" w:eastAsia="zh-CN"/>
              </w:rPr>
              <w:t>日</w:t>
            </w:r>
            <w:r>
              <w:rPr>
                <w:rFonts w:hint="eastAsia" w:ascii="宋体" w:hAnsi="宋体" w:eastAsia="宋体" w:cs="宋体"/>
                <w:snapToGrid w:val="0"/>
                <w:color w:val="auto"/>
                <w:kern w:val="0"/>
                <w:sz w:val="24"/>
                <w:highlight w:val="none"/>
                <w:u w:val="none"/>
              </w:rPr>
              <w:t xml:space="preserve">16时30分至 </w:t>
            </w: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03</w:t>
            </w:r>
            <w:r>
              <w:rPr>
                <w:rFonts w:hint="eastAsia" w:ascii="宋体" w:hAnsi="宋体" w:eastAsia="宋体" w:cs="宋体"/>
                <w:snapToGrid w:val="0"/>
                <w:color w:val="auto"/>
                <w:kern w:val="0"/>
                <w:sz w:val="24"/>
                <w:highlight w:val="none"/>
                <w:u w:val="none"/>
                <w:lang w:val="en-US" w:eastAsia="zh-CN"/>
              </w:rPr>
              <w:t>日</w:t>
            </w:r>
            <w:r>
              <w:rPr>
                <w:rFonts w:hint="eastAsia" w:ascii="宋体" w:hAnsi="宋体" w:eastAsia="宋体" w:cs="宋体"/>
                <w:snapToGrid w:val="0"/>
                <w:color w:val="auto"/>
                <w:kern w:val="0"/>
                <w:sz w:val="24"/>
                <w:highlight w:val="none"/>
                <w:u w:val="none"/>
              </w:rPr>
              <w:t>16时00分</w:t>
            </w:r>
          </w:p>
        </w:tc>
      </w:tr>
      <w:tr w14:paraId="30C2F5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A41A1C2">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C665FC0">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投标保证缴</w:t>
            </w:r>
          </w:p>
          <w:p w14:paraId="2A590863">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纳截止时间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37A5B9AB">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rPr>
              <w:t>投标保证金到账截止时间：</w:t>
            </w: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lang w:val="en-US" w:eastAsia="zh-CN"/>
              </w:rPr>
              <w:t>日</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ascii="宋体" w:hAnsi="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p w14:paraId="1202AF3D">
            <w:pPr>
              <w:pStyle w:val="39"/>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snapToGrid w:val="0"/>
                <w:color w:val="auto"/>
                <w:kern w:val="0"/>
                <w:sz w:val="24"/>
                <w:highlight w:val="none"/>
                <w:u w:val="none"/>
              </w:rPr>
              <w:t>投标保证担保上传截止时间：</w:t>
            </w: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lang w:val="en-US" w:eastAsia="zh-CN"/>
              </w:rPr>
              <w:t>日</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ascii="宋体" w:hAnsi="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p w14:paraId="6A24F0E1">
            <w:pPr>
              <w:pStyle w:val="20"/>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textAlignment w:val="auto"/>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Cs w:val="24"/>
                <w:highlight w:val="none"/>
                <w:u w:val="none"/>
              </w:rPr>
              <w:t>投标保证保险投保截止时间：</w:t>
            </w:r>
            <w:r>
              <w:rPr>
                <w:rFonts w:hint="eastAsia" w:ascii="宋体" w:hAnsi="宋体" w:eastAsia="宋体" w:cs="宋体"/>
                <w:snapToGrid w:val="0"/>
                <w:color w:val="auto"/>
                <w:kern w:val="0"/>
                <w:sz w:val="24"/>
                <w:highlight w:val="none"/>
                <w:u w:val="none"/>
                <w:lang w:val="en-US" w:eastAsia="zh-CN"/>
              </w:rPr>
              <w:t>2026年</w:t>
            </w:r>
            <w:r>
              <w:rPr>
                <w:rFonts w:hint="eastAsia" w:ascii="宋体" w:hAnsi="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lang w:val="en-US" w:eastAsia="zh-CN"/>
              </w:rPr>
              <w:t>日</w:t>
            </w:r>
            <w:r>
              <w:rPr>
                <w:rFonts w:hint="eastAsia" w:ascii="宋体" w:hAnsi="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ascii="宋体" w:hAnsi="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r>
              <w:rPr>
                <w:rFonts w:hint="eastAsia" w:ascii="宋体" w:hAnsi="宋体" w:eastAsia="宋体" w:cs="宋体"/>
                <w:snapToGrid w:val="0"/>
                <w:color w:val="auto"/>
                <w:kern w:val="0"/>
                <w:szCs w:val="24"/>
                <w:highlight w:val="none"/>
                <w:u w:val="none"/>
              </w:rPr>
              <w:t>。</w:t>
            </w:r>
          </w:p>
        </w:tc>
      </w:tr>
      <w:tr w14:paraId="546E95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9"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020FB147">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09787606">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电子投标</w:t>
            </w:r>
          </w:p>
          <w:p w14:paraId="5071D5AF">
            <w:pPr>
              <w:pStyle w:val="39"/>
              <w:wordWrap w:val="0"/>
              <w:adjustRightInd w:val="0"/>
              <w:snapToGrid w:val="0"/>
              <w:spacing w:line="360" w:lineRule="exact"/>
              <w:jc w:val="center"/>
              <w:rPr>
                <w:rFonts w:hint="eastAsia" w:ascii="宋体" w:hAnsi="宋体" w:eastAsia="宋体" w:cs="宋体"/>
                <w:strike/>
                <w:snapToGrid w:val="0"/>
                <w:color w:val="auto"/>
                <w:kern w:val="0"/>
                <w:sz w:val="24"/>
                <w:highlight w:val="none"/>
              </w:rPr>
            </w:pPr>
            <w:r>
              <w:rPr>
                <w:rFonts w:hint="eastAsia" w:ascii="宋体" w:hAnsi="宋体" w:eastAsia="宋体" w:cs="宋体"/>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1B3FF62C">
            <w:pPr>
              <w:pStyle w:val="20"/>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hAnsi="宋体" w:eastAsia="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hAnsi="宋体" w:eastAsia="宋体" w:cs="宋体"/>
                <w:snapToGrid w:val="0"/>
                <w:color w:val="auto"/>
                <w:kern w:val="0"/>
                <w:sz w:val="24"/>
                <w:highlight w:val="none"/>
                <w:u w:val="none"/>
                <w:lang w:val="en-US" w:eastAsia="zh-CN"/>
              </w:rPr>
              <w:t>10</w:t>
            </w:r>
            <w:r>
              <w:rPr>
                <w:rFonts w:hint="eastAsia" w:ascii="宋体" w:hAnsi="宋体" w:eastAsia="宋体" w:cs="宋体"/>
                <w:snapToGrid w:val="0"/>
                <w:color w:val="auto"/>
                <w:kern w:val="0"/>
                <w:sz w:val="24"/>
                <w:highlight w:val="none"/>
                <w:u w:val="none"/>
                <w:lang w:val="en-US" w:eastAsia="zh-CN"/>
              </w:rPr>
              <w:t>日</w:t>
            </w:r>
            <w:r>
              <w:rPr>
                <w:rFonts w:hint="eastAsia" w:hAnsi="宋体" w:eastAsia="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hAnsi="宋体" w:eastAsia="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tc>
      </w:tr>
      <w:tr w14:paraId="333A4A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F5A6049">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4806C5E3">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投标相关资料（如有）递交时间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2172820F">
            <w:pPr>
              <w:pStyle w:val="20"/>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Cs w:val="24"/>
                <w:highlight w:val="none"/>
                <w:u w:val="none"/>
              </w:rPr>
            </w:pPr>
            <w:r>
              <w:rPr>
                <w:rFonts w:hint="eastAsia" w:ascii="宋体" w:hAnsi="宋体" w:eastAsia="宋体" w:cs="宋体"/>
                <w:snapToGrid w:val="0"/>
                <w:color w:val="auto"/>
                <w:kern w:val="0"/>
                <w:sz w:val="24"/>
                <w:highlight w:val="none"/>
                <w:u w:val="none"/>
                <w:lang w:val="en-US" w:eastAsia="zh-CN"/>
              </w:rPr>
              <w:t>2026年</w:t>
            </w:r>
            <w:r>
              <w:rPr>
                <w:rFonts w:hint="eastAsia" w:hAnsi="宋体" w:eastAsia="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hAnsi="宋体" w:eastAsia="宋体" w:cs="宋体"/>
                <w:snapToGrid w:val="0"/>
                <w:color w:val="auto"/>
                <w:kern w:val="0"/>
                <w:sz w:val="24"/>
                <w:highlight w:val="none"/>
                <w:u w:val="none"/>
                <w:lang w:val="en-US" w:eastAsia="zh-CN"/>
              </w:rPr>
              <w:t>10</w:t>
            </w:r>
            <w:r>
              <w:rPr>
                <w:rFonts w:hint="eastAsia" w:ascii="宋体" w:hAnsi="宋体" w:eastAsia="宋体" w:cs="宋体"/>
                <w:snapToGrid w:val="0"/>
                <w:color w:val="auto"/>
                <w:kern w:val="0"/>
                <w:sz w:val="24"/>
                <w:highlight w:val="none"/>
                <w:u w:val="none"/>
                <w:lang w:val="en-US" w:eastAsia="zh-CN"/>
              </w:rPr>
              <w:t>日</w:t>
            </w:r>
            <w:r>
              <w:rPr>
                <w:rFonts w:hint="eastAsia" w:hAnsi="宋体" w:eastAsia="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hAnsi="宋体" w:eastAsia="宋体" w:cs="宋体"/>
                <w:snapToGrid w:val="0"/>
                <w:color w:val="auto"/>
                <w:kern w:val="0"/>
                <w:sz w:val="24"/>
                <w:highlight w:val="none"/>
                <w:u w:val="none"/>
                <w:lang w:val="en-US" w:eastAsia="zh-CN"/>
              </w:rPr>
              <w:t>00</w:t>
            </w:r>
            <w:r>
              <w:rPr>
                <w:rFonts w:hint="eastAsia" w:ascii="宋体" w:hAnsi="宋体" w:eastAsia="宋体" w:cs="宋体"/>
                <w:snapToGrid w:val="0"/>
                <w:color w:val="auto"/>
                <w:kern w:val="0"/>
                <w:sz w:val="24"/>
                <w:highlight w:val="none"/>
                <w:u w:val="none"/>
              </w:rPr>
              <w:t>分</w:t>
            </w:r>
            <w:r>
              <w:rPr>
                <w:rFonts w:hint="eastAsia" w:ascii="宋体" w:hAnsi="宋体" w:eastAsia="宋体" w:cs="宋体"/>
                <w:snapToGrid w:val="0"/>
                <w:color w:val="auto"/>
                <w:kern w:val="0"/>
                <w:szCs w:val="24"/>
                <w:highlight w:val="none"/>
                <w:u w:val="none"/>
              </w:rPr>
              <w:t>至</w:t>
            </w:r>
            <w:r>
              <w:rPr>
                <w:rFonts w:hint="eastAsia" w:ascii="宋体" w:hAnsi="宋体" w:eastAsia="宋体" w:cs="宋体"/>
                <w:snapToGrid w:val="0"/>
                <w:color w:val="auto"/>
                <w:kern w:val="0"/>
                <w:sz w:val="24"/>
                <w:highlight w:val="none"/>
                <w:u w:val="none"/>
                <w:lang w:val="en-US" w:eastAsia="zh-CN"/>
              </w:rPr>
              <w:t>2026年</w:t>
            </w:r>
            <w:r>
              <w:rPr>
                <w:rFonts w:hint="eastAsia" w:hAnsi="宋体" w:eastAsia="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hAnsi="宋体" w:eastAsia="宋体" w:cs="宋体"/>
                <w:snapToGrid w:val="0"/>
                <w:color w:val="auto"/>
                <w:kern w:val="0"/>
                <w:sz w:val="24"/>
                <w:highlight w:val="none"/>
                <w:u w:val="none"/>
                <w:lang w:val="en-US" w:eastAsia="zh-CN"/>
              </w:rPr>
              <w:t>10</w:t>
            </w:r>
            <w:r>
              <w:rPr>
                <w:rFonts w:hint="eastAsia" w:ascii="宋体" w:hAnsi="宋体" w:eastAsia="宋体" w:cs="宋体"/>
                <w:snapToGrid w:val="0"/>
                <w:color w:val="auto"/>
                <w:kern w:val="0"/>
                <w:sz w:val="24"/>
                <w:highlight w:val="none"/>
                <w:u w:val="none"/>
                <w:lang w:val="en-US" w:eastAsia="zh-CN"/>
              </w:rPr>
              <w:t>日</w:t>
            </w:r>
            <w:r>
              <w:rPr>
                <w:rFonts w:hint="eastAsia" w:hAnsi="宋体" w:eastAsia="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hAnsi="宋体" w:eastAsia="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tc>
      </w:tr>
      <w:tr w14:paraId="15F004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5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7FAA8F8E">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33E3242">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投标相关资料（如有）递交地点</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3E968B3">
            <w:pPr>
              <w:pStyle w:val="39"/>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递交场所：韶关市公共资源交易中心始兴分中心，</w:t>
            </w:r>
          </w:p>
          <w:p w14:paraId="70A37B9D">
            <w:pPr>
              <w:pStyle w:val="39"/>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地址：始兴县永安大道中79号行政服务大楼四楼。</w:t>
            </w:r>
          </w:p>
        </w:tc>
      </w:tr>
      <w:tr w14:paraId="2EB5CD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203ABC26">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65CEC3C">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开标时间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1379ACEE">
            <w:pPr>
              <w:pStyle w:val="20"/>
              <w:keepNext w:val="0"/>
              <w:keepLines w:val="0"/>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highlight w:val="none"/>
                <w:u w:val="none"/>
                <w:lang w:val="en-US" w:eastAsia="zh-CN"/>
              </w:rPr>
              <w:t>2026年</w:t>
            </w:r>
            <w:r>
              <w:rPr>
                <w:rFonts w:hint="eastAsia" w:hAnsi="宋体" w:eastAsia="宋体" w:cs="宋体"/>
                <w:snapToGrid w:val="0"/>
                <w:color w:val="auto"/>
                <w:kern w:val="0"/>
                <w:sz w:val="24"/>
                <w:highlight w:val="none"/>
                <w:u w:val="none"/>
                <w:lang w:val="en-US" w:eastAsia="zh-CN"/>
              </w:rPr>
              <w:t>02</w:t>
            </w:r>
            <w:r>
              <w:rPr>
                <w:rFonts w:hint="eastAsia" w:ascii="宋体" w:hAnsi="宋体" w:eastAsia="宋体" w:cs="宋体"/>
                <w:snapToGrid w:val="0"/>
                <w:color w:val="auto"/>
                <w:kern w:val="0"/>
                <w:sz w:val="24"/>
                <w:highlight w:val="none"/>
                <w:u w:val="none"/>
                <w:lang w:val="en-US" w:eastAsia="zh-CN"/>
              </w:rPr>
              <w:t>月</w:t>
            </w:r>
            <w:r>
              <w:rPr>
                <w:rFonts w:hint="eastAsia" w:hAnsi="宋体" w:eastAsia="宋体" w:cs="宋体"/>
                <w:snapToGrid w:val="0"/>
                <w:color w:val="auto"/>
                <w:kern w:val="0"/>
                <w:sz w:val="24"/>
                <w:highlight w:val="none"/>
                <w:u w:val="none"/>
                <w:lang w:val="en-US" w:eastAsia="zh-CN"/>
              </w:rPr>
              <w:t>10</w:t>
            </w:r>
            <w:r>
              <w:rPr>
                <w:rFonts w:hint="eastAsia" w:ascii="宋体" w:hAnsi="宋体" w:eastAsia="宋体" w:cs="宋体"/>
                <w:snapToGrid w:val="0"/>
                <w:color w:val="auto"/>
                <w:kern w:val="0"/>
                <w:sz w:val="24"/>
                <w:highlight w:val="none"/>
                <w:u w:val="none"/>
                <w:lang w:val="en-US" w:eastAsia="zh-CN"/>
              </w:rPr>
              <w:t>日</w:t>
            </w:r>
            <w:r>
              <w:rPr>
                <w:rFonts w:hint="eastAsia" w:hAnsi="宋体" w:eastAsia="宋体" w:cs="宋体"/>
                <w:snapToGrid w:val="0"/>
                <w:color w:val="auto"/>
                <w:kern w:val="0"/>
                <w:sz w:val="24"/>
                <w:highlight w:val="none"/>
                <w:u w:val="none"/>
                <w:lang w:val="en-US" w:eastAsia="zh-CN"/>
              </w:rPr>
              <w:t>09</w:t>
            </w:r>
            <w:r>
              <w:rPr>
                <w:rFonts w:hint="eastAsia" w:ascii="宋体" w:hAnsi="宋体" w:eastAsia="宋体" w:cs="宋体"/>
                <w:snapToGrid w:val="0"/>
                <w:color w:val="auto"/>
                <w:kern w:val="0"/>
                <w:sz w:val="24"/>
                <w:highlight w:val="none"/>
                <w:u w:val="none"/>
              </w:rPr>
              <w:t>时</w:t>
            </w:r>
            <w:r>
              <w:rPr>
                <w:rFonts w:hint="eastAsia" w:hAnsi="宋体" w:eastAsia="宋体" w:cs="宋体"/>
                <w:snapToGrid w:val="0"/>
                <w:color w:val="auto"/>
                <w:kern w:val="0"/>
                <w:sz w:val="24"/>
                <w:highlight w:val="none"/>
                <w:u w:val="none"/>
                <w:lang w:val="en-US" w:eastAsia="zh-CN"/>
              </w:rPr>
              <w:t>30</w:t>
            </w:r>
            <w:r>
              <w:rPr>
                <w:rFonts w:hint="eastAsia" w:ascii="宋体" w:hAnsi="宋体" w:eastAsia="宋体" w:cs="宋体"/>
                <w:snapToGrid w:val="0"/>
                <w:color w:val="auto"/>
                <w:kern w:val="0"/>
                <w:sz w:val="24"/>
                <w:highlight w:val="none"/>
                <w:u w:val="none"/>
              </w:rPr>
              <w:t>分</w:t>
            </w:r>
          </w:p>
        </w:tc>
      </w:tr>
      <w:tr w14:paraId="015F67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7A878150">
            <w:pPr>
              <w:pStyle w:val="39"/>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40D9AD5">
            <w:pPr>
              <w:pStyle w:val="39"/>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开标地点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38B8B2E1">
            <w:pPr>
              <w:pStyle w:val="39"/>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开标场所：韶关市公共资源交易中心始兴分中心，</w:t>
            </w:r>
          </w:p>
          <w:p w14:paraId="649BBE2E">
            <w:pPr>
              <w:pStyle w:val="39"/>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地址：始兴县永安大道中79号行政服务大楼四楼。 </w:t>
            </w:r>
          </w:p>
        </w:tc>
      </w:tr>
      <w:tr w14:paraId="7A2FAC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7"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2ED85FD">
            <w:pPr>
              <w:pStyle w:val="39"/>
              <w:widowControl/>
              <w:snapToGrid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11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6BC75CCF">
            <w:pPr>
              <w:adjustRightInd w:val="0"/>
              <w:snapToGrid w:val="0"/>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备注</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1162FD23">
            <w:pPr>
              <w:keepNext w:val="0"/>
              <w:keepLines w:val="0"/>
              <w:pageBreakBefore w:val="0"/>
              <w:widowControl w:val="0"/>
              <w:kinsoku/>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投标人应按有关要求办理数字证书（CA）和企业入库、获取招标文件、资料文件及招标答疑书等。若由于投标人自身原因未能及时取得上述资料的，由此发生的任何责任由投标人自行承担。</w:t>
            </w:r>
          </w:p>
        </w:tc>
      </w:tr>
    </w:tbl>
    <w:p w14:paraId="01AA315E">
      <w:pPr>
        <w:pStyle w:val="37"/>
        <w:keepNext/>
        <w:keepLines/>
        <w:tabs>
          <w:tab w:val="left" w:pos="885"/>
        </w:tabs>
        <w:ind w:left="885" w:hanging="885"/>
        <w:jc w:val="center"/>
        <w:outlineLvl w:val="1"/>
        <w:rPr>
          <w:rFonts w:hint="eastAsia" w:ascii="宋体" w:hAnsi="宋体" w:eastAsia="宋体" w:cs="宋体"/>
          <w:color w:val="auto"/>
          <w:sz w:val="24"/>
          <w:szCs w:val="28"/>
          <w:highlight w:val="none"/>
          <w:u w:val="single"/>
        </w:rPr>
      </w:pPr>
      <w:r>
        <w:rPr>
          <w:rFonts w:hint="eastAsia" w:ascii="宋体" w:hAnsi="宋体" w:eastAsia="宋体" w:cs="宋体"/>
          <w:color w:val="auto"/>
          <w:sz w:val="24"/>
          <w:highlight w:val="none"/>
        </w:rPr>
        <w:br w:type="page"/>
      </w:r>
      <w:bookmarkStart w:id="9" w:name="_Hlt69669159"/>
      <w:bookmarkEnd w:id="9"/>
      <w:bookmarkStart w:id="10" w:name="_Hlt69698754"/>
      <w:bookmarkStart w:id="11" w:name="_Hlt69698705"/>
      <w:bookmarkStart w:id="12" w:name="_Toc20055"/>
      <w:r>
        <w:rPr>
          <w:rFonts w:hint="eastAsia" w:ascii="宋体" w:hAnsi="宋体" w:eastAsia="宋体" w:cs="宋体"/>
          <w:b/>
          <w:color w:val="auto"/>
          <w:sz w:val="28"/>
          <w:szCs w:val="28"/>
          <w:highlight w:val="none"/>
        </w:rPr>
        <w:t>第</w:t>
      </w:r>
      <w:r>
        <w:rPr>
          <w:rFonts w:hint="eastAsia" w:ascii="宋体" w:hAnsi="宋体" w:eastAsia="宋体" w:cs="宋体"/>
          <w:b/>
          <w:color w:val="auto"/>
          <w:kern w:val="44"/>
          <w:sz w:val="28"/>
          <w:szCs w:val="28"/>
          <w:highlight w:val="none"/>
        </w:rPr>
        <w:t>三节</w:t>
      </w:r>
      <w:bookmarkStart w:id="13" w:name="_Hlt87793819"/>
      <w:bookmarkEnd w:id="13"/>
      <w:r>
        <w:rPr>
          <w:rFonts w:hint="eastAsia" w:ascii="宋体" w:hAnsi="宋体" w:eastAsia="宋体" w:cs="宋体"/>
          <w:b/>
          <w:color w:val="auto"/>
          <w:kern w:val="44"/>
          <w:sz w:val="28"/>
          <w:szCs w:val="28"/>
          <w:highlight w:val="none"/>
        </w:rPr>
        <w:t xml:space="preserve"> 投标须知正文</w:t>
      </w:r>
      <w:bookmarkEnd w:id="10"/>
      <w:bookmarkEnd w:id="11"/>
      <w:bookmarkEnd w:id="12"/>
    </w:p>
    <w:p w14:paraId="5ABAE056">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u w:val="single"/>
          <w:lang w:val="en-US" w:eastAsia="zh-CN"/>
        </w:rPr>
        <w:t>始</w:t>
      </w:r>
      <w:r>
        <w:rPr>
          <w:rFonts w:hint="eastAsia" w:ascii="宋体" w:hAnsi="宋体" w:eastAsia="宋体" w:cs="宋体"/>
          <w:color w:val="auto"/>
          <w:sz w:val="24"/>
          <w:szCs w:val="24"/>
          <w:u w:val="single"/>
        </w:rPr>
        <w:t>兴县顿岗镇全域土地综合整治（乡村空间“三提三化”）项目光伏项目</w:t>
      </w:r>
      <w:r>
        <w:rPr>
          <w:rFonts w:hint="eastAsia" w:ascii="宋体" w:hAnsi="宋体" w:eastAsia="宋体" w:cs="宋体"/>
          <w:snapToGrid w:val="0"/>
          <w:color w:val="auto"/>
          <w:kern w:val="0"/>
          <w:szCs w:val="24"/>
          <w:highlight w:val="none"/>
        </w:rPr>
        <w:t>经</w:t>
      </w:r>
      <w:r>
        <w:rPr>
          <w:rFonts w:hint="eastAsia" w:ascii="宋体" w:hAnsi="宋体" w:eastAsia="宋体" w:cs="宋体"/>
          <w:snapToGrid w:val="0"/>
          <w:color w:val="auto"/>
          <w:kern w:val="0"/>
          <w:highlight w:val="none"/>
          <w:u w:val="single"/>
          <w:lang w:eastAsia="zh-CN"/>
        </w:rPr>
        <w:t>始兴县发展和改革局</w:t>
      </w:r>
      <w:r>
        <w:rPr>
          <w:rFonts w:hint="eastAsia" w:ascii="宋体" w:hAnsi="宋体" w:eastAsia="宋体" w:cs="宋体"/>
          <w:snapToGrid w:val="0"/>
          <w:color w:val="auto"/>
          <w:kern w:val="0"/>
          <w:szCs w:val="24"/>
          <w:highlight w:val="none"/>
          <w:u w:val="single"/>
        </w:rPr>
        <w:t>以</w:t>
      </w:r>
      <w:r>
        <w:rPr>
          <w:rFonts w:hint="eastAsia" w:ascii="宋体" w:hAnsi="宋体" w:eastAsia="宋体" w:cs="宋体"/>
          <w:snapToGrid w:val="0"/>
          <w:color w:val="auto"/>
          <w:kern w:val="0"/>
          <w:sz w:val="24"/>
          <w:szCs w:val="24"/>
          <w:highlight w:val="none"/>
          <w:u w:val="single"/>
        </w:rPr>
        <w:t xml:space="preserve"> 广东省企业投资项目备案证 </w:t>
      </w:r>
      <w:r>
        <w:rPr>
          <w:rFonts w:hint="eastAsia" w:ascii="宋体" w:hAnsi="宋体" w:eastAsia="宋体" w:cs="宋体"/>
          <w:snapToGrid w:val="0"/>
          <w:color w:val="auto"/>
          <w:kern w:val="0"/>
          <w:sz w:val="24"/>
          <w:szCs w:val="24"/>
          <w:highlight w:val="none"/>
        </w:rPr>
        <w:t>批准建设，项目代码为</w:t>
      </w:r>
      <w:r>
        <w:rPr>
          <w:rFonts w:hint="eastAsia" w:ascii="宋体" w:hAnsi="宋体" w:eastAsia="宋体" w:cs="宋体"/>
          <w:color w:val="auto"/>
          <w:kern w:val="0"/>
          <w:sz w:val="24"/>
          <w:highlight w:val="none"/>
          <w:u w:val="single"/>
          <w:lang w:eastAsia="zh-CN"/>
        </w:rPr>
        <w:t>2508-440222-04-01-307369</w:t>
      </w:r>
      <w:r>
        <w:rPr>
          <w:rFonts w:hint="eastAsia" w:ascii="宋体" w:hAnsi="宋体" w:eastAsia="宋体" w:cs="宋体"/>
          <w:snapToGrid w:val="0"/>
          <w:color w:val="auto"/>
          <w:kern w:val="0"/>
          <w:sz w:val="24"/>
          <w:szCs w:val="24"/>
          <w:highlight w:val="none"/>
        </w:rPr>
        <w:t>。本工程项目业主为</w:t>
      </w:r>
      <w:r>
        <w:rPr>
          <w:rFonts w:hint="eastAsia" w:ascii="宋体" w:hAnsi="宋体" w:eastAsia="宋体" w:cs="宋体"/>
          <w:color w:val="auto"/>
          <w:kern w:val="0"/>
          <w:sz w:val="24"/>
          <w:highlight w:val="none"/>
          <w:u w:val="single"/>
          <w:lang w:eastAsia="zh-CN"/>
        </w:rPr>
        <w:t>广东兴展土地整理开发有限公司</w:t>
      </w:r>
      <w:r>
        <w:rPr>
          <w:rFonts w:hint="eastAsia" w:ascii="宋体" w:hAnsi="宋体" w:eastAsia="宋体" w:cs="宋体"/>
          <w:snapToGrid w:val="0"/>
          <w:color w:val="auto"/>
          <w:kern w:val="0"/>
          <w:sz w:val="24"/>
          <w:szCs w:val="24"/>
          <w:highlight w:val="none"/>
        </w:rPr>
        <w:t>，建设资金来自</w:t>
      </w:r>
      <w:r>
        <w:rPr>
          <w:rFonts w:hint="eastAsia" w:ascii="宋体" w:hAnsi="宋体" w:eastAsia="宋体" w:cs="宋体"/>
          <w:snapToGrid w:val="0"/>
          <w:color w:val="auto"/>
          <w:kern w:val="0"/>
          <w:sz w:val="24"/>
          <w:szCs w:val="24"/>
          <w:highlight w:val="none"/>
          <w:u w:val="single"/>
        </w:rPr>
        <w:t>企业自筹资金</w:t>
      </w:r>
      <w:r>
        <w:rPr>
          <w:rFonts w:hint="eastAsia" w:ascii="宋体" w:hAnsi="宋体" w:eastAsia="宋体" w:cs="宋体"/>
          <w:snapToGrid w:val="0"/>
          <w:color w:val="auto"/>
          <w:kern w:val="0"/>
          <w:sz w:val="24"/>
          <w:szCs w:val="24"/>
          <w:highlight w:val="none"/>
        </w:rPr>
        <w:t>，出资比例为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snapToGrid w:val="0"/>
          <w:color w:val="auto"/>
          <w:kern w:val="0"/>
          <w:sz w:val="24"/>
          <w:szCs w:val="24"/>
          <w:highlight w:val="none"/>
          <w:u w:val="single"/>
          <w:lang w:eastAsia="zh-CN"/>
        </w:rPr>
        <w:t>广东兴展土地整理开发有限公司</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snapToGrid w:val="0"/>
          <w:color w:val="auto"/>
          <w:kern w:val="0"/>
          <w:sz w:val="24"/>
          <w:szCs w:val="24"/>
          <w:highlight w:val="none"/>
          <w:u w:val="single"/>
          <w:lang w:eastAsia="zh-CN"/>
        </w:rPr>
        <w:t>广州穗图项目管理有限公司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设计、</w:t>
      </w:r>
      <w:r>
        <w:rPr>
          <w:rFonts w:hint="eastAsia" w:ascii="宋体" w:hAnsi="宋体" w:eastAsia="宋体" w:cs="宋体"/>
          <w:color w:val="auto"/>
          <w:kern w:val="0"/>
          <w:sz w:val="24"/>
          <w:highlight w:val="none"/>
          <w:u w:val="single"/>
        </w:rPr>
        <w:t>施工总承包</w:t>
      </w:r>
      <w:r>
        <w:rPr>
          <w:rFonts w:hint="eastAsia" w:ascii="宋体" w:hAnsi="宋体" w:eastAsia="宋体" w:cs="宋体"/>
          <w:snapToGrid w:val="0"/>
          <w:color w:val="auto"/>
          <w:kern w:val="0"/>
          <w:sz w:val="24"/>
          <w:szCs w:val="24"/>
          <w:highlight w:val="none"/>
        </w:rPr>
        <w:t>进行公开招标。</w:t>
      </w:r>
    </w:p>
    <w:p w14:paraId="59DE1429">
      <w:pPr>
        <w:pStyle w:val="38"/>
        <w:keepNext/>
        <w:keepLines/>
        <w:pageBreakBefore w:val="0"/>
        <w:kinsoku/>
        <w:overflowPunct/>
        <w:topLinePunct w:val="0"/>
        <w:bidi w:val="0"/>
        <w:spacing w:line="360" w:lineRule="auto"/>
        <w:ind w:left="0" w:leftChars="0" w:firstLine="482" w:firstLineChars="200"/>
        <w:jc w:val="both"/>
        <w:textAlignment w:val="auto"/>
        <w:rPr>
          <w:rFonts w:hint="eastAsia" w:ascii="宋体" w:hAnsi="宋体" w:eastAsia="宋体" w:cs="宋体"/>
          <w:b/>
          <w:bCs/>
          <w:snapToGrid w:val="0"/>
          <w:color w:val="auto"/>
          <w:highlight w:val="none"/>
        </w:rPr>
      </w:pPr>
      <w:bookmarkStart w:id="14" w:name="_Hlt119991399"/>
      <w:bookmarkEnd w:id="14"/>
      <w:bookmarkStart w:id="15" w:name="_Hlt74474735"/>
      <w:bookmarkEnd w:id="15"/>
      <w:bookmarkStart w:id="16" w:name="_Hlt87948285"/>
      <w:bookmarkEnd w:id="16"/>
      <w:bookmarkStart w:id="17" w:name="_Hlt78795222"/>
      <w:bookmarkEnd w:id="17"/>
      <w:bookmarkStart w:id="18" w:name="_Hlt109358474"/>
      <w:bookmarkEnd w:id="18"/>
      <w:bookmarkStart w:id="19" w:name="_Toc24563"/>
      <w:bookmarkStart w:id="20" w:name="_Toc30732"/>
      <w:bookmarkStart w:id="21" w:name="_Toc25252"/>
      <w:bookmarkStart w:id="22" w:name="_Toc574"/>
      <w:bookmarkStart w:id="23" w:name="_Toc4081"/>
      <w:bookmarkStart w:id="24" w:name="_Toc31976"/>
      <w:bookmarkStart w:id="25" w:name="_Toc12540"/>
      <w:bookmarkStart w:id="26" w:name="_Toc23054"/>
      <w:bookmarkStart w:id="27" w:name="_Toc18453"/>
      <w:r>
        <w:rPr>
          <w:rFonts w:hint="eastAsia" w:ascii="宋体" w:hAnsi="宋体" w:eastAsia="宋体" w:cs="宋体"/>
          <w:b/>
          <w:color w:val="auto"/>
          <w:kern w:val="2"/>
          <w:highlight w:val="none"/>
        </w:rPr>
        <w:t>1</w:t>
      </w:r>
      <w:r>
        <w:rPr>
          <w:rFonts w:hint="eastAsia" w:ascii="宋体" w:hAnsi="宋体" w:eastAsia="宋体" w:cs="宋体"/>
          <w:b/>
          <w:color w:val="auto"/>
          <w:kern w:val="2"/>
          <w:highlight w:val="none"/>
          <w:lang w:val="en-US" w:eastAsia="zh-CN"/>
        </w:rPr>
        <w:t>.</w:t>
      </w:r>
      <w:r>
        <w:rPr>
          <w:rFonts w:hint="eastAsia" w:ascii="宋体" w:hAnsi="宋体" w:eastAsia="宋体" w:cs="宋体"/>
          <w:b/>
          <w:color w:val="auto"/>
          <w:kern w:val="2"/>
          <w:highlight w:val="none"/>
        </w:rPr>
        <w:t>工程概况综合说明</w:t>
      </w:r>
      <w:bookmarkEnd w:id="19"/>
      <w:bookmarkEnd w:id="20"/>
      <w:bookmarkEnd w:id="21"/>
      <w:bookmarkEnd w:id="22"/>
      <w:bookmarkEnd w:id="23"/>
      <w:bookmarkEnd w:id="24"/>
      <w:bookmarkEnd w:id="25"/>
      <w:bookmarkEnd w:id="26"/>
      <w:bookmarkEnd w:id="27"/>
    </w:p>
    <w:p w14:paraId="10EC1CF3">
      <w:pPr>
        <w:pStyle w:val="39"/>
        <w:pageBreakBefore w:val="0"/>
        <w:kinsoku/>
        <w:wordWrap w:val="0"/>
        <w:overflowPunct/>
        <w:topLinePunct w:val="0"/>
        <w:bidi w:val="0"/>
        <w:adjustRightInd w:val="0"/>
        <w:snapToGrid w:val="0"/>
        <w:spacing w:line="360" w:lineRule="auto"/>
        <w:ind w:left="0" w:leftChars="0" w:firstLine="482" w:firstLineChars="200"/>
        <w:jc w:val="left"/>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1.1</w:t>
      </w:r>
      <w:r>
        <w:rPr>
          <w:rFonts w:hint="eastAsia" w:ascii="宋体" w:hAnsi="宋体" w:eastAsia="宋体" w:cs="宋体"/>
          <w:color w:val="auto"/>
          <w:sz w:val="24"/>
          <w:highlight w:val="none"/>
        </w:rPr>
        <w:t xml:space="preserve"> 工程概况</w:t>
      </w:r>
    </w:p>
    <w:p w14:paraId="1992A5DE">
      <w:pPr>
        <w:pStyle w:val="39"/>
        <w:pageBreakBefore w:val="0"/>
        <w:kinsoku/>
        <w:wordWrap w:val="0"/>
        <w:overflowPunct/>
        <w:topLinePunct w:val="0"/>
        <w:bidi w:val="0"/>
        <w:adjustRightInd w:val="0"/>
        <w:snapToGrid w:val="0"/>
        <w:spacing w:line="360" w:lineRule="auto"/>
        <w:ind w:left="0" w:leftChars="0" w:firstLine="482" w:firstLineChars="200"/>
        <w:jc w:val="left"/>
        <w:textAlignment w:val="auto"/>
        <w:rPr>
          <w:rFonts w:hint="eastAsia" w:ascii="宋体" w:hAnsi="宋体" w:eastAsia="宋体" w:cs="宋体"/>
          <w:color w:val="auto"/>
          <w:sz w:val="24"/>
          <w:szCs w:val="18"/>
          <w:highlight w:val="none"/>
          <w:u w:val="single"/>
          <w:lang w:eastAsia="zh-CN"/>
        </w:rPr>
      </w:pPr>
      <w:r>
        <w:rPr>
          <w:rFonts w:hint="eastAsia" w:ascii="宋体" w:hAnsi="宋体" w:eastAsia="宋体" w:cs="宋体"/>
          <w:b/>
          <w:bCs/>
          <w:color w:val="auto"/>
          <w:sz w:val="24"/>
          <w:highlight w:val="none"/>
        </w:rPr>
        <w:t>1.1.1</w:t>
      </w:r>
      <w:r>
        <w:rPr>
          <w:rFonts w:hint="eastAsia" w:ascii="宋体" w:hAnsi="宋体" w:eastAsia="宋体" w:cs="宋体"/>
          <w:color w:val="auto"/>
          <w:sz w:val="24"/>
          <w:highlight w:val="none"/>
        </w:rPr>
        <w:t xml:space="preserve"> 建设地点：</w:t>
      </w:r>
      <w:r>
        <w:rPr>
          <w:rFonts w:hint="eastAsia" w:ascii="宋体" w:hAnsi="宋体" w:eastAsia="宋体" w:cs="宋体"/>
          <w:snapToGrid w:val="0"/>
          <w:color w:val="auto"/>
          <w:kern w:val="0"/>
          <w:sz w:val="24"/>
          <w:highlight w:val="none"/>
          <w:u w:val="single"/>
          <w:lang w:eastAsia="zh-CN"/>
        </w:rPr>
        <w:t>始兴县顿岗镇全域土地综合整治项目区域内。</w:t>
      </w:r>
    </w:p>
    <w:p w14:paraId="50186313">
      <w:pPr>
        <w:pStyle w:val="39"/>
        <w:pageBreakBefore w:val="0"/>
        <w:kinsoku/>
        <w:wordWrap w:val="0"/>
        <w:overflowPunct/>
        <w:topLinePunct w:val="0"/>
        <w:bidi w:val="0"/>
        <w:adjustRightInd w:val="0"/>
        <w:snapToGrid w:val="0"/>
        <w:spacing w:line="360" w:lineRule="auto"/>
        <w:ind w:left="0" w:leftChars="0" w:firstLine="482" w:firstLineChars="200"/>
        <w:jc w:val="left"/>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1.1.2</w:t>
      </w:r>
      <w:r>
        <w:rPr>
          <w:rFonts w:hint="eastAsia" w:ascii="宋体" w:hAnsi="宋体" w:eastAsia="宋体" w:cs="宋体"/>
          <w:b w:val="0"/>
          <w:bCs w:val="0"/>
          <w:color w:val="auto"/>
          <w:sz w:val="24"/>
          <w:szCs w:val="24"/>
          <w:highlight w:val="none"/>
        </w:rPr>
        <w:t>建设内容和规模：</w:t>
      </w:r>
      <w:r>
        <w:rPr>
          <w:rFonts w:hint="eastAsia" w:ascii="宋体" w:hAnsi="宋体" w:eastAsia="宋体" w:cs="宋体"/>
          <w:color w:val="auto"/>
          <w:kern w:val="2"/>
          <w:sz w:val="24"/>
          <w:highlight w:val="none"/>
          <w:u w:val="single"/>
          <w:lang w:val="en-US" w:eastAsia="zh-CN" w:bidi="ar-SA"/>
        </w:rPr>
        <w:t>项目拟建设周所未来社区农房1-17栋屋顶分布式光伏及配套设施。</w:t>
      </w:r>
    </w:p>
    <w:p w14:paraId="5B9D0E14">
      <w:pPr>
        <w:pageBreakBefore w:val="0"/>
        <w:widowControl/>
        <w:kinsoku/>
        <w:overflowPunct/>
        <w:topLinePunct w:val="0"/>
        <w:bidi w:val="0"/>
        <w:spacing w:line="360" w:lineRule="auto"/>
        <w:ind w:left="0" w:leftChars="0" w:firstLine="482" w:firstLineChars="200"/>
        <w:textAlignment w:val="auto"/>
        <w:rPr>
          <w:rFonts w:hint="eastAsia" w:ascii="宋体" w:hAnsi="宋体" w:eastAsia="宋体" w:cs="宋体"/>
          <w:color w:val="auto"/>
          <w:szCs w:val="24"/>
          <w:highlight w:val="none"/>
          <w:u w:val="single"/>
          <w:lang w:eastAsia="zh-CN"/>
        </w:rPr>
      </w:pPr>
      <w:r>
        <w:rPr>
          <w:rFonts w:hint="eastAsia" w:ascii="宋体" w:hAnsi="宋体" w:eastAsia="宋体" w:cs="宋体"/>
          <w:b/>
          <w:bCs/>
          <w:color w:val="auto"/>
          <w:szCs w:val="24"/>
          <w:highlight w:val="none"/>
        </w:rPr>
        <w:t>1.1.</w:t>
      </w:r>
      <w:r>
        <w:rPr>
          <w:rFonts w:hint="eastAsia" w:ascii="宋体" w:hAnsi="宋体" w:eastAsia="宋体" w:cs="宋体"/>
          <w:b/>
          <w:bCs/>
          <w:color w:val="auto"/>
          <w:szCs w:val="24"/>
          <w:highlight w:val="none"/>
          <w:lang w:val="en-US" w:eastAsia="zh-CN"/>
        </w:rPr>
        <w:t>3</w:t>
      </w:r>
      <w:r>
        <w:rPr>
          <w:rFonts w:hint="eastAsia" w:ascii="宋体" w:hAnsi="宋体" w:eastAsia="宋体" w:cs="宋体"/>
          <w:color w:val="auto"/>
          <w:szCs w:val="24"/>
          <w:highlight w:val="none"/>
        </w:rPr>
        <w:t>项目总投资：</w:t>
      </w:r>
      <w:bookmarkStart w:id="28" w:name="_Toc20999"/>
      <w:r>
        <w:rPr>
          <w:rFonts w:hint="eastAsia" w:ascii="宋体" w:hAnsi="宋体" w:eastAsia="宋体" w:cs="宋体"/>
          <w:color w:val="auto"/>
          <w:sz w:val="24"/>
          <w:szCs w:val="24"/>
          <w:highlight w:val="none"/>
          <w:u w:val="single"/>
          <w:lang w:eastAsia="zh-CN"/>
        </w:rPr>
        <w:t>工程总投资</w:t>
      </w:r>
      <w:r>
        <w:rPr>
          <w:rFonts w:hint="eastAsia" w:ascii="宋体" w:hAnsi="宋体" w:eastAsia="宋体" w:cs="宋体"/>
          <w:color w:val="auto"/>
          <w:sz w:val="24"/>
          <w:szCs w:val="24"/>
          <w:highlight w:val="none"/>
          <w:u w:val="single"/>
          <w:lang w:val="en-US" w:eastAsia="zh-CN"/>
        </w:rPr>
        <w:t>约180万元</w:t>
      </w:r>
      <w:r>
        <w:rPr>
          <w:rFonts w:hint="eastAsia" w:ascii="宋体" w:hAnsi="宋体" w:eastAsia="宋体" w:cs="宋体"/>
          <w:color w:val="auto"/>
          <w:sz w:val="24"/>
          <w:szCs w:val="24"/>
          <w:highlight w:val="none"/>
          <w:u w:val="single"/>
          <w:lang w:eastAsia="zh-CN"/>
        </w:rPr>
        <w:t>。</w:t>
      </w:r>
    </w:p>
    <w:p w14:paraId="2A25A40B">
      <w:pPr>
        <w:pageBreakBefore w:val="0"/>
        <w:widowControl/>
        <w:kinsoku/>
        <w:overflowPunct/>
        <w:topLinePunct w:val="0"/>
        <w:bidi w:val="0"/>
        <w:spacing w:line="360" w:lineRule="auto"/>
        <w:ind w:left="0" w:leftChars="0" w:firstLine="482" w:firstLineChars="200"/>
        <w:textAlignment w:val="auto"/>
        <w:rPr>
          <w:rFonts w:hint="eastAsia" w:ascii="宋体" w:hAnsi="宋体" w:eastAsia="宋体" w:cs="宋体"/>
          <w:snapToGrid w:val="0"/>
          <w:color w:val="auto"/>
          <w:kern w:val="0"/>
          <w:highlight w:val="none"/>
          <w:u w:val="single"/>
          <w:lang w:eastAsia="zh-CN"/>
        </w:rPr>
      </w:pPr>
      <w:r>
        <w:rPr>
          <w:rFonts w:hint="eastAsia" w:ascii="宋体" w:hAnsi="宋体" w:eastAsia="宋体" w:cs="宋体"/>
          <w:b/>
          <w:bCs/>
          <w:snapToGrid w:val="0"/>
          <w:color w:val="auto"/>
          <w:kern w:val="0"/>
          <w:highlight w:val="none"/>
        </w:rPr>
        <w:t>1.2</w:t>
      </w:r>
      <w:r>
        <w:rPr>
          <w:rFonts w:hint="eastAsia" w:ascii="宋体" w:hAnsi="宋体" w:eastAsia="宋体" w:cs="宋体"/>
          <w:snapToGrid w:val="0"/>
          <w:color w:val="auto"/>
          <w:kern w:val="0"/>
          <w:highlight w:val="none"/>
        </w:rPr>
        <w:t xml:space="preserve"> 标段划分：</w:t>
      </w:r>
      <w:bookmarkEnd w:id="28"/>
      <w:r>
        <w:rPr>
          <w:rFonts w:hint="eastAsia" w:ascii="宋体" w:hAnsi="宋体" w:eastAsia="宋体" w:cs="宋体"/>
          <w:snapToGrid w:val="0"/>
          <w:color w:val="auto"/>
          <w:kern w:val="0"/>
          <w:szCs w:val="24"/>
          <w:highlight w:val="none"/>
          <w:u w:val="single"/>
          <w:lang w:eastAsia="zh-CN"/>
        </w:rPr>
        <w:t>本招标项目不划分标段。</w:t>
      </w:r>
    </w:p>
    <w:p w14:paraId="181C6D3A">
      <w:pPr>
        <w:pStyle w:val="36"/>
        <w:pageBreakBefore w:val="0"/>
        <w:kinsoku/>
        <w:overflowPunct/>
        <w:topLinePunct w:val="0"/>
        <w:bidi w:val="0"/>
        <w:spacing w:line="360" w:lineRule="auto"/>
        <w:ind w:left="0" w:leftChars="0" w:firstLine="482" w:firstLineChars="200"/>
        <w:textAlignment w:val="auto"/>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1.3</w:t>
      </w:r>
      <w:r>
        <w:rPr>
          <w:rFonts w:hint="eastAsia" w:ascii="宋体" w:hAnsi="宋体" w:eastAsia="宋体" w:cs="宋体"/>
          <w:color w:val="auto"/>
          <w:szCs w:val="24"/>
          <w:highlight w:val="none"/>
        </w:rPr>
        <w:t xml:space="preserve"> 投标费用：</w:t>
      </w:r>
      <w:r>
        <w:rPr>
          <w:rFonts w:hint="eastAsia" w:ascii="宋体" w:hAnsi="宋体" w:eastAsia="宋体" w:cs="宋体"/>
          <w:color w:val="auto"/>
          <w:szCs w:val="24"/>
          <w:highlight w:val="none"/>
          <w:u w:val="single"/>
        </w:rPr>
        <w:t>投标人应承担所有准备和参加投标的相关费用，不论投标结果如何，招标人均无义务和责任承担这些费用</w:t>
      </w:r>
      <w:r>
        <w:rPr>
          <w:rFonts w:hint="eastAsia" w:ascii="宋体" w:hAnsi="宋体" w:eastAsia="宋体" w:cs="宋体"/>
          <w:color w:val="auto"/>
          <w:szCs w:val="24"/>
          <w:highlight w:val="none"/>
        </w:rPr>
        <w:t>。</w:t>
      </w:r>
      <w:bookmarkStart w:id="29" w:name="_Toc106184808"/>
    </w:p>
    <w:p w14:paraId="46891648">
      <w:pPr>
        <w:pStyle w:val="38"/>
        <w:keepNext/>
        <w:keepLines/>
        <w:pageBreakBefore w:val="0"/>
        <w:kinsoku/>
        <w:overflowPunct/>
        <w:topLinePunct w:val="0"/>
        <w:bidi w:val="0"/>
        <w:spacing w:line="360" w:lineRule="auto"/>
        <w:ind w:left="0" w:leftChars="0" w:firstLine="482" w:firstLineChars="200"/>
        <w:jc w:val="both"/>
        <w:textAlignment w:val="auto"/>
        <w:rPr>
          <w:rFonts w:hint="eastAsia" w:ascii="宋体" w:hAnsi="宋体" w:eastAsia="宋体" w:cs="宋体"/>
          <w:b/>
          <w:color w:val="auto"/>
          <w:kern w:val="2"/>
          <w:highlight w:val="none"/>
        </w:rPr>
      </w:pPr>
      <w:bookmarkStart w:id="30" w:name="_Toc32400"/>
      <w:bookmarkStart w:id="31" w:name="_Toc18851"/>
      <w:bookmarkStart w:id="32" w:name="_Toc121"/>
      <w:bookmarkStart w:id="33" w:name="_Toc14958"/>
      <w:bookmarkStart w:id="34" w:name="_Toc22550"/>
      <w:bookmarkStart w:id="35" w:name="_Toc12273"/>
      <w:bookmarkStart w:id="36" w:name="_Toc17359"/>
      <w:bookmarkStart w:id="37" w:name="_Toc7700"/>
      <w:bookmarkStart w:id="38" w:name="_Toc12190"/>
      <w:r>
        <w:rPr>
          <w:rFonts w:hint="eastAsia" w:ascii="宋体" w:hAnsi="宋体" w:eastAsia="宋体" w:cs="宋体"/>
          <w:b/>
          <w:color w:val="auto"/>
          <w:kern w:val="2"/>
          <w:highlight w:val="none"/>
        </w:rPr>
        <w:t>2</w:t>
      </w:r>
      <w:r>
        <w:rPr>
          <w:rFonts w:hint="eastAsia" w:ascii="宋体" w:hAnsi="宋体" w:eastAsia="宋体" w:cs="宋体"/>
          <w:b/>
          <w:color w:val="auto"/>
          <w:kern w:val="2"/>
          <w:highlight w:val="none"/>
          <w:lang w:val="en-US" w:eastAsia="zh-CN"/>
        </w:rPr>
        <w:t>.</w:t>
      </w:r>
      <w:r>
        <w:rPr>
          <w:rFonts w:hint="eastAsia" w:ascii="宋体" w:hAnsi="宋体" w:eastAsia="宋体" w:cs="宋体"/>
          <w:b/>
          <w:color w:val="auto"/>
          <w:kern w:val="2"/>
          <w:highlight w:val="none"/>
        </w:rPr>
        <w:t>招标范围</w:t>
      </w:r>
      <w:bookmarkEnd w:id="29"/>
      <w:bookmarkEnd w:id="30"/>
      <w:bookmarkEnd w:id="31"/>
      <w:bookmarkEnd w:id="32"/>
      <w:bookmarkEnd w:id="33"/>
      <w:bookmarkEnd w:id="34"/>
      <w:bookmarkEnd w:id="35"/>
      <w:bookmarkEnd w:id="36"/>
      <w:bookmarkEnd w:id="37"/>
      <w:bookmarkEnd w:id="38"/>
    </w:p>
    <w:p w14:paraId="12D33BE7">
      <w:pPr>
        <w:pStyle w:val="36"/>
        <w:pageBreakBefore w:val="0"/>
        <w:kinsoku/>
        <w:overflowPunct/>
        <w:topLinePunct w:val="0"/>
        <w:bidi w:val="0"/>
        <w:spacing w:line="360" w:lineRule="auto"/>
        <w:ind w:left="0" w:leftChars="0" w:firstLine="482" w:firstLineChars="200"/>
        <w:jc w:val="left"/>
        <w:textAlignment w:val="auto"/>
        <w:rPr>
          <w:rFonts w:hint="eastAsia" w:ascii="宋体" w:hAnsi="宋体" w:eastAsia="宋体" w:cs="宋体"/>
          <w:snapToGrid w:val="0"/>
          <w:color w:val="auto"/>
          <w:kern w:val="0"/>
          <w:highlight w:val="none"/>
        </w:rPr>
      </w:pPr>
      <w:bookmarkStart w:id="39" w:name="_Hlt91408212"/>
      <w:bookmarkEnd w:id="39"/>
      <w:r>
        <w:rPr>
          <w:rFonts w:hint="eastAsia" w:ascii="宋体" w:hAnsi="宋体" w:eastAsia="宋体" w:cs="宋体"/>
          <w:b/>
          <w:bCs/>
          <w:color w:val="auto"/>
          <w:sz w:val="24"/>
          <w:szCs w:val="24"/>
          <w:highlight w:val="none"/>
        </w:rPr>
        <w:t>2.1</w:t>
      </w:r>
      <w:r>
        <w:rPr>
          <w:rFonts w:hint="eastAsia" w:ascii="宋体" w:hAnsi="宋体" w:eastAsia="宋体" w:cs="宋体"/>
          <w:color w:val="auto"/>
          <w:sz w:val="24"/>
          <w:szCs w:val="24"/>
          <w:highlight w:val="none"/>
        </w:rPr>
        <w:t>招标范围：</w:t>
      </w:r>
      <w:bookmarkStart w:id="40" w:name="_Toc32739"/>
      <w:bookmarkStart w:id="41" w:name="_Toc21803"/>
      <w:bookmarkStart w:id="42" w:name="_Toc1366"/>
      <w:bookmarkStart w:id="43" w:name="_Toc708"/>
      <w:bookmarkStart w:id="44" w:name="_Toc27886"/>
      <w:bookmarkStart w:id="45" w:name="_Toc2350"/>
      <w:bookmarkStart w:id="46" w:name="_Toc2217"/>
      <w:bookmarkStart w:id="47" w:name="_Toc26845"/>
      <w:r>
        <w:rPr>
          <w:rFonts w:hint="eastAsia" w:ascii="宋体" w:hAnsi="宋体" w:eastAsia="宋体" w:cs="宋体"/>
          <w:snapToGrid w:val="0"/>
          <w:color w:val="auto"/>
          <w:kern w:val="0"/>
          <w:highlight w:val="none"/>
        </w:rPr>
        <w:t>本工程所涉及的内容包括但不限于以下（1）和（2）：</w:t>
      </w:r>
    </w:p>
    <w:p w14:paraId="1D8D7BC6">
      <w:pPr>
        <w:pStyle w:val="36"/>
        <w:pageBreakBefore w:val="0"/>
        <w:kinsoku/>
        <w:overflowPunct/>
        <w:topLinePunct w:val="0"/>
        <w:bidi w:val="0"/>
        <w:spacing w:line="360" w:lineRule="auto"/>
        <w:ind w:left="0" w:leftChars="0" w:firstLine="480" w:firstLineChars="200"/>
        <w:jc w:val="left"/>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lang w:eastAsia="zh-CN"/>
        </w:rPr>
        <w:t>）设计部分：本项目的设计范围：确保项目顺利实施的规划、报建、施工等所需的所有建安工程等设计文件。包括：施工图设计、施工图审查、</w:t>
      </w:r>
      <w:r>
        <w:rPr>
          <w:rFonts w:hint="eastAsia" w:ascii="宋体" w:hAnsi="宋体" w:eastAsia="宋体" w:cs="宋体"/>
          <w:snapToGrid w:val="0"/>
          <w:color w:val="auto"/>
          <w:kern w:val="0"/>
          <w:highlight w:val="none"/>
          <w:lang w:val="en-US" w:eastAsia="zh-CN"/>
        </w:rPr>
        <w:t>施工和</w:t>
      </w:r>
      <w:r>
        <w:rPr>
          <w:rFonts w:hint="eastAsia" w:ascii="宋体" w:hAnsi="宋体" w:eastAsia="宋体" w:cs="宋体"/>
          <w:snapToGrid w:val="0"/>
          <w:color w:val="auto"/>
          <w:kern w:val="0"/>
          <w:highlight w:val="none"/>
          <w:lang w:eastAsia="zh-CN"/>
        </w:rPr>
        <w:t>验收过程中的设计指导及配合阶段验收等。</w:t>
      </w:r>
    </w:p>
    <w:p w14:paraId="798000B5">
      <w:pPr>
        <w:pStyle w:val="36"/>
        <w:pageBreakBefore w:val="0"/>
        <w:kinsoku/>
        <w:overflowPunct/>
        <w:topLinePunct w:val="0"/>
        <w:bidi w:val="0"/>
        <w:spacing w:line="360" w:lineRule="auto"/>
        <w:ind w:left="0" w:leftChars="0" w:firstLine="480" w:firstLineChars="200"/>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（2）施工部分：设计文件及工程量清单范围内的所有工程及配套工程、设施等的施工。</w:t>
      </w:r>
    </w:p>
    <w:p w14:paraId="26A08C9E">
      <w:pPr>
        <w:pStyle w:val="38"/>
        <w:keepNext/>
        <w:keepLines/>
        <w:pageBreakBefore w:val="0"/>
        <w:kinsoku/>
        <w:overflowPunct/>
        <w:topLinePunct w:val="0"/>
        <w:bidi w:val="0"/>
        <w:spacing w:line="360" w:lineRule="auto"/>
        <w:ind w:left="0" w:leftChars="0" w:firstLine="482" w:firstLineChars="200"/>
        <w:jc w:val="both"/>
        <w:textAlignment w:val="auto"/>
        <w:rPr>
          <w:rFonts w:hint="eastAsia" w:ascii="宋体" w:hAnsi="宋体" w:eastAsia="宋体" w:cs="宋体"/>
          <w:b/>
          <w:color w:val="auto"/>
          <w:kern w:val="2"/>
          <w:szCs w:val="22"/>
          <w:highlight w:val="none"/>
        </w:rPr>
      </w:pPr>
      <w:bookmarkStart w:id="48" w:name="_Toc18713"/>
      <w:r>
        <w:rPr>
          <w:rFonts w:hint="eastAsia" w:ascii="宋体" w:hAnsi="宋体" w:eastAsia="宋体" w:cs="宋体"/>
          <w:b/>
          <w:color w:val="auto"/>
          <w:kern w:val="2"/>
          <w:szCs w:val="22"/>
          <w:highlight w:val="none"/>
        </w:rPr>
        <w:t>3</w:t>
      </w:r>
      <w:bookmarkStart w:id="49" w:name="_Hlt66187826"/>
      <w:bookmarkEnd w:id="49"/>
      <w:r>
        <w:rPr>
          <w:rFonts w:hint="eastAsia" w:ascii="宋体" w:hAnsi="宋体" w:eastAsia="宋体" w:cs="宋体"/>
          <w:b/>
          <w:color w:val="auto"/>
          <w:kern w:val="2"/>
          <w:szCs w:val="22"/>
          <w:highlight w:val="none"/>
          <w:lang w:val="en-US" w:eastAsia="zh-CN"/>
        </w:rPr>
        <w:t>.</w:t>
      </w:r>
      <w:r>
        <w:rPr>
          <w:rFonts w:hint="eastAsia" w:ascii="宋体" w:hAnsi="宋体" w:eastAsia="宋体" w:cs="宋体"/>
          <w:b/>
          <w:color w:val="auto"/>
          <w:kern w:val="2"/>
          <w:szCs w:val="22"/>
          <w:highlight w:val="none"/>
        </w:rPr>
        <w:t>工期</w:t>
      </w:r>
      <w:bookmarkEnd w:id="40"/>
      <w:bookmarkEnd w:id="41"/>
      <w:bookmarkEnd w:id="42"/>
      <w:bookmarkEnd w:id="43"/>
      <w:bookmarkEnd w:id="44"/>
      <w:bookmarkEnd w:id="45"/>
      <w:bookmarkEnd w:id="46"/>
      <w:bookmarkEnd w:id="47"/>
      <w:bookmarkEnd w:id="48"/>
    </w:p>
    <w:p w14:paraId="5947A721">
      <w:pPr>
        <w:pStyle w:val="36"/>
        <w:pageBreakBefore w:val="0"/>
        <w:kinsoku/>
        <w:overflowPunct/>
        <w:topLinePunct w:val="0"/>
        <w:bidi w:val="0"/>
        <w:spacing w:line="360" w:lineRule="auto"/>
        <w:ind w:left="0" w:leftChars="0" w:firstLine="482" w:firstLineChars="200"/>
        <w:textAlignment w:val="auto"/>
        <w:rPr>
          <w:rFonts w:hint="eastAsia" w:ascii="宋体" w:hAnsi="宋体" w:eastAsia="宋体" w:cs="宋体"/>
          <w:color w:val="auto"/>
          <w:szCs w:val="24"/>
          <w:highlight w:val="none"/>
        </w:rPr>
      </w:pPr>
      <w:r>
        <w:rPr>
          <w:rFonts w:hint="eastAsia" w:ascii="宋体" w:hAnsi="宋体" w:eastAsia="宋体" w:cs="宋体"/>
          <w:b/>
          <w:bCs/>
          <w:color w:val="auto"/>
          <w:highlight w:val="none"/>
        </w:rPr>
        <w:t>3.1</w:t>
      </w:r>
      <w:r>
        <w:rPr>
          <w:rFonts w:hint="eastAsia" w:ascii="宋体" w:hAnsi="宋体" w:eastAsia="宋体" w:cs="宋体"/>
          <w:color w:val="auto"/>
          <w:highlight w:val="none"/>
        </w:rPr>
        <w:t xml:space="preserve"> 本工程工期为：</w:t>
      </w:r>
      <w:r>
        <w:rPr>
          <w:rFonts w:hint="eastAsia" w:ascii="宋体" w:hAnsi="宋体" w:eastAsia="宋体" w:cs="宋体"/>
          <w:color w:val="auto"/>
          <w:kern w:val="0"/>
          <w:highlight w:val="none"/>
          <w:lang w:val="en-US" w:eastAsia="zh-CN"/>
        </w:rPr>
        <w:t>60</w:t>
      </w:r>
      <w:r>
        <w:rPr>
          <w:rFonts w:hint="eastAsia" w:ascii="宋体" w:hAnsi="宋体" w:eastAsia="宋体" w:cs="宋体"/>
          <w:color w:val="auto"/>
          <w:kern w:val="0"/>
          <w:highlight w:val="none"/>
          <w:lang w:eastAsia="zh-CN"/>
        </w:rPr>
        <w:t>日历天【其中：设计工期</w:t>
      </w:r>
      <w:r>
        <w:rPr>
          <w:rFonts w:hint="eastAsia" w:ascii="宋体" w:hAnsi="宋体" w:eastAsia="宋体" w:cs="宋体"/>
          <w:color w:val="auto"/>
          <w:kern w:val="0"/>
          <w:highlight w:val="none"/>
          <w:lang w:val="en-US" w:eastAsia="zh-CN"/>
        </w:rPr>
        <w:t>20</w:t>
      </w:r>
      <w:r>
        <w:rPr>
          <w:rFonts w:hint="eastAsia" w:ascii="宋体" w:hAnsi="宋体" w:eastAsia="宋体" w:cs="宋体"/>
          <w:color w:val="auto"/>
          <w:kern w:val="0"/>
          <w:highlight w:val="none"/>
          <w:lang w:eastAsia="zh-CN"/>
        </w:rPr>
        <w:t>日历天、施工工期</w:t>
      </w:r>
      <w:r>
        <w:rPr>
          <w:rFonts w:hint="eastAsia" w:ascii="宋体" w:hAnsi="宋体" w:eastAsia="宋体" w:cs="宋体"/>
          <w:color w:val="auto"/>
          <w:kern w:val="0"/>
          <w:highlight w:val="none"/>
          <w:lang w:val="en-US" w:eastAsia="zh-CN"/>
        </w:rPr>
        <w:t>40</w:t>
      </w:r>
      <w:r>
        <w:rPr>
          <w:rFonts w:hint="eastAsia" w:ascii="宋体" w:hAnsi="宋体" w:eastAsia="宋体" w:cs="宋体"/>
          <w:color w:val="auto"/>
          <w:kern w:val="0"/>
          <w:highlight w:val="none"/>
          <w:lang w:eastAsia="zh-CN"/>
        </w:rPr>
        <w:t>日历天】，</w:t>
      </w:r>
      <w:r>
        <w:rPr>
          <w:rFonts w:hint="eastAsia" w:ascii="宋体" w:hAnsi="宋体" w:eastAsia="宋体" w:cs="宋体"/>
          <w:color w:val="auto"/>
          <w:kern w:val="0"/>
          <w:highlight w:val="none"/>
        </w:rPr>
        <w:t>中标人必须在所要求的工期内完成全部工程。</w:t>
      </w:r>
    </w:p>
    <w:p w14:paraId="70883EF8">
      <w:pPr>
        <w:pStyle w:val="36"/>
        <w:pageBreakBefore w:val="0"/>
        <w:kinsoku/>
        <w:overflowPunct/>
        <w:topLinePunct w:val="0"/>
        <w:bidi w:val="0"/>
        <w:spacing w:line="360" w:lineRule="auto"/>
        <w:ind w:left="0" w:leftChars="0" w:firstLine="482" w:firstLineChars="200"/>
        <w:textAlignment w:val="auto"/>
        <w:rPr>
          <w:rFonts w:hint="eastAsia" w:ascii="宋体" w:hAnsi="宋体" w:eastAsia="宋体" w:cs="宋体"/>
          <w:color w:val="auto"/>
          <w:highlight w:val="none"/>
          <w:lang w:val="zh-CN"/>
        </w:rPr>
      </w:pPr>
      <w:r>
        <w:rPr>
          <w:rFonts w:hint="eastAsia" w:ascii="宋体" w:hAnsi="宋体" w:eastAsia="宋体" w:cs="宋体"/>
          <w:b/>
          <w:color w:val="auto"/>
          <w:kern w:val="44"/>
          <w:highlight w:val="none"/>
        </w:rPr>
        <w:t>3.</w:t>
      </w:r>
      <w:r>
        <w:rPr>
          <w:rFonts w:hint="eastAsia" w:ascii="宋体" w:hAnsi="宋体" w:eastAsia="宋体" w:cs="宋体"/>
          <w:b/>
          <w:color w:val="auto"/>
          <w:kern w:val="44"/>
          <w:highlight w:val="none"/>
          <w:lang w:val="en-US" w:eastAsia="zh-CN"/>
        </w:rPr>
        <w:t>2</w:t>
      </w:r>
      <w:r>
        <w:rPr>
          <w:rFonts w:hint="eastAsia" w:ascii="宋体" w:hAnsi="宋体" w:eastAsia="宋体" w:cs="宋体"/>
          <w:color w:val="auto"/>
          <w:highlight w:val="none"/>
        </w:rPr>
        <w:t>设计工期自</w:t>
      </w:r>
      <w:r>
        <w:rPr>
          <w:rFonts w:hint="eastAsia" w:ascii="宋体" w:hAnsi="宋体" w:eastAsia="宋体" w:cs="宋体"/>
          <w:color w:val="auto"/>
          <w:szCs w:val="24"/>
          <w:highlight w:val="none"/>
        </w:rPr>
        <w:t>中标通知书发出之日</w:t>
      </w:r>
      <w:r>
        <w:rPr>
          <w:rFonts w:hint="eastAsia" w:ascii="宋体" w:hAnsi="宋体" w:eastAsia="宋体" w:cs="宋体"/>
          <w:color w:val="auto"/>
          <w:highlight w:val="none"/>
        </w:rPr>
        <w:t>起计算，至提交符合招标人及审图机构要求的施工图设计文件以及符合要求的施工图预算之日止</w:t>
      </w:r>
      <w:r>
        <w:rPr>
          <w:rFonts w:hint="eastAsia" w:ascii="宋体" w:hAnsi="宋体" w:eastAsia="宋体" w:cs="宋体"/>
          <w:color w:val="auto"/>
          <w:highlight w:val="none"/>
          <w:lang w:val="zh-CN"/>
        </w:rPr>
        <w:t>。</w:t>
      </w:r>
    </w:p>
    <w:p w14:paraId="7C53E1A4">
      <w:pPr>
        <w:pStyle w:val="36"/>
        <w:pageBreakBefore w:val="0"/>
        <w:kinsoku/>
        <w:overflowPunct/>
        <w:topLinePunct w:val="0"/>
        <w:bidi w:val="0"/>
        <w:spacing w:line="360" w:lineRule="auto"/>
        <w:ind w:left="0" w:leftChars="0" w:firstLine="482" w:firstLineChars="200"/>
        <w:textAlignment w:val="auto"/>
        <w:rPr>
          <w:rFonts w:hint="eastAsia" w:ascii="宋体" w:hAnsi="宋体" w:eastAsia="宋体" w:cs="宋体"/>
          <w:b/>
          <w:color w:val="auto"/>
          <w:szCs w:val="24"/>
          <w:highlight w:val="none"/>
        </w:rPr>
      </w:pPr>
      <w:r>
        <w:rPr>
          <w:rFonts w:hint="eastAsia" w:ascii="宋体" w:hAnsi="宋体" w:eastAsia="宋体" w:cs="宋体"/>
          <w:b/>
          <w:bCs/>
          <w:color w:val="auto"/>
          <w:highlight w:val="none"/>
        </w:rPr>
        <w:t>3</w:t>
      </w:r>
      <w:r>
        <w:rPr>
          <w:rFonts w:hint="eastAsia" w:ascii="宋体" w:hAnsi="宋体" w:eastAsia="宋体" w:cs="宋体"/>
          <w:b/>
          <w:bCs/>
          <w:color w:val="auto"/>
          <w:highlight w:val="none"/>
          <w:lang w:val="zh-CN"/>
        </w:rPr>
        <w:t>.</w:t>
      </w:r>
      <w:r>
        <w:rPr>
          <w:rFonts w:hint="eastAsia" w:ascii="宋体" w:hAnsi="宋体" w:eastAsia="宋体" w:cs="宋体"/>
          <w:b/>
          <w:bCs/>
          <w:color w:val="auto"/>
          <w:highlight w:val="none"/>
          <w:lang w:val="en-US" w:eastAsia="zh-CN"/>
        </w:rPr>
        <w:t>3</w:t>
      </w:r>
      <w:r>
        <w:rPr>
          <w:rFonts w:hint="eastAsia" w:ascii="宋体" w:hAnsi="宋体" w:eastAsia="宋体" w:cs="宋体"/>
          <w:color w:val="auto"/>
          <w:highlight w:val="none"/>
          <w:lang w:val="zh-CN"/>
        </w:rPr>
        <w:t xml:space="preserve"> 施工工期从开工令签发之日起计，至竣工验收之日止。</w:t>
      </w:r>
      <w:bookmarkStart w:id="50" w:name="_Toc11872"/>
    </w:p>
    <w:p w14:paraId="0D552480">
      <w:pPr>
        <w:pStyle w:val="38"/>
        <w:keepNext/>
        <w:keepLines/>
        <w:pageBreakBefore w:val="0"/>
        <w:kinsoku/>
        <w:overflowPunct/>
        <w:topLinePunct w:val="0"/>
        <w:bidi w:val="0"/>
        <w:spacing w:line="360" w:lineRule="auto"/>
        <w:ind w:left="0" w:leftChars="0" w:firstLine="482" w:firstLineChars="200"/>
        <w:jc w:val="both"/>
        <w:textAlignment w:val="auto"/>
        <w:rPr>
          <w:rFonts w:hint="eastAsia" w:ascii="宋体" w:hAnsi="宋体" w:eastAsia="宋体" w:cs="宋体"/>
          <w:b/>
          <w:color w:val="auto"/>
          <w:kern w:val="2"/>
          <w:szCs w:val="24"/>
          <w:highlight w:val="none"/>
        </w:rPr>
      </w:pPr>
      <w:bookmarkStart w:id="51" w:name="_Toc3312"/>
      <w:bookmarkStart w:id="52" w:name="_Toc24539"/>
      <w:bookmarkStart w:id="53" w:name="_Toc1889"/>
      <w:bookmarkStart w:id="54" w:name="_Toc13379"/>
      <w:bookmarkStart w:id="55" w:name="_Toc2499"/>
      <w:bookmarkStart w:id="56" w:name="_Toc19644"/>
      <w:bookmarkStart w:id="57" w:name="_Toc23419"/>
      <w:bookmarkStart w:id="58" w:name="_Toc30034"/>
      <w:r>
        <w:rPr>
          <w:rFonts w:hint="eastAsia" w:ascii="宋体" w:hAnsi="宋体" w:eastAsia="宋体" w:cs="宋体"/>
          <w:b/>
          <w:color w:val="auto"/>
          <w:kern w:val="2"/>
          <w:highlight w:val="none"/>
        </w:rPr>
        <w:t>4</w:t>
      </w:r>
      <w:r>
        <w:rPr>
          <w:rFonts w:hint="eastAsia" w:ascii="宋体" w:hAnsi="宋体" w:eastAsia="宋体" w:cs="宋体"/>
          <w:b/>
          <w:color w:val="auto"/>
          <w:kern w:val="2"/>
          <w:highlight w:val="none"/>
          <w:lang w:val="en-US" w:eastAsia="zh-CN"/>
        </w:rPr>
        <w:t>.</w:t>
      </w:r>
      <w:r>
        <w:rPr>
          <w:rFonts w:hint="eastAsia" w:ascii="宋体" w:hAnsi="宋体" w:eastAsia="宋体" w:cs="宋体"/>
          <w:b/>
          <w:color w:val="auto"/>
          <w:kern w:val="2"/>
          <w:highlight w:val="none"/>
        </w:rPr>
        <w:t>投标人资质及条件要求</w:t>
      </w:r>
      <w:bookmarkEnd w:id="50"/>
      <w:bookmarkEnd w:id="51"/>
      <w:bookmarkEnd w:id="52"/>
      <w:bookmarkEnd w:id="53"/>
      <w:bookmarkEnd w:id="54"/>
      <w:bookmarkEnd w:id="55"/>
      <w:bookmarkEnd w:id="56"/>
      <w:bookmarkEnd w:id="57"/>
      <w:bookmarkEnd w:id="58"/>
      <w:bookmarkStart w:id="59" w:name="_Hlt74496495"/>
      <w:bookmarkEnd w:id="59"/>
    </w:p>
    <w:p w14:paraId="366881C6">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bookmarkStart w:id="60" w:name="_Toc18979"/>
      <w:bookmarkStart w:id="61" w:name="_Toc3094"/>
      <w:bookmarkStart w:id="62" w:name="_Toc3588"/>
      <w:bookmarkStart w:id="63" w:name="_Toc2707"/>
      <w:bookmarkStart w:id="64" w:name="_Toc24391"/>
      <w:bookmarkStart w:id="65" w:name="_Toc20378"/>
      <w:bookmarkStart w:id="66" w:name="_Toc17645"/>
      <w:bookmarkStart w:id="67" w:name="_Toc8294"/>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本次招标</w:t>
      </w:r>
      <w:r>
        <w:rPr>
          <w:rFonts w:hint="eastAsia" w:ascii="宋体" w:hAnsi="宋体" w:eastAsia="宋体" w:cs="宋体"/>
          <w:color w:val="auto"/>
          <w:sz w:val="24"/>
          <w:highlight w:val="none"/>
          <w:u w:val="single"/>
        </w:rPr>
        <w:t>接受</w:t>
      </w:r>
      <w:r>
        <w:rPr>
          <w:rFonts w:hint="eastAsia" w:ascii="宋体" w:hAnsi="宋体" w:eastAsia="宋体" w:cs="宋体"/>
          <w:color w:val="auto"/>
          <w:sz w:val="24"/>
          <w:highlight w:val="none"/>
        </w:rPr>
        <w:t>联合体投标，联合体以一个投标人的身份共同投标。</w:t>
      </w:r>
    </w:p>
    <w:p w14:paraId="665BC3CC">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1.1</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联合体成员数量不超过</w:t>
      </w:r>
      <w:r>
        <w:rPr>
          <w:rFonts w:hint="eastAsia" w:ascii="宋体" w:hAnsi="宋体" w:eastAsia="宋体" w:cs="宋体"/>
          <w:color w:val="auto"/>
          <w:sz w:val="24"/>
          <w:highlight w:val="none"/>
          <w:u w:val="single"/>
        </w:rPr>
        <w:t>2</w:t>
      </w:r>
      <w:r>
        <w:rPr>
          <w:rFonts w:hint="eastAsia" w:ascii="宋体" w:hAnsi="宋体" w:eastAsia="宋体" w:cs="宋体"/>
          <w:color w:val="auto"/>
          <w:sz w:val="24"/>
          <w:highlight w:val="none"/>
        </w:rPr>
        <w:t>个。</w:t>
      </w:r>
    </w:p>
    <w:p w14:paraId="17C6AB35">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1.2</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4C4F2516">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1.3</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537656F">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1.4</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联合体各方不得再以自己名义单独或参加其他联合体在本招标项目中投标，否则各相关投标均无效。</w:t>
      </w:r>
    </w:p>
    <w:p w14:paraId="5817765E">
      <w:pPr>
        <w:pageBreakBefore w:val="0"/>
        <w:kinsoku/>
        <w:overflowPunct/>
        <w:topLinePunct w:val="0"/>
        <w:bidi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Cs w:val="24"/>
          <w:highlight w:val="none"/>
        </w:rPr>
        <w:t>2.资质要求</w:t>
      </w:r>
    </w:p>
    <w:p w14:paraId="0BCE3347">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2.1</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投标人须具备独立法人</w:t>
      </w:r>
      <w:r>
        <w:rPr>
          <w:rFonts w:hint="eastAsia" w:ascii="宋体" w:hAnsi="宋体" w:eastAsia="宋体" w:cs="宋体"/>
          <w:color w:val="auto"/>
          <w:sz w:val="24"/>
          <w:highlight w:val="none"/>
          <w:lang w:val="en-US" w:eastAsia="zh-CN"/>
        </w:rPr>
        <w:t>或其他组织资格</w:t>
      </w:r>
      <w:r>
        <w:rPr>
          <w:rFonts w:hint="eastAsia" w:ascii="宋体" w:hAnsi="宋体" w:eastAsia="宋体" w:cs="宋体"/>
          <w:color w:val="auto"/>
          <w:sz w:val="24"/>
          <w:highlight w:val="none"/>
        </w:rPr>
        <w:t>，按国家法律经营。</w:t>
      </w:r>
    </w:p>
    <w:p w14:paraId="378F7154">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4.2.2</w:t>
      </w:r>
      <w:r>
        <w:rPr>
          <w:rFonts w:hint="eastAsia" w:ascii="宋体" w:hAnsi="宋体" w:cs="宋体"/>
          <w:color w:val="auto"/>
          <w:sz w:val="24"/>
          <w:highlight w:val="none"/>
          <w:lang w:val="en-US" w:eastAsia="zh-CN"/>
        </w:rPr>
        <w:t>如</w:t>
      </w:r>
      <w:r>
        <w:rPr>
          <w:rFonts w:hint="eastAsia" w:ascii="宋体" w:hAnsi="宋体" w:eastAsia="宋体" w:cs="宋体"/>
          <w:color w:val="auto"/>
          <w:sz w:val="24"/>
          <w:highlight w:val="none"/>
          <w:lang w:val="en-US" w:eastAsia="zh-CN"/>
        </w:rPr>
        <w:t>分公司投标时，需同时满足以下条件：</w:t>
      </w:r>
    </w:p>
    <w:p w14:paraId="700AE143">
      <w:pPr>
        <w:pStyle w:val="39"/>
        <w:pageBreakBefore w:val="0"/>
        <w:numPr>
          <w:ilvl w:val="0"/>
          <w:numId w:val="0"/>
        </w:numPr>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（1）分公司参与投标时，须提供总公司的资质证书和分公司的营业执照，并在总公司的授权范围内进行，需总公司提供授权书（格式自拟）。</w:t>
      </w:r>
    </w:p>
    <w:p w14:paraId="24E6BD70">
      <w:pPr>
        <w:pStyle w:val="39"/>
        <w:pageBreakBefore w:val="0"/>
        <w:numPr>
          <w:ilvl w:val="0"/>
          <w:numId w:val="0"/>
        </w:numPr>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（2）因分公司不具有法人资格，其民事责任由总公司承担，须总公司出具承诺函（格式自拟）。</w:t>
      </w:r>
    </w:p>
    <w:p w14:paraId="3581C196">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投标人须持有行政主管部门颁发的企业资质证书。</w:t>
      </w:r>
    </w:p>
    <w:p w14:paraId="1774858C">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参加投标的投标人可以是单一独立法人</w:t>
      </w:r>
      <w:r>
        <w:rPr>
          <w:rFonts w:hint="eastAsia" w:ascii="宋体" w:hAnsi="宋体" w:eastAsia="宋体" w:cs="宋体"/>
          <w:color w:val="auto"/>
          <w:sz w:val="24"/>
          <w:highlight w:val="none"/>
          <w:lang w:val="en-US" w:eastAsia="zh-CN"/>
        </w:rPr>
        <w:t>或其他组织，</w:t>
      </w:r>
      <w:r>
        <w:rPr>
          <w:rFonts w:hint="eastAsia" w:ascii="宋体" w:hAnsi="宋体" w:eastAsia="宋体" w:cs="宋体"/>
          <w:color w:val="auto"/>
          <w:sz w:val="24"/>
          <w:highlight w:val="none"/>
        </w:rPr>
        <w:t>或由不超过两家独立法人</w:t>
      </w:r>
      <w:r>
        <w:rPr>
          <w:rFonts w:hint="eastAsia" w:ascii="宋体" w:hAnsi="宋体" w:eastAsia="宋体" w:cs="宋体"/>
          <w:color w:val="auto"/>
          <w:sz w:val="24"/>
          <w:highlight w:val="none"/>
          <w:lang w:val="en-US" w:eastAsia="zh-CN"/>
        </w:rPr>
        <w:t>或其他组织</w:t>
      </w:r>
      <w:r>
        <w:rPr>
          <w:rFonts w:hint="eastAsia" w:ascii="宋体" w:hAnsi="宋体" w:eastAsia="宋体" w:cs="宋体"/>
          <w:color w:val="auto"/>
          <w:sz w:val="24"/>
          <w:highlight w:val="none"/>
        </w:rPr>
        <w:t>组成的联合体（必须注明其中一家为牵头人；联合体成员中设计、施工单位分别不得超过一家），联合体各方不得再以自己的名义单独申请，也不得同时参加两个或两个以上的联合体进行本项目的投标。单一独立法人</w:t>
      </w:r>
      <w:r>
        <w:rPr>
          <w:rFonts w:hint="eastAsia" w:ascii="宋体" w:hAnsi="宋体" w:eastAsia="宋体" w:cs="宋体"/>
          <w:color w:val="auto"/>
          <w:sz w:val="24"/>
          <w:highlight w:val="none"/>
          <w:lang w:val="en-US" w:eastAsia="zh-CN"/>
        </w:rPr>
        <w:t>或其他组织</w:t>
      </w:r>
      <w:r>
        <w:rPr>
          <w:rFonts w:hint="eastAsia" w:ascii="宋体" w:hAnsi="宋体" w:eastAsia="宋体" w:cs="宋体"/>
          <w:color w:val="auto"/>
          <w:sz w:val="24"/>
          <w:highlight w:val="none"/>
        </w:rPr>
        <w:t>必须至少同时具备以下①～②资质，组成联合体投标的，联合后必须至少具备以下①～②资质，联合体牵头人必须具备①资质，由同一专业的单位组成的联合体，按照资质等级较低的单位确定资质等级：</w:t>
      </w:r>
    </w:p>
    <w:p w14:paraId="239C0C12">
      <w:pPr>
        <w:keepNext w:val="0"/>
        <w:keepLines w:val="0"/>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①施工资质</w:t>
      </w:r>
      <w:r>
        <w:rPr>
          <w:rFonts w:hint="eastAsia" w:ascii="宋体" w:hAnsi="宋体" w:eastAsia="宋体" w:cs="宋体"/>
          <w:color w:val="auto"/>
          <w:sz w:val="24"/>
          <w:highlight w:val="none"/>
          <w:lang w:val="en-US" w:eastAsia="zh-CN"/>
        </w:rPr>
        <w:t>要求</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具备建设行政主管部门颁发的电力工程施工总承包叁级或及以上资质，同时</w:t>
      </w:r>
      <w:r>
        <w:rPr>
          <w:rFonts w:hint="eastAsia" w:ascii="宋体" w:hAnsi="宋体" w:eastAsia="宋体" w:cs="宋体"/>
          <w:color w:val="auto"/>
          <w:sz w:val="24"/>
          <w:highlight w:val="none"/>
          <w:lang w:val="en-US" w:eastAsia="zh-CN"/>
        </w:rPr>
        <w:t>持有国家能源局颁发的《承装(修、试)电力设施许可证》承装、承试五级或以上许可，资质须在有效期内。对应于2025年7月1日起换发的电子证照，应为承装类三级、承试类三级或以上许可资格。【注:依据国家能源局关于做好承装(修、试)电力设施许可证换领和延续工作的通知(国能发资质(2025)44 号)。如有最新政策文件的，从其规定。】</w:t>
      </w:r>
    </w:p>
    <w:p w14:paraId="77BDEB71">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bCs/>
          <w:snapToGrid w:val="0"/>
          <w:color w:val="auto"/>
          <w:kern w:val="0"/>
          <w:sz w:val="24"/>
          <w:highlight w:val="none"/>
          <w:lang w:eastAsia="zh-CN"/>
        </w:rPr>
      </w:pPr>
      <w:r>
        <w:rPr>
          <w:rFonts w:hint="eastAsia" w:ascii="宋体" w:hAnsi="宋体" w:eastAsia="宋体" w:cs="宋体"/>
          <w:color w:val="auto"/>
          <w:sz w:val="24"/>
          <w:highlight w:val="none"/>
        </w:rPr>
        <w:t>②设计资质要求：</w:t>
      </w:r>
      <w:r>
        <w:rPr>
          <w:rFonts w:hint="eastAsia" w:ascii="宋体" w:hAnsi="宋体" w:eastAsia="宋体" w:cs="宋体"/>
          <w:color w:val="auto"/>
          <w:sz w:val="24"/>
          <w:highlight w:val="none"/>
          <w:lang w:val="en-US" w:eastAsia="zh-CN"/>
        </w:rPr>
        <w:t>具备</w:t>
      </w:r>
      <w:r>
        <w:rPr>
          <w:rFonts w:hint="eastAsia" w:ascii="宋体" w:hAnsi="宋体" w:eastAsia="宋体" w:cs="宋体"/>
          <w:color w:val="auto"/>
          <w:sz w:val="24"/>
          <w:highlight w:val="none"/>
        </w:rPr>
        <w:t>工程设计综合资质甲级或工程设计</w:t>
      </w:r>
      <w:r>
        <w:rPr>
          <w:rFonts w:hint="eastAsia" w:ascii="宋体" w:hAnsi="宋体" w:eastAsia="宋体" w:cs="宋体"/>
          <w:color w:val="auto"/>
          <w:sz w:val="24"/>
          <w:highlight w:val="none"/>
          <w:lang w:val="en-US" w:eastAsia="zh-CN"/>
        </w:rPr>
        <w:t>电力行业</w:t>
      </w:r>
      <w:r>
        <w:rPr>
          <w:rFonts w:hint="eastAsia" w:ascii="宋体" w:hAnsi="宋体" w:eastAsia="宋体" w:cs="宋体"/>
          <w:color w:val="auto"/>
          <w:sz w:val="24"/>
          <w:highlight w:val="none"/>
        </w:rPr>
        <w:t>新能源</w:t>
      </w:r>
      <w:r>
        <w:rPr>
          <w:rFonts w:hint="eastAsia" w:ascii="宋体" w:hAnsi="宋体" w:eastAsia="宋体" w:cs="宋体"/>
          <w:color w:val="auto"/>
          <w:sz w:val="24"/>
          <w:highlight w:val="none"/>
          <w:lang w:val="en-US" w:eastAsia="zh-CN"/>
        </w:rPr>
        <w:t>发电</w:t>
      </w:r>
      <w:r>
        <w:rPr>
          <w:rFonts w:hint="eastAsia" w:ascii="宋体" w:hAnsi="宋体" w:eastAsia="宋体" w:cs="宋体"/>
          <w:bCs/>
          <w:snapToGrid w:val="0"/>
          <w:color w:val="auto"/>
          <w:kern w:val="0"/>
          <w:sz w:val="24"/>
          <w:highlight w:val="none"/>
        </w:rPr>
        <w:t>乙级</w:t>
      </w:r>
      <w:r>
        <w:rPr>
          <w:rFonts w:hint="eastAsia" w:ascii="宋体" w:hAnsi="宋体" w:eastAsia="宋体" w:cs="宋体"/>
          <w:bCs/>
          <w:snapToGrid w:val="0"/>
          <w:color w:val="auto"/>
          <w:kern w:val="0"/>
          <w:sz w:val="24"/>
          <w:highlight w:val="none"/>
          <w:lang w:val="en-US" w:eastAsia="zh-CN"/>
        </w:rPr>
        <w:t>（含乙级）</w:t>
      </w:r>
      <w:r>
        <w:rPr>
          <w:rFonts w:hint="eastAsia" w:ascii="宋体" w:hAnsi="宋体" w:eastAsia="宋体" w:cs="宋体"/>
          <w:bCs/>
          <w:snapToGrid w:val="0"/>
          <w:color w:val="auto"/>
          <w:kern w:val="0"/>
          <w:sz w:val="24"/>
          <w:highlight w:val="none"/>
        </w:rPr>
        <w:t>资质</w:t>
      </w:r>
      <w:r>
        <w:rPr>
          <w:rFonts w:hint="eastAsia" w:ascii="宋体" w:hAnsi="宋体" w:eastAsia="宋体" w:cs="宋体"/>
          <w:bCs/>
          <w:snapToGrid w:val="0"/>
          <w:color w:val="auto"/>
          <w:kern w:val="0"/>
          <w:sz w:val="24"/>
          <w:highlight w:val="none"/>
          <w:lang w:val="en-US" w:eastAsia="zh-CN"/>
        </w:rPr>
        <w:t>及以上</w:t>
      </w:r>
      <w:r>
        <w:rPr>
          <w:rFonts w:hint="eastAsia" w:ascii="宋体" w:hAnsi="宋体" w:eastAsia="宋体" w:cs="宋体"/>
          <w:bCs/>
          <w:snapToGrid w:val="0"/>
          <w:color w:val="auto"/>
          <w:kern w:val="0"/>
          <w:sz w:val="24"/>
          <w:highlight w:val="none"/>
          <w:lang w:eastAsia="zh-CN"/>
        </w:rPr>
        <w:t>。</w:t>
      </w:r>
    </w:p>
    <w:p w14:paraId="65050115">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5</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4197BE9">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相关人员要求</w:t>
      </w:r>
    </w:p>
    <w:p w14:paraId="1965B739">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3.1</w:t>
      </w:r>
      <w:r>
        <w:rPr>
          <w:rFonts w:hint="eastAsia" w:ascii="宋体" w:hAnsi="宋体" w:eastAsia="宋体" w:cs="宋体"/>
          <w:color w:val="auto"/>
          <w:sz w:val="24"/>
          <w:szCs w:val="24"/>
          <w:highlight w:val="none"/>
          <w:lang w:eastAsia="zh-CN"/>
        </w:rPr>
        <w:t>拟派项目经理为</w:t>
      </w:r>
      <w:r>
        <w:rPr>
          <w:rFonts w:hint="eastAsia" w:ascii="宋体" w:hAnsi="宋体" w:eastAsia="宋体" w:cs="宋体"/>
          <w:color w:val="auto"/>
          <w:sz w:val="24"/>
          <w:szCs w:val="24"/>
          <w:highlight w:val="none"/>
          <w:u w:val="single"/>
          <w:lang w:eastAsia="zh-CN"/>
        </w:rPr>
        <w:t>机电工程</w:t>
      </w:r>
      <w:r>
        <w:rPr>
          <w:rFonts w:hint="eastAsia" w:ascii="宋体" w:hAnsi="宋体" w:eastAsia="宋体" w:cs="宋体"/>
          <w:color w:val="auto"/>
          <w:sz w:val="24"/>
          <w:szCs w:val="24"/>
          <w:highlight w:val="none"/>
          <w:u w:val="none"/>
          <w:lang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6E91E2AE">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yellow"/>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3.2</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投标人拟派项目技术负责人须具备</w:t>
      </w:r>
      <w:r>
        <w:rPr>
          <w:rFonts w:hint="eastAsia" w:ascii="宋体" w:hAnsi="宋体" w:eastAsia="宋体" w:cs="宋体"/>
          <w:color w:val="auto"/>
          <w:sz w:val="24"/>
          <w:highlight w:val="none"/>
          <w:u w:val="single"/>
        </w:rPr>
        <w:t>中级</w:t>
      </w:r>
      <w:r>
        <w:rPr>
          <w:rFonts w:hint="eastAsia" w:ascii="宋体" w:hAnsi="宋体" w:eastAsia="宋体" w:cs="宋体"/>
          <w:color w:val="auto"/>
          <w:sz w:val="24"/>
          <w:highlight w:val="none"/>
        </w:rPr>
        <w:t>以上(含中级)技术职称。</w:t>
      </w:r>
    </w:p>
    <w:p w14:paraId="36A000CF">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FF0000"/>
          <w:sz w:val="24"/>
          <w:highlight w:val="none"/>
          <w:lang w:val="en-US" w:eastAsia="zh-CN"/>
        </w:rPr>
      </w:pPr>
      <w:r>
        <w:rPr>
          <w:rFonts w:hint="eastAsia" w:ascii="宋体" w:hAnsi="宋体" w:eastAsia="宋体" w:cs="宋体"/>
          <w:color w:val="auto"/>
          <w:sz w:val="24"/>
          <w:highlight w:val="none"/>
          <w:lang w:val="en-US" w:eastAsia="zh-CN"/>
        </w:rPr>
        <w:t>4.3.3.投标人拟派项目设计负责人具有</w:t>
      </w:r>
      <w:r>
        <w:rPr>
          <w:rFonts w:hint="eastAsia" w:ascii="宋体" w:hAnsi="宋体" w:eastAsia="宋体" w:cs="宋体"/>
          <w:color w:val="auto"/>
          <w:sz w:val="24"/>
          <w:highlight w:val="none"/>
          <w:u w:val="single"/>
          <w:lang w:val="en-US" w:eastAsia="zh-CN"/>
        </w:rPr>
        <w:t>电力工程相关</w:t>
      </w:r>
      <w:r>
        <w:rPr>
          <w:rFonts w:hint="eastAsia" w:ascii="宋体" w:hAnsi="宋体" w:eastAsia="宋体" w:cs="宋体"/>
          <w:color w:val="auto"/>
          <w:sz w:val="24"/>
          <w:highlight w:val="none"/>
          <w:lang w:val="en-US" w:eastAsia="zh-CN"/>
        </w:rPr>
        <w:t>专业</w:t>
      </w:r>
      <w:r>
        <w:rPr>
          <w:rFonts w:hint="eastAsia" w:ascii="宋体" w:hAnsi="宋体" w:eastAsia="宋体" w:cs="宋体"/>
          <w:color w:val="auto"/>
          <w:sz w:val="24"/>
          <w:highlight w:val="none"/>
          <w:u w:val="single"/>
          <w:lang w:val="en-US" w:eastAsia="zh-CN"/>
        </w:rPr>
        <w:t>中级</w:t>
      </w:r>
      <w:r>
        <w:rPr>
          <w:rFonts w:hint="eastAsia" w:ascii="宋体" w:hAnsi="宋体" w:eastAsia="宋体" w:cs="宋体"/>
          <w:color w:val="auto"/>
          <w:sz w:val="24"/>
          <w:highlight w:val="none"/>
          <w:lang w:val="en-US" w:eastAsia="zh-CN"/>
        </w:rPr>
        <w:t>以上（含中级）技术职称。</w:t>
      </w:r>
    </w:p>
    <w:p w14:paraId="44A028D1">
      <w:pPr>
        <w:pStyle w:val="39"/>
        <w:pageBreakBefore w:val="0"/>
        <w:kinsoku/>
        <w:wordWrap w:val="0"/>
        <w:overflowPunct/>
        <w:topLinePunct w:val="0"/>
        <w:bidi w:val="0"/>
        <w:adjustRightInd w:val="0"/>
        <w:snapToGrid w:val="0"/>
        <w:spacing w:line="360" w:lineRule="auto"/>
        <w:ind w:left="0" w:leftChars="0"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rPr>
        <w:t>拟派专职安全生产管理人员须具备有效安全生产考核合格证明（C证，安全生产考核合格证书或广东省建筑施工企业管理人员安全生产考核系统考核合格信息打印页），且不少于1人。</w:t>
      </w:r>
    </w:p>
    <w:p w14:paraId="36C09462">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Cs w:val="24"/>
          <w:highlight w:val="none"/>
        </w:rPr>
        <w:t>3.5</w:t>
      </w:r>
      <w:r>
        <w:rPr>
          <w:rFonts w:hint="eastAsia" w:hAnsi="宋体" w:eastAsia="宋体" w:cs="宋体"/>
          <w:color w:val="auto"/>
          <w:szCs w:val="24"/>
          <w:highlight w:val="none"/>
          <w:lang w:val="en-US" w:eastAsia="zh-CN"/>
        </w:rPr>
        <w:t>.</w:t>
      </w:r>
      <w:r>
        <w:rPr>
          <w:rFonts w:hint="eastAsia" w:ascii="宋体" w:hAnsi="宋体" w:eastAsia="宋体" w:cs="宋体"/>
          <w:color w:val="auto"/>
          <w:szCs w:val="24"/>
          <w:highlight w:val="none"/>
        </w:rPr>
        <w:t>投标人（包括组成联合体的所有成员单位）与其拟派往本项目管理机构的所有人员之间必须具备合法、唯一的劳动聘用关系。拟派人员中具备注册执业资格的，其注册单位须与投标人保持一致。</w:t>
      </w:r>
    </w:p>
    <w:p w14:paraId="19EC7B84">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Cs w:val="24"/>
          <w:highlight w:val="none"/>
        </w:rPr>
        <w:t>4．禁止投标条款：</w:t>
      </w:r>
    </w:p>
    <w:p w14:paraId="317A7B38">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Cs w:val="24"/>
          <w:highlight w:val="none"/>
        </w:rPr>
        <w:t>4.1</w:t>
      </w:r>
      <w:r>
        <w:rPr>
          <w:rFonts w:hint="eastAsia" w:hAnsi="宋体" w:eastAsia="宋体" w:cs="宋体"/>
          <w:color w:val="auto"/>
          <w:szCs w:val="24"/>
          <w:highlight w:val="none"/>
          <w:lang w:val="en-US" w:eastAsia="zh-CN"/>
        </w:rPr>
        <w:t>.</w:t>
      </w:r>
      <w:r>
        <w:rPr>
          <w:rFonts w:hint="eastAsia" w:ascii="宋体" w:hAnsi="宋体" w:eastAsia="宋体" w:cs="宋体"/>
          <w:color w:val="auto"/>
          <w:szCs w:val="24"/>
          <w:highlight w:val="none"/>
        </w:rPr>
        <w:t>投标人不得存在下列情形之一：</w:t>
      </w:r>
    </w:p>
    <w:p w14:paraId="17F29B3A">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（1）为招标人不具有独立法人</w:t>
      </w:r>
      <w:r>
        <w:rPr>
          <w:rFonts w:hint="eastAsia" w:ascii="宋体" w:hAnsi="宋体" w:eastAsia="宋体" w:cs="宋体"/>
          <w:color w:val="auto"/>
          <w:szCs w:val="24"/>
          <w:highlight w:val="none"/>
          <w:lang w:val="en-US" w:eastAsia="zh-CN"/>
        </w:rPr>
        <w:t>或其他组织</w:t>
      </w:r>
      <w:r>
        <w:rPr>
          <w:rFonts w:hint="eastAsia" w:ascii="宋体" w:hAnsi="宋体" w:eastAsia="宋体" w:cs="宋体"/>
          <w:color w:val="auto"/>
          <w:szCs w:val="24"/>
          <w:highlight w:val="none"/>
        </w:rPr>
        <w:t>资格的附属机构（单位）；</w:t>
      </w:r>
    </w:p>
    <w:p w14:paraId="110E6F34">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（2）为本招标项目前期准备提供咨询服务的；</w:t>
      </w:r>
    </w:p>
    <w:p w14:paraId="54719ADE">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（3）与本招标项目的其他投标人为同一个单位负责人；</w:t>
      </w:r>
    </w:p>
    <w:p w14:paraId="20748C1E">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（4）与本招标项目的其他投标人存在控股、管理关系；</w:t>
      </w:r>
    </w:p>
    <w:p w14:paraId="3FD60688">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（5）为本招标项目的监理人；</w:t>
      </w:r>
    </w:p>
    <w:p w14:paraId="26F808AC">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（6）为本招标项目的代建人；</w:t>
      </w:r>
    </w:p>
    <w:p w14:paraId="6AEA5505">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（7）为本招标项目的招标代理机构；</w:t>
      </w:r>
    </w:p>
    <w:p w14:paraId="1CA9635D">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（8）与本招标项目的监理人或代建人或招标代理机构同为一个法定代表人；</w:t>
      </w:r>
    </w:p>
    <w:p w14:paraId="21044D8B">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（9）与本招标项目的监理人或代建人或招标代理机构存在控股或参股关系；</w:t>
      </w:r>
    </w:p>
    <w:p w14:paraId="06781C49">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（10）与本招标项目的监理人或代建人或招标代理机构存在相互任职或工作关系；</w:t>
      </w:r>
    </w:p>
    <w:p w14:paraId="24B1D2E7">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（11）被依法暂停或者取消投标资格；</w:t>
      </w:r>
    </w:p>
    <w:p w14:paraId="580663F5">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（12）被责令停产停业、暂扣或者吊销许可证、暂扣或者吊销执照；</w:t>
      </w:r>
    </w:p>
    <w:p w14:paraId="4B5DC6E9">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（13）进入清算程序，或被宣告破产，或其他丧失履约能力的情形；</w:t>
      </w:r>
    </w:p>
    <w:p w14:paraId="7B05B0B7">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（14）在最近三年内发生重大工程质量或安全问题（以相关行业主管部门的行政处罚决定或司法机关出具的有关法律文书为准）；</w:t>
      </w:r>
    </w:p>
    <w:p w14:paraId="3902F8E7">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（15）被“信用中国”网站（https://www.creditchina.gov.cn）发布的《法人和非法人组织公共信用信息报告》列入严重失信主体名单的。</w:t>
      </w:r>
    </w:p>
    <w:p w14:paraId="2BA7F1C9">
      <w:pPr>
        <w:pageBreakBefore w:val="0"/>
        <w:kinsoku/>
        <w:wordWrap w:val="0"/>
        <w:overflowPunct/>
        <w:topLinePunct w:val="0"/>
        <w:bidi w:val="0"/>
        <w:adjustRightInd w:val="0"/>
        <w:snapToGrid w:val="0"/>
        <w:spacing w:line="360"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Cs w:val="24"/>
          <w:highlight w:val="none"/>
        </w:rPr>
        <w:t>4.2</w:t>
      </w:r>
      <w:r>
        <w:rPr>
          <w:rFonts w:hint="eastAsia" w:hAnsi="宋体" w:eastAsia="宋体" w:cs="宋体"/>
          <w:color w:val="auto"/>
          <w:szCs w:val="24"/>
          <w:highlight w:val="none"/>
          <w:lang w:val="en-US" w:eastAsia="zh-CN"/>
        </w:rPr>
        <w:t>.</w:t>
      </w:r>
      <w:r>
        <w:rPr>
          <w:rFonts w:hint="eastAsia" w:ascii="宋体" w:hAnsi="宋体" w:eastAsia="宋体" w:cs="宋体"/>
          <w:color w:val="auto"/>
          <w:szCs w:val="24"/>
          <w:highlight w:val="none"/>
        </w:rPr>
        <w:t>招标人拒绝以下名单中的单位参加本次投标：</w:t>
      </w:r>
    </w:p>
    <w:tbl>
      <w:tblPr>
        <w:tblStyle w:val="25"/>
        <w:tblW w:w="9689"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4395"/>
        <w:gridCol w:w="4500"/>
      </w:tblGrid>
      <w:tr w14:paraId="1C86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noWrap/>
            <w:vAlign w:val="center"/>
          </w:tcPr>
          <w:p w14:paraId="51A89D83">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395" w:type="dxa"/>
            <w:noWrap/>
            <w:vAlign w:val="center"/>
          </w:tcPr>
          <w:p w14:paraId="5D29AC28">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4500" w:type="dxa"/>
            <w:noWrap/>
            <w:vAlign w:val="center"/>
          </w:tcPr>
          <w:p w14:paraId="72305F61">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7B53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noWrap/>
            <w:vAlign w:val="center"/>
          </w:tcPr>
          <w:p w14:paraId="2E601690">
            <w:pPr>
              <w:keepNext w:val="0"/>
              <w:keepLines w:val="0"/>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395" w:type="dxa"/>
            <w:noWrap/>
            <w:vAlign w:val="center"/>
          </w:tcPr>
          <w:p w14:paraId="438E05B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广东兴展土地整理开发有限公司</w:t>
            </w:r>
          </w:p>
        </w:tc>
        <w:tc>
          <w:tcPr>
            <w:tcW w:w="4500" w:type="dxa"/>
            <w:noWrap/>
            <w:vAlign w:val="center"/>
          </w:tcPr>
          <w:p w14:paraId="5DCF2C7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2EF9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noWrap/>
            <w:vAlign w:val="center"/>
          </w:tcPr>
          <w:p w14:paraId="597AD685">
            <w:pPr>
              <w:keepNext w:val="0"/>
              <w:keepLines w:val="0"/>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4395" w:type="dxa"/>
            <w:noWrap/>
            <w:vAlign w:val="center"/>
          </w:tcPr>
          <w:p w14:paraId="00EAD44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eastAsia="zh-CN"/>
              </w:rPr>
              <w:t>广州穗图项目管理有限公司</w:t>
            </w:r>
          </w:p>
        </w:tc>
        <w:tc>
          <w:tcPr>
            <w:tcW w:w="4500" w:type="dxa"/>
            <w:noWrap/>
            <w:vAlign w:val="center"/>
          </w:tcPr>
          <w:p w14:paraId="069E527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eastAsia="zh-CN"/>
              </w:rPr>
              <w:t>为本招标项目的招标代理机构</w:t>
            </w:r>
          </w:p>
        </w:tc>
      </w:tr>
      <w:tr w14:paraId="6B8E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4" w:type="dxa"/>
            <w:noWrap/>
            <w:vAlign w:val="center"/>
          </w:tcPr>
          <w:p w14:paraId="6B126FED">
            <w:pPr>
              <w:keepNext w:val="0"/>
              <w:keepLines w:val="0"/>
              <w:pageBreakBefore w:val="0"/>
              <w:widowControl w:val="0"/>
              <w:kinsoku/>
              <w:wordWrap w:val="0"/>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c>
          <w:tcPr>
            <w:tcW w:w="4395" w:type="dxa"/>
            <w:noWrap/>
            <w:vAlign w:val="center"/>
          </w:tcPr>
          <w:p w14:paraId="54CD949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广东省国际工程咨询有限公司</w:t>
            </w:r>
          </w:p>
        </w:tc>
        <w:tc>
          <w:tcPr>
            <w:tcW w:w="4500" w:type="dxa"/>
            <w:noWrap/>
            <w:vAlign w:val="center"/>
          </w:tcPr>
          <w:p w14:paraId="1813617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为本招标项目的</w:t>
            </w:r>
            <w:r>
              <w:rPr>
                <w:rFonts w:hint="eastAsia" w:ascii="宋体" w:hAnsi="宋体" w:eastAsia="宋体" w:cs="宋体"/>
                <w:color w:val="auto"/>
                <w:sz w:val="24"/>
                <w:szCs w:val="24"/>
                <w:highlight w:val="none"/>
                <w:lang w:val="en-US" w:eastAsia="zh-CN"/>
              </w:rPr>
              <w:t>可行性研究报告编制</w:t>
            </w:r>
          </w:p>
        </w:tc>
      </w:tr>
    </w:tbl>
    <w:p w14:paraId="6BB09E14">
      <w:pPr>
        <w:wordWrap w:val="0"/>
        <w:adjustRightInd w:val="0"/>
        <w:snapToGrid w:val="0"/>
        <w:spacing w:line="360" w:lineRule="auto"/>
        <w:ind w:firstLine="480" w:firstLineChars="200"/>
        <w:rPr>
          <w:rFonts w:hint="eastAsia" w:ascii="宋体" w:hAnsi="宋体" w:eastAsia="宋体" w:cs="宋体"/>
          <w:color w:val="auto"/>
          <w:sz w:val="24"/>
          <w:highlight w:val="none"/>
          <w:lang w:val="en-US" w:eastAsia="zh-CN"/>
        </w:rPr>
      </w:pPr>
      <w:bookmarkStart w:id="68" w:name="_Toc3481"/>
      <w:bookmarkStart w:id="69" w:name="_Toc13945"/>
      <w:r>
        <w:rPr>
          <w:rFonts w:hint="eastAsia" w:ascii="宋体" w:hAnsi="宋体" w:eastAsia="宋体" w:cs="宋体"/>
          <w:color w:val="auto"/>
          <w:sz w:val="24"/>
          <w:highlight w:val="none"/>
          <w:lang w:val="en-US" w:eastAsia="zh-CN"/>
        </w:rPr>
        <w:t>4.5.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bookmarkEnd w:id="68"/>
      <w:bookmarkEnd w:id="69"/>
    </w:p>
    <w:p w14:paraId="4ED14747">
      <w:pPr>
        <w:pStyle w:val="38"/>
        <w:keepNext/>
        <w:keepLines/>
        <w:ind w:firstLine="482" w:firstLineChars="200"/>
        <w:jc w:val="both"/>
        <w:rPr>
          <w:rFonts w:hint="eastAsia" w:ascii="宋体" w:hAnsi="宋体" w:eastAsia="宋体" w:cs="宋体"/>
          <w:b/>
          <w:color w:val="auto"/>
          <w:kern w:val="2"/>
          <w:highlight w:val="none"/>
        </w:rPr>
      </w:pPr>
      <w:bookmarkStart w:id="70" w:name="_Toc27383"/>
      <w:r>
        <w:rPr>
          <w:rFonts w:hint="eastAsia" w:ascii="宋体" w:hAnsi="宋体" w:eastAsia="宋体" w:cs="宋体"/>
          <w:b/>
          <w:color w:val="auto"/>
          <w:kern w:val="2"/>
          <w:highlight w:val="none"/>
        </w:rPr>
        <w:t>5</w:t>
      </w:r>
      <w:r>
        <w:rPr>
          <w:rFonts w:hint="eastAsia" w:ascii="宋体" w:hAnsi="宋体" w:eastAsia="宋体" w:cs="宋体"/>
          <w:b/>
          <w:color w:val="auto"/>
          <w:kern w:val="2"/>
          <w:highlight w:val="none"/>
          <w:lang w:val="en-US" w:eastAsia="zh-CN"/>
        </w:rPr>
        <w:t>.</w:t>
      </w:r>
      <w:r>
        <w:rPr>
          <w:rFonts w:hint="eastAsia" w:ascii="宋体" w:hAnsi="宋体" w:eastAsia="宋体" w:cs="宋体"/>
          <w:b/>
          <w:color w:val="auto"/>
          <w:kern w:val="2"/>
          <w:highlight w:val="none"/>
        </w:rPr>
        <w:t>工程招标内容及要求</w:t>
      </w:r>
      <w:bookmarkEnd w:id="60"/>
      <w:bookmarkEnd w:id="61"/>
      <w:bookmarkEnd w:id="62"/>
      <w:bookmarkEnd w:id="63"/>
      <w:bookmarkEnd w:id="64"/>
      <w:bookmarkEnd w:id="65"/>
      <w:bookmarkEnd w:id="66"/>
      <w:bookmarkEnd w:id="67"/>
      <w:bookmarkEnd w:id="70"/>
    </w:p>
    <w:p w14:paraId="0DBACFF1">
      <w:pPr>
        <w:pStyle w:val="45"/>
        <w:widowControl/>
        <w:spacing w:line="360" w:lineRule="auto"/>
        <w:ind w:firstLine="480" w:firstLineChars="20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设计阶段包括所有相关报建、报批、施工设计文件、施工图设计、施工图预算（不单独计收预算编制费用）及施工配合、后续设计服务工作等；</w:t>
      </w:r>
    </w:p>
    <w:p w14:paraId="4F4A372E">
      <w:pPr>
        <w:pStyle w:val="45"/>
        <w:widowControl/>
        <w:spacing w:line="360" w:lineRule="auto"/>
        <w:ind w:firstLine="480" w:firstLineChars="200"/>
        <w:jc w:val="left"/>
        <w:rPr>
          <w:rFonts w:hint="eastAsia" w:ascii="宋体" w:hAnsi="宋体" w:eastAsia="宋体" w:cs="宋体"/>
          <w:b/>
          <w:bCs/>
          <w:snapToGrid w:val="0"/>
          <w:color w:val="auto"/>
          <w:kern w:val="0"/>
          <w:highlight w:val="none"/>
        </w:rPr>
      </w:pPr>
      <w:r>
        <w:rPr>
          <w:rFonts w:hint="eastAsia" w:ascii="宋体" w:hAnsi="宋体" w:eastAsia="宋体" w:cs="宋体"/>
          <w:color w:val="auto"/>
          <w:sz w:val="24"/>
          <w:szCs w:val="21"/>
          <w:highlight w:val="none"/>
        </w:rPr>
        <w:t>施工包括施工图设计文件及工程量清单范围内的所有工程及配套设施等的施工及配合阶段验收、档案整理、保修期维护等总承包范围工作。</w:t>
      </w:r>
    </w:p>
    <w:p w14:paraId="531FF4BD">
      <w:pPr>
        <w:adjustRightInd w:val="0"/>
        <w:snapToGrid w:val="0"/>
        <w:spacing w:line="360" w:lineRule="auto"/>
        <w:ind w:firstLine="482" w:firstLineChars="200"/>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5.1本次设计工程的内容及要求：</w:t>
      </w:r>
    </w:p>
    <w:p w14:paraId="7E9E5406">
      <w:pPr>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5.5.1</w:t>
      </w:r>
      <w:r>
        <w:rPr>
          <w:rFonts w:hint="eastAsia" w:ascii="宋体" w:hAnsi="宋体" w:eastAsia="宋体" w:cs="宋体"/>
          <w:snapToGrid w:val="0"/>
          <w:color w:val="auto"/>
          <w:kern w:val="0"/>
          <w:szCs w:val="24"/>
          <w:highlight w:val="none"/>
        </w:rPr>
        <w:t>本次设计工程的内容及要求：</w:t>
      </w:r>
    </w:p>
    <w:p w14:paraId="3E410BBE">
      <w:pPr>
        <w:pStyle w:val="45"/>
        <w:widowControl/>
        <w:spacing w:line="360" w:lineRule="auto"/>
        <w:ind w:firstLine="482" w:firstLineChars="200"/>
        <w:jc w:val="left"/>
        <w:rPr>
          <w:rFonts w:hint="eastAsia" w:ascii="宋体" w:hAnsi="宋体" w:eastAsia="宋体" w:cs="宋体"/>
          <w:color w:val="auto"/>
          <w:sz w:val="24"/>
          <w:szCs w:val="21"/>
          <w:highlight w:val="none"/>
        </w:rPr>
      </w:pPr>
      <w:r>
        <w:rPr>
          <w:rFonts w:hint="eastAsia" w:ascii="宋体" w:hAnsi="宋体" w:eastAsia="宋体" w:cs="宋体"/>
          <w:b/>
          <w:bCs/>
          <w:color w:val="auto"/>
          <w:sz w:val="24"/>
          <w:szCs w:val="21"/>
          <w:highlight w:val="none"/>
        </w:rPr>
        <w:t>5.1.1.1</w:t>
      </w:r>
      <w:r>
        <w:rPr>
          <w:rFonts w:hint="eastAsia" w:ascii="宋体" w:hAnsi="宋体" w:eastAsia="宋体" w:cs="宋体"/>
          <w:color w:val="auto"/>
          <w:sz w:val="24"/>
          <w:szCs w:val="21"/>
          <w:highlight w:val="none"/>
        </w:rPr>
        <w:t>本项目设计包括工程所有专业及其配套设施工程和其他工程等所有招标范围工程项目报建、报批、施工设计文件</w:t>
      </w:r>
      <w:r>
        <w:rPr>
          <w:rFonts w:hint="eastAsia" w:ascii="宋体" w:hAnsi="宋体" w:eastAsia="宋体" w:cs="宋体"/>
          <w:color w:val="auto"/>
          <w:sz w:val="24"/>
          <w:szCs w:val="21"/>
          <w:highlight w:val="none"/>
          <w:lang w:eastAsia="zh-CN"/>
        </w:rPr>
        <w:t>。包括：初步设计及概算、施工图设计、施工图审查、</w:t>
      </w:r>
      <w:r>
        <w:rPr>
          <w:rFonts w:hint="eastAsia" w:ascii="宋体" w:hAnsi="宋体" w:eastAsia="宋体" w:cs="宋体"/>
          <w:color w:val="auto"/>
          <w:sz w:val="24"/>
          <w:szCs w:val="21"/>
          <w:highlight w:val="none"/>
          <w:lang w:val="en-US" w:eastAsia="zh-CN"/>
        </w:rPr>
        <w:t>施工和</w:t>
      </w:r>
      <w:r>
        <w:rPr>
          <w:rFonts w:hint="eastAsia" w:ascii="宋体" w:hAnsi="宋体" w:eastAsia="宋体" w:cs="宋体"/>
          <w:color w:val="auto"/>
          <w:sz w:val="24"/>
          <w:szCs w:val="21"/>
          <w:highlight w:val="none"/>
          <w:lang w:eastAsia="zh-CN"/>
        </w:rPr>
        <w:t>验收过程中的设计指导及配合阶段验收等（具体详见本项目可行性研究报告）。</w:t>
      </w:r>
    </w:p>
    <w:p w14:paraId="0ED7F49C">
      <w:pPr>
        <w:pStyle w:val="45"/>
        <w:widowControl/>
        <w:spacing w:line="360" w:lineRule="auto"/>
        <w:ind w:firstLine="482" w:firstLineChars="200"/>
        <w:jc w:val="left"/>
        <w:rPr>
          <w:rFonts w:hint="eastAsia" w:ascii="宋体" w:hAnsi="宋体" w:eastAsia="宋体" w:cs="宋体"/>
          <w:color w:val="auto"/>
          <w:sz w:val="24"/>
          <w:szCs w:val="21"/>
          <w:highlight w:val="none"/>
        </w:rPr>
      </w:pPr>
      <w:r>
        <w:rPr>
          <w:rFonts w:hint="eastAsia" w:ascii="宋体" w:hAnsi="宋体" w:eastAsia="宋体" w:cs="宋体"/>
          <w:b/>
          <w:bCs/>
          <w:color w:val="auto"/>
          <w:sz w:val="24"/>
          <w:szCs w:val="21"/>
          <w:highlight w:val="none"/>
        </w:rPr>
        <w:t>5.1.1.2</w:t>
      </w:r>
      <w:r>
        <w:rPr>
          <w:rFonts w:hint="eastAsia" w:ascii="宋体" w:hAnsi="宋体" w:eastAsia="宋体" w:cs="宋体"/>
          <w:color w:val="auto"/>
          <w:sz w:val="24"/>
          <w:szCs w:val="21"/>
          <w:highlight w:val="none"/>
        </w:rPr>
        <w:t>本工程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本工程施工图设计必须先经招标人确认才能送审，并经招标人委托的有资质的审图机构审查合格。若招标人或审图机构在审查过程中提出的设计修改或变更，中标人必须无条件进行修改或优化设计，招标人不再支付由此而增加的设计费用。</w:t>
      </w:r>
    </w:p>
    <w:p w14:paraId="738DF895">
      <w:pPr>
        <w:pStyle w:val="45"/>
        <w:widowControl/>
        <w:spacing w:line="360" w:lineRule="auto"/>
        <w:ind w:firstLine="482" w:firstLineChars="200"/>
        <w:jc w:val="left"/>
        <w:rPr>
          <w:rFonts w:hint="eastAsia" w:ascii="宋体" w:hAnsi="宋体" w:eastAsia="宋体" w:cs="宋体"/>
          <w:color w:val="auto"/>
          <w:sz w:val="24"/>
          <w:szCs w:val="21"/>
          <w:highlight w:val="none"/>
        </w:rPr>
      </w:pPr>
      <w:r>
        <w:rPr>
          <w:rFonts w:hint="eastAsia" w:ascii="宋体" w:hAnsi="宋体" w:eastAsia="宋体" w:cs="宋体"/>
          <w:b/>
          <w:bCs/>
          <w:color w:val="auto"/>
          <w:sz w:val="24"/>
          <w:szCs w:val="21"/>
          <w:highlight w:val="none"/>
        </w:rPr>
        <w:t>5.1.1.3</w:t>
      </w:r>
      <w:r>
        <w:rPr>
          <w:rFonts w:hint="eastAsia" w:ascii="宋体" w:hAnsi="宋体" w:eastAsia="宋体" w:cs="宋体"/>
          <w:color w:val="auto"/>
          <w:sz w:val="24"/>
          <w:szCs w:val="21"/>
          <w:highlight w:val="none"/>
        </w:rPr>
        <w:t>本工程设计要求的质量标准：</w:t>
      </w:r>
      <w:r>
        <w:rPr>
          <w:rFonts w:hint="eastAsia" w:ascii="宋体" w:hAnsi="宋体" w:eastAsia="宋体" w:cs="宋体"/>
          <w:snapToGrid w:val="0"/>
          <w:color w:val="auto"/>
          <w:kern w:val="0"/>
          <w:sz w:val="24"/>
          <w:szCs w:val="24"/>
          <w:highlight w:val="none"/>
        </w:rPr>
        <w:t>符合国家或行业颁布的现行有效的有关设计的规范要求，并必须通过有关部门的审查及经有资质的审图机构审查合格。</w:t>
      </w:r>
    </w:p>
    <w:p w14:paraId="7BC17075">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5.2</w:t>
      </w:r>
      <w:r>
        <w:rPr>
          <w:rFonts w:hint="eastAsia" w:ascii="宋体" w:hAnsi="宋体" w:eastAsia="宋体" w:cs="宋体"/>
          <w:color w:val="auto"/>
          <w:sz w:val="24"/>
          <w:szCs w:val="24"/>
          <w:highlight w:val="none"/>
        </w:rPr>
        <w:t>设计承包内容：中标人按合同约定、招标文件内容要求、法律法规及国家强制性标准要求提供完整的设计文件及建设期间的服务等内容。</w:t>
      </w:r>
    </w:p>
    <w:p w14:paraId="7503598C">
      <w:pPr>
        <w:pStyle w:val="45"/>
        <w:pageBreakBefore w:val="0"/>
        <w:widowControl/>
        <w:kinsoku/>
        <w:overflowPunct/>
        <w:topLinePunct w:val="0"/>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施工图设计文件（含施工图预算）12套、施工图预算（含工程量清单）5套。提供的所有资料均含电子版（含CAD及PDF文件格式）。</w:t>
      </w:r>
    </w:p>
    <w:p w14:paraId="2D9261A5">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施工期间若遇到工程变更、突发事件或不可预见的事件等情况，中标人接到建设单位或监理单位通知后应当立即到达施工现场，研究并及时处理问题。</w:t>
      </w:r>
    </w:p>
    <w:p w14:paraId="58F50357">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5.5关于设计深度的要求</w:t>
      </w:r>
    </w:p>
    <w:p w14:paraId="629938F3">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5.5.1</w:t>
      </w:r>
      <w:r>
        <w:rPr>
          <w:rFonts w:hint="eastAsia" w:ascii="宋体" w:hAnsi="宋体" w:eastAsia="宋体" w:cs="宋体"/>
          <w:color w:val="auto"/>
          <w:sz w:val="24"/>
          <w:szCs w:val="24"/>
          <w:highlight w:val="none"/>
        </w:rPr>
        <w:t>按现行的设计文件深度规定等有关技术标准、设计规范（标准）要求。</w:t>
      </w:r>
    </w:p>
    <w:p w14:paraId="0FA2F9C2">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5.5.2</w:t>
      </w:r>
      <w:r>
        <w:rPr>
          <w:rFonts w:hint="eastAsia" w:ascii="宋体" w:hAnsi="宋体" w:eastAsia="宋体" w:cs="宋体"/>
          <w:color w:val="auto"/>
          <w:sz w:val="24"/>
          <w:szCs w:val="24"/>
          <w:highlight w:val="none"/>
        </w:rPr>
        <w:t>各专业设计应同步进行，中标人应指定总体中标人统筹布局，做好各项设施的协调和衔接、位置预留，不得留待施工中临时变更。</w:t>
      </w:r>
    </w:p>
    <w:p w14:paraId="13C3A785">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5.5.3</w:t>
      </w:r>
      <w:r>
        <w:rPr>
          <w:rFonts w:hint="eastAsia" w:ascii="宋体" w:hAnsi="宋体" w:eastAsia="宋体" w:cs="宋体"/>
          <w:color w:val="auto"/>
          <w:sz w:val="24"/>
          <w:szCs w:val="24"/>
          <w:highlight w:val="none"/>
        </w:rPr>
        <w:t>对技术复杂或造价、规模较大的主要分项工程应作方案比较。</w:t>
      </w:r>
    </w:p>
    <w:p w14:paraId="46A2706B">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5.5.4</w:t>
      </w:r>
      <w:r>
        <w:rPr>
          <w:rFonts w:hint="eastAsia" w:ascii="宋体" w:hAnsi="宋体" w:eastAsia="宋体" w:cs="宋体"/>
          <w:color w:val="auto"/>
          <w:sz w:val="24"/>
          <w:szCs w:val="24"/>
          <w:highlight w:val="none"/>
        </w:rPr>
        <w:t>施工图设计文件的深度，应当满足设备材料采购，非标准设备制作和施工的需要，并注明建设工程合理使用年限。</w:t>
      </w:r>
    </w:p>
    <w:p w14:paraId="660EF884">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5.5.5</w:t>
      </w:r>
      <w:r>
        <w:rPr>
          <w:rFonts w:hint="eastAsia" w:ascii="宋体" w:hAnsi="宋体" w:eastAsia="宋体" w:cs="宋体"/>
          <w:color w:val="auto"/>
          <w:sz w:val="24"/>
          <w:szCs w:val="24"/>
          <w:highlight w:val="none"/>
        </w:rPr>
        <w:t>相关的配套外部接口方案均需取得政府主管部门或规划部门认可。</w:t>
      </w:r>
    </w:p>
    <w:p w14:paraId="6B8DEEBC">
      <w:pPr>
        <w:pStyle w:val="45"/>
        <w:pageBreakBefore w:val="0"/>
        <w:widowControl/>
        <w:kinsoku/>
        <w:overflowPunct/>
        <w:topLinePunct w:val="0"/>
        <w:bidi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5.5.6</w:t>
      </w:r>
      <w:r>
        <w:rPr>
          <w:rFonts w:hint="eastAsia" w:ascii="宋体" w:hAnsi="宋体" w:eastAsia="宋体" w:cs="宋体"/>
          <w:color w:val="auto"/>
          <w:sz w:val="24"/>
          <w:szCs w:val="24"/>
          <w:highlight w:val="none"/>
        </w:rPr>
        <w:t>施工图设计文件应考虑交通维护、临时施工便道、危大工程、对周边建筑物的影响等因素，并提供相应的设计方案及计算书（可另册装订），以指导现场施工及过程评审。</w:t>
      </w:r>
    </w:p>
    <w:p w14:paraId="6FB85944">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5.6</w:t>
      </w:r>
      <w:r>
        <w:rPr>
          <w:rFonts w:hint="eastAsia" w:ascii="宋体" w:hAnsi="宋体" w:eastAsia="宋体" w:cs="宋体"/>
          <w:snapToGrid w:val="0"/>
          <w:color w:val="auto"/>
          <w:kern w:val="0"/>
          <w:sz w:val="24"/>
          <w:szCs w:val="24"/>
          <w:highlight w:val="none"/>
        </w:rPr>
        <w:t>设计后期配合施工工作</w:t>
      </w:r>
    </w:p>
    <w:p w14:paraId="6C69C94B">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5.6.1</w:t>
      </w:r>
      <w:r>
        <w:rPr>
          <w:rFonts w:hint="eastAsia" w:ascii="宋体" w:hAnsi="宋体" w:eastAsia="宋体" w:cs="宋体"/>
          <w:b/>
          <w:bCs/>
          <w:color w:val="auto"/>
          <w:kern w:val="0"/>
          <w:sz w:val="24"/>
          <w:szCs w:val="24"/>
          <w:highlight w:val="none"/>
        </w:rPr>
        <w:t>．</w:t>
      </w:r>
      <w:r>
        <w:rPr>
          <w:rFonts w:hint="eastAsia" w:ascii="宋体" w:hAnsi="宋体" w:eastAsia="宋体" w:cs="宋体"/>
          <w:snapToGrid w:val="0"/>
          <w:color w:val="auto"/>
          <w:kern w:val="0"/>
          <w:sz w:val="24"/>
          <w:szCs w:val="24"/>
          <w:highlight w:val="none"/>
        </w:rPr>
        <w:t>施工图设计完成并经有关单位审查后，才能进入施工阶段，设计单位必须按投标文件的承诺至少派1名参与并熟悉本项目设计、有现场处理经验的设计代表驻现场以配合，建设管理单位不另外支付配合施工费用。</w:t>
      </w:r>
    </w:p>
    <w:p w14:paraId="4A2658FE">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5.7</w:t>
      </w:r>
      <w:r>
        <w:rPr>
          <w:rFonts w:hint="eastAsia" w:ascii="宋体" w:hAnsi="宋体" w:eastAsia="宋体" w:cs="宋体"/>
          <w:snapToGrid w:val="0"/>
          <w:color w:val="auto"/>
          <w:kern w:val="0"/>
          <w:sz w:val="24"/>
          <w:szCs w:val="24"/>
          <w:highlight w:val="none"/>
        </w:rPr>
        <w:t>限额设计要求：</w:t>
      </w:r>
    </w:p>
    <w:p w14:paraId="6EF949FA">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5.7.1</w:t>
      </w:r>
      <w:r>
        <w:rPr>
          <w:rFonts w:hint="eastAsia" w:ascii="宋体" w:hAnsi="宋体" w:eastAsia="宋体" w:cs="宋体"/>
          <w:snapToGrid w:val="0"/>
          <w:color w:val="auto"/>
          <w:kern w:val="0"/>
          <w:sz w:val="24"/>
          <w:szCs w:val="24"/>
          <w:highlight w:val="none"/>
        </w:rPr>
        <w:t>施工图预算中的建安工程费预算价不得超过经发改部门审定的概算建安工程费</w:t>
      </w:r>
      <w:r>
        <w:rPr>
          <w:rFonts w:hint="eastAsia" w:ascii="宋体" w:hAnsi="宋体" w:eastAsia="宋体" w:cs="宋体"/>
          <w:color w:val="auto"/>
          <w:sz w:val="24"/>
          <w:szCs w:val="24"/>
          <w:highlight w:val="none"/>
        </w:rPr>
        <w:t>且不得超过建安工程费的中标价</w:t>
      </w:r>
      <w:r>
        <w:rPr>
          <w:rFonts w:hint="eastAsia" w:ascii="宋体" w:hAnsi="宋体" w:eastAsia="宋体" w:cs="宋体"/>
          <w:snapToGrid w:val="0"/>
          <w:color w:val="auto"/>
          <w:kern w:val="0"/>
          <w:sz w:val="24"/>
          <w:szCs w:val="24"/>
          <w:highlight w:val="none"/>
        </w:rPr>
        <w:t>。</w:t>
      </w:r>
    </w:p>
    <w:p w14:paraId="55114261">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5.7.2</w:t>
      </w:r>
      <w:r>
        <w:rPr>
          <w:rFonts w:hint="eastAsia" w:ascii="宋体" w:hAnsi="宋体" w:eastAsia="宋体" w:cs="宋体"/>
          <w:snapToGrid w:val="0"/>
          <w:color w:val="auto"/>
          <w:kern w:val="0"/>
          <w:sz w:val="24"/>
          <w:szCs w:val="24"/>
          <w:highlight w:val="none"/>
        </w:rPr>
        <w:t>中标人在提交设计施工图时必须同时提交施工图预算。施工图预算作为中标人自我核算是否符合限额设计要求的依据。若造价咨询单位按施工图编制或审核的建安工程费高于5.7.1条规定时，中标人必须无条件对施工图进行修改，直至满足限额设计要求，</w:t>
      </w:r>
      <w:r>
        <w:rPr>
          <w:rFonts w:hint="eastAsia" w:ascii="宋体" w:hAnsi="宋体" w:eastAsia="宋体" w:cs="宋体"/>
          <w:color w:val="auto"/>
          <w:sz w:val="24"/>
          <w:szCs w:val="24"/>
          <w:highlight w:val="none"/>
        </w:rPr>
        <w:t>不另行增加设计费</w:t>
      </w:r>
      <w:r>
        <w:rPr>
          <w:rFonts w:hint="eastAsia" w:ascii="宋体" w:hAnsi="宋体" w:eastAsia="宋体" w:cs="宋体"/>
          <w:snapToGrid w:val="0"/>
          <w:color w:val="auto"/>
          <w:kern w:val="0"/>
          <w:sz w:val="24"/>
          <w:szCs w:val="24"/>
          <w:highlight w:val="none"/>
        </w:rPr>
        <w:t>。</w:t>
      </w:r>
    </w:p>
    <w:p w14:paraId="08C1F46B">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5.7.3</w:t>
      </w:r>
      <w:r>
        <w:rPr>
          <w:rFonts w:hint="eastAsia" w:ascii="宋体" w:hAnsi="宋体" w:eastAsia="宋体" w:cs="宋体"/>
          <w:snapToGrid w:val="0"/>
          <w:color w:val="auto"/>
          <w:kern w:val="0"/>
          <w:sz w:val="24"/>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26D79B1F">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5.8</w:t>
      </w:r>
      <w:r>
        <w:rPr>
          <w:rFonts w:hint="eastAsia" w:ascii="宋体" w:hAnsi="宋体" w:eastAsia="宋体" w:cs="宋体"/>
          <w:snapToGrid w:val="0"/>
          <w:color w:val="auto"/>
          <w:kern w:val="0"/>
          <w:sz w:val="24"/>
          <w:szCs w:val="24"/>
          <w:highlight w:val="none"/>
        </w:rPr>
        <w:t>设计时需要考虑与周边环境相结合。</w:t>
      </w:r>
    </w:p>
    <w:p w14:paraId="11BD106F">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5.9</w:t>
      </w:r>
      <w:r>
        <w:rPr>
          <w:rFonts w:hint="eastAsia" w:ascii="宋体" w:hAnsi="宋体" w:eastAsia="宋体" w:cs="宋体"/>
          <w:snapToGrid w:val="0"/>
          <w:color w:val="auto"/>
          <w:kern w:val="0"/>
          <w:sz w:val="24"/>
          <w:szCs w:val="24"/>
          <w:highlight w:val="none"/>
        </w:rPr>
        <w:t>凡参加本次招标的投标人被视为已充分认识和理解了任何与本工程有关的影响事项和困难等情况。</w:t>
      </w:r>
    </w:p>
    <w:p w14:paraId="37430909">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5.10</w:t>
      </w:r>
      <w:r>
        <w:rPr>
          <w:rFonts w:hint="eastAsia" w:ascii="宋体" w:hAnsi="宋体" w:eastAsia="宋体" w:cs="宋体"/>
          <w:snapToGrid w:val="0"/>
          <w:color w:val="auto"/>
          <w:kern w:val="0"/>
          <w:sz w:val="24"/>
          <w:szCs w:val="24"/>
          <w:highlight w:val="none"/>
        </w:rPr>
        <w:t>工程技术要求：本工程须严格以国家和广东省的有关施工技术规范及现行标准为依据</w:t>
      </w:r>
      <w:bookmarkStart w:id="71" w:name="_Hlt74496021"/>
      <w:bookmarkEnd w:id="71"/>
      <w:r>
        <w:rPr>
          <w:rFonts w:hint="eastAsia" w:ascii="宋体" w:hAnsi="宋体" w:eastAsia="宋体" w:cs="宋体"/>
          <w:snapToGrid w:val="0"/>
          <w:color w:val="auto"/>
          <w:kern w:val="0"/>
          <w:sz w:val="24"/>
          <w:szCs w:val="24"/>
          <w:highlight w:val="none"/>
        </w:rPr>
        <w:t>，工程必须达到合格标准，如工程未达到合格标准，中标人则按合同价款的1%向招标人缴纳质量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p>
    <w:p w14:paraId="7098B4AC">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5.11</w:t>
      </w:r>
      <w:r>
        <w:rPr>
          <w:rFonts w:hint="eastAsia" w:ascii="宋体" w:hAnsi="宋体" w:eastAsia="宋体" w:cs="宋体"/>
          <w:snapToGrid w:val="0"/>
          <w:color w:val="auto"/>
          <w:kern w:val="0"/>
          <w:sz w:val="24"/>
          <w:szCs w:val="24"/>
          <w:highlight w:val="none"/>
        </w:rPr>
        <w:t xml:space="preserve"> 中标人在施工中如果工程质量不符合设计要求和有关规定，招标人或监理单位要求停工和返工的必须立即执行，并由中标人承担由此产生的各种费用，工期不予顺延。</w:t>
      </w:r>
    </w:p>
    <w:p w14:paraId="77642BF7">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5.12 </w:t>
      </w:r>
      <w:r>
        <w:rPr>
          <w:rFonts w:hint="eastAsia" w:ascii="宋体" w:hAnsi="宋体" w:eastAsia="宋体" w:cs="宋体"/>
          <w:snapToGrid w:val="0"/>
          <w:color w:val="auto"/>
          <w:kern w:val="0"/>
          <w:sz w:val="24"/>
          <w:szCs w:val="24"/>
          <w:highlight w:val="none"/>
        </w:rPr>
        <w:t>保修期限按中华人民共和国国务院令第279号文《建设工程质量管理条例》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F6EFBF4">
      <w:pPr>
        <w:pageBreakBefore w:val="0"/>
        <w:kinsoku/>
        <w:overflowPunct/>
        <w:topLinePunct w:val="0"/>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 xml:space="preserve">5.13 </w:t>
      </w:r>
      <w:r>
        <w:rPr>
          <w:rFonts w:hint="eastAsia" w:ascii="宋体" w:hAnsi="宋体" w:eastAsia="宋体" w:cs="宋体"/>
          <w:snapToGrid w:val="0"/>
          <w:color w:val="auto"/>
          <w:kern w:val="0"/>
          <w:sz w:val="24"/>
          <w:szCs w:val="24"/>
          <w:highlight w:val="none"/>
        </w:rPr>
        <w:t>工程使用的主要材料质量要求：不低于国家规范及强制标准所列的要求。主要材料必须先提供样板或相关资料给招标人、业主同意确定其规格、型号、颜色、等级等，</w:t>
      </w:r>
      <w:r>
        <w:rPr>
          <w:rFonts w:hint="eastAsia" w:ascii="宋体" w:hAnsi="宋体" w:eastAsia="宋体" w:cs="宋体"/>
          <w:snapToGrid w:val="0"/>
          <w:color w:val="auto"/>
          <w:kern w:val="0"/>
          <w:sz w:val="24"/>
          <w:szCs w:val="24"/>
          <w:highlight w:val="none"/>
          <w:lang w:val="zh-CN"/>
        </w:rPr>
        <w:t>并经检测部门检测合格</w:t>
      </w:r>
      <w:r>
        <w:rPr>
          <w:rFonts w:hint="eastAsia" w:ascii="宋体" w:hAnsi="宋体" w:eastAsia="宋体" w:cs="宋体"/>
          <w:snapToGrid w:val="0"/>
          <w:color w:val="auto"/>
          <w:kern w:val="0"/>
          <w:sz w:val="24"/>
          <w:szCs w:val="24"/>
          <w:highlight w:val="none"/>
        </w:rPr>
        <w:t>方可使用，所有材料必须使用合格产品。</w:t>
      </w:r>
      <w:bookmarkStart w:id="72" w:name="_Hlt88974078"/>
      <w:bookmarkEnd w:id="72"/>
      <w:bookmarkStart w:id="73" w:name="_Hlt69356505"/>
      <w:bookmarkEnd w:id="73"/>
      <w:bookmarkStart w:id="74" w:name="_Hlt121563076"/>
      <w:bookmarkEnd w:id="74"/>
      <w:bookmarkStart w:id="75" w:name="_Hlt74496537"/>
      <w:bookmarkEnd w:id="75"/>
      <w:bookmarkStart w:id="76" w:name="_Hlt69699204"/>
      <w:bookmarkEnd w:id="76"/>
      <w:bookmarkStart w:id="77" w:name="_Hlt120502666"/>
      <w:bookmarkEnd w:id="77"/>
      <w:bookmarkStart w:id="78" w:name="_Hlt111690342"/>
      <w:bookmarkEnd w:id="78"/>
      <w:bookmarkStart w:id="79" w:name="_Hlt74493474"/>
      <w:bookmarkEnd w:id="79"/>
    </w:p>
    <w:p w14:paraId="3EC1D498">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80" w:name="_Toc10812"/>
      <w:bookmarkStart w:id="81" w:name="_Toc3193"/>
      <w:bookmarkStart w:id="82" w:name="_Toc12891"/>
      <w:bookmarkStart w:id="83" w:name="_Toc24793"/>
      <w:bookmarkStart w:id="84" w:name="_Toc17958"/>
      <w:bookmarkStart w:id="85" w:name="_Toc16432"/>
      <w:bookmarkStart w:id="86" w:name="_Toc20827"/>
      <w:bookmarkStart w:id="87" w:name="_Toc19911"/>
      <w:bookmarkStart w:id="88" w:name="_Toc2063"/>
      <w:r>
        <w:rPr>
          <w:rFonts w:hint="eastAsia" w:ascii="宋体" w:hAnsi="宋体" w:eastAsia="宋体" w:cs="宋体"/>
          <w:b/>
          <w:color w:val="auto"/>
          <w:kern w:val="2"/>
          <w:sz w:val="24"/>
          <w:szCs w:val="24"/>
          <w:highlight w:val="none"/>
        </w:rPr>
        <w:t>6</w:t>
      </w:r>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color w:val="auto"/>
          <w:kern w:val="2"/>
          <w:sz w:val="24"/>
          <w:szCs w:val="24"/>
          <w:highlight w:val="none"/>
        </w:rPr>
        <w:t>招标工程施工条件及现场踏勘</w:t>
      </w:r>
      <w:bookmarkEnd w:id="80"/>
      <w:bookmarkEnd w:id="81"/>
      <w:bookmarkEnd w:id="82"/>
      <w:bookmarkEnd w:id="83"/>
      <w:bookmarkEnd w:id="84"/>
      <w:bookmarkEnd w:id="85"/>
      <w:bookmarkEnd w:id="86"/>
      <w:bookmarkEnd w:id="87"/>
      <w:bookmarkEnd w:id="88"/>
    </w:p>
    <w:p w14:paraId="100DD465">
      <w:pPr>
        <w:pStyle w:val="4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6.1本工程招标人仅在征地红线范围内提供场地，其他一切场地费用由中标人自行负责（含临时道路）。</w:t>
      </w:r>
    </w:p>
    <w:p w14:paraId="0212C687">
      <w:pPr>
        <w:pageBreakBefore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b/>
          <w:bCs/>
          <w:snapToGrid w:val="0"/>
          <w:color w:val="auto"/>
          <w:kern w:val="0"/>
          <w:sz w:val="24"/>
          <w:szCs w:val="24"/>
          <w:highlight w:val="none"/>
          <w:u w:val="none"/>
        </w:rPr>
      </w:pPr>
      <w:r>
        <w:rPr>
          <w:rFonts w:hint="eastAsia" w:ascii="宋体" w:hAnsi="宋体" w:eastAsia="宋体" w:cs="宋体"/>
          <w:color w:val="auto"/>
          <w:sz w:val="24"/>
          <w:szCs w:val="24"/>
          <w:highlight w:val="none"/>
          <w:u w:val="none"/>
        </w:rPr>
        <w:t>6.2 施工用水：招标人协调，</w:t>
      </w:r>
      <w:r>
        <w:rPr>
          <w:rFonts w:hint="eastAsia" w:ascii="宋体" w:hAnsi="宋体" w:eastAsia="宋体" w:cs="宋体"/>
          <w:snapToGrid w:val="0"/>
          <w:color w:val="auto"/>
          <w:kern w:val="0"/>
          <w:sz w:val="24"/>
          <w:szCs w:val="24"/>
          <w:highlight w:val="none"/>
          <w:u w:val="none"/>
        </w:rPr>
        <w:t>施工用水及水源由中标人自行解决，费用含在投标报价中，不另计</w:t>
      </w:r>
      <w:r>
        <w:rPr>
          <w:rFonts w:hint="eastAsia" w:ascii="宋体" w:hAnsi="宋体" w:eastAsia="宋体" w:cs="宋体"/>
          <w:color w:val="auto"/>
          <w:kern w:val="0"/>
          <w:sz w:val="24"/>
          <w:szCs w:val="24"/>
          <w:highlight w:val="none"/>
          <w:u w:val="none"/>
        </w:rPr>
        <w:t>。</w:t>
      </w:r>
    </w:p>
    <w:p w14:paraId="68129A3A">
      <w:pPr>
        <w:pageBreakBefore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b/>
          <w:bCs/>
          <w:snapToGrid w:val="0"/>
          <w:color w:val="auto"/>
          <w:kern w:val="0"/>
          <w:sz w:val="24"/>
          <w:szCs w:val="24"/>
          <w:highlight w:val="none"/>
          <w:u w:val="none"/>
        </w:rPr>
      </w:pPr>
      <w:r>
        <w:rPr>
          <w:rFonts w:hint="eastAsia" w:ascii="宋体" w:hAnsi="宋体" w:eastAsia="宋体" w:cs="宋体"/>
          <w:color w:val="auto"/>
          <w:sz w:val="24"/>
          <w:szCs w:val="24"/>
          <w:highlight w:val="none"/>
          <w:u w:val="none"/>
        </w:rPr>
        <w:t>6.3 施工用电：招标人协调，</w:t>
      </w:r>
      <w:r>
        <w:rPr>
          <w:rFonts w:hint="eastAsia" w:ascii="宋体" w:hAnsi="宋体" w:eastAsia="宋体" w:cs="宋体"/>
          <w:snapToGrid w:val="0"/>
          <w:color w:val="auto"/>
          <w:kern w:val="0"/>
          <w:sz w:val="24"/>
          <w:szCs w:val="24"/>
          <w:highlight w:val="none"/>
          <w:u w:val="none"/>
        </w:rPr>
        <w:t>施工用电及电源由中标人自行解决，费用含在投标报价中，不另计</w:t>
      </w:r>
      <w:r>
        <w:rPr>
          <w:rFonts w:hint="eastAsia" w:ascii="宋体" w:hAnsi="宋体" w:eastAsia="宋体" w:cs="宋体"/>
          <w:color w:val="auto"/>
          <w:kern w:val="0"/>
          <w:sz w:val="24"/>
          <w:szCs w:val="24"/>
          <w:highlight w:val="none"/>
          <w:u w:val="none"/>
        </w:rPr>
        <w:t>。</w:t>
      </w:r>
    </w:p>
    <w:p w14:paraId="7DB14713">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6.4施工用水、用电由中标人负责报装并接入施工红线范围，并由中标人负责购置及安装满足施工所需的临时用电变压器、水表、电表，其水、电费按工程所在地</w:t>
      </w:r>
      <w:r>
        <w:rPr>
          <w:rFonts w:hint="eastAsia" w:ascii="宋体" w:hAnsi="宋体" w:eastAsia="宋体" w:cs="宋体"/>
          <w:color w:val="auto"/>
          <w:sz w:val="24"/>
          <w:szCs w:val="24"/>
          <w:highlight w:val="none"/>
          <w:u w:val="none"/>
          <w:lang w:val="en-US" w:eastAsia="zh-CN"/>
        </w:rPr>
        <w:t>始兴县</w:t>
      </w:r>
      <w:r>
        <w:rPr>
          <w:rFonts w:hint="eastAsia" w:ascii="宋体" w:hAnsi="宋体" w:eastAsia="宋体" w:cs="宋体"/>
          <w:color w:val="auto"/>
          <w:sz w:val="24"/>
          <w:szCs w:val="24"/>
          <w:highlight w:val="none"/>
          <w:u w:val="none"/>
        </w:rPr>
        <w:t>基建工程水、电计费标准计算并由中标人缴纳，相关线路、管路费用及安装费用</w:t>
      </w:r>
      <w:r>
        <w:rPr>
          <w:rFonts w:hint="eastAsia" w:ascii="宋体" w:hAnsi="宋体" w:eastAsia="宋体" w:cs="宋体"/>
          <w:color w:val="auto"/>
          <w:sz w:val="24"/>
          <w:szCs w:val="24"/>
          <w:highlight w:val="none"/>
        </w:rPr>
        <w:t>以及购置及安装临时用电变压器的费用由中标人自行承担。</w:t>
      </w:r>
    </w:p>
    <w:p w14:paraId="7CDE72FE">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72B59789">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6.6在现场踏勘过程中，投标人应确保自身安全，投标人如果发生人身伤亡、财物或其他损失，法律法规有规定的按有关规定处理，没有规定的由投标人自行负责。</w:t>
      </w:r>
    </w:p>
    <w:p w14:paraId="7962FB18">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6.7现场踏勘期间的交通、食宿由投标人自行安排，费用自理。</w:t>
      </w:r>
    </w:p>
    <w:p w14:paraId="744CFD33">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bCs/>
          <w:color w:val="auto"/>
          <w:sz w:val="24"/>
          <w:szCs w:val="24"/>
          <w:highlight w:val="none"/>
        </w:rPr>
      </w:pPr>
      <w:bookmarkStart w:id="89" w:name="_Toc8518"/>
      <w:bookmarkStart w:id="90" w:name="_Toc23962"/>
      <w:bookmarkStart w:id="91" w:name="_Toc5795"/>
      <w:bookmarkStart w:id="92" w:name="_Toc12241"/>
      <w:bookmarkStart w:id="93" w:name="_Toc22484"/>
      <w:bookmarkStart w:id="94" w:name="_Toc27595"/>
      <w:bookmarkStart w:id="95" w:name="_Toc25942"/>
      <w:bookmarkStart w:id="96" w:name="_Toc17548"/>
      <w:bookmarkStart w:id="97" w:name="_Toc3294"/>
      <w:r>
        <w:rPr>
          <w:rFonts w:hint="eastAsia" w:ascii="宋体" w:hAnsi="宋体" w:eastAsia="宋体" w:cs="宋体"/>
          <w:b/>
          <w:color w:val="auto"/>
          <w:kern w:val="2"/>
          <w:sz w:val="24"/>
          <w:szCs w:val="24"/>
          <w:highlight w:val="none"/>
        </w:rPr>
        <w:t>7</w:t>
      </w:r>
      <w:bookmarkStart w:id="98" w:name="_Toc488220856"/>
      <w:bookmarkStart w:id="99" w:name="_Toc371968705"/>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color w:val="auto"/>
          <w:kern w:val="2"/>
          <w:sz w:val="24"/>
          <w:szCs w:val="24"/>
          <w:highlight w:val="none"/>
        </w:rPr>
        <w:t>其他招标说明</w:t>
      </w:r>
      <w:bookmarkEnd w:id="89"/>
      <w:bookmarkEnd w:id="90"/>
      <w:bookmarkEnd w:id="91"/>
      <w:bookmarkEnd w:id="92"/>
      <w:bookmarkEnd w:id="93"/>
      <w:bookmarkEnd w:id="94"/>
      <w:bookmarkEnd w:id="95"/>
      <w:bookmarkEnd w:id="96"/>
      <w:bookmarkEnd w:id="97"/>
      <w:bookmarkEnd w:id="98"/>
    </w:p>
    <w:bookmarkEnd w:id="99"/>
    <w:p w14:paraId="1105D473">
      <w:pPr>
        <w:pStyle w:val="3"/>
        <w:pageBreakBefore w:val="0"/>
        <w:kinsoku/>
        <w:wordWrap w:val="0"/>
        <w:overflowPunct/>
        <w:topLinePunct w:val="0"/>
        <w:autoSpaceDE/>
        <w:autoSpaceDN/>
        <w:bidi w:val="0"/>
        <w:snapToGrid w:val="0"/>
        <w:spacing w:line="360" w:lineRule="auto"/>
        <w:ind w:firstLine="482" w:firstLineChars="200"/>
        <w:jc w:val="both"/>
        <w:textAlignment w:val="auto"/>
        <w:rPr>
          <w:rFonts w:hint="eastAsia" w:ascii="宋体" w:hAnsi="宋体" w:eastAsia="宋体" w:cs="宋体"/>
          <w:b/>
          <w:snapToGrid w:val="0"/>
          <w:color w:val="auto"/>
          <w:sz w:val="24"/>
          <w:szCs w:val="24"/>
          <w:highlight w:val="none"/>
        </w:rPr>
      </w:pPr>
      <w:bookmarkStart w:id="100" w:name="_Toc4887"/>
      <w:bookmarkStart w:id="101" w:name="_Toc28014"/>
      <w:bookmarkStart w:id="102" w:name="_Toc12714"/>
      <w:bookmarkStart w:id="103" w:name="_Toc22108"/>
      <w:bookmarkStart w:id="104" w:name="_Toc10210"/>
      <w:r>
        <w:rPr>
          <w:rFonts w:hint="eastAsia" w:ascii="宋体" w:hAnsi="宋体" w:eastAsia="宋体" w:cs="宋体"/>
          <w:b/>
          <w:snapToGrid w:val="0"/>
          <w:color w:val="auto"/>
          <w:sz w:val="24"/>
          <w:szCs w:val="24"/>
          <w:highlight w:val="none"/>
        </w:rPr>
        <w:t>7.1</w:t>
      </w:r>
      <w:r>
        <w:rPr>
          <w:rFonts w:hint="eastAsia" w:hAnsi="宋体" w:eastAsia="宋体" w:cs="宋体"/>
          <w:b/>
          <w:snapToGrid w:val="0"/>
          <w:color w:val="auto"/>
          <w:sz w:val="24"/>
          <w:szCs w:val="24"/>
          <w:highlight w:val="none"/>
          <w:lang w:val="en-US" w:eastAsia="zh-CN"/>
        </w:rPr>
        <w:t>.</w:t>
      </w:r>
      <w:r>
        <w:rPr>
          <w:rStyle w:val="28"/>
          <w:rFonts w:hint="eastAsia" w:ascii="宋体" w:hAnsi="宋体" w:eastAsia="宋体" w:cs="宋体"/>
          <w:color w:val="auto"/>
          <w:sz w:val="24"/>
          <w:szCs w:val="24"/>
          <w:highlight w:val="none"/>
          <w:shd w:val="clear" w:color="auto" w:fill="FFFFFF"/>
        </w:rPr>
        <w:t>获取招标文件</w:t>
      </w:r>
      <w:bookmarkEnd w:id="100"/>
      <w:bookmarkEnd w:id="101"/>
      <w:bookmarkEnd w:id="102"/>
      <w:bookmarkEnd w:id="103"/>
      <w:bookmarkEnd w:id="104"/>
    </w:p>
    <w:p w14:paraId="0C15F3B6">
      <w:pPr>
        <w:pStyle w:val="21"/>
        <w:pageBreakBefore w:val="0"/>
        <w:widowControl w:val="0"/>
        <w:kinsoku/>
        <w:wordWrap w:val="0"/>
        <w:overflowPunct/>
        <w:topLinePunct w:val="0"/>
        <w:bidi w:val="0"/>
        <w:adjustRightInd w:val="0"/>
        <w:snapToGrid w:val="0"/>
        <w:spacing w:beforeAutospacing="0" w:afterAutospacing="0" w:line="360" w:lineRule="auto"/>
        <w:ind w:firstLine="482"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b/>
          <w:bCs/>
          <w:snapToGrid w:val="0"/>
          <w:color w:val="auto"/>
          <w:sz w:val="24"/>
          <w:szCs w:val="24"/>
          <w:highlight w:val="none"/>
        </w:rPr>
        <w:t>7.1.1</w:t>
      </w:r>
      <w:r>
        <w:rPr>
          <w:rFonts w:hint="eastAsia" w:ascii="宋体" w:hAnsi="宋体" w:eastAsia="宋体" w:cs="宋体"/>
          <w:snapToGrid w:val="0"/>
          <w:color w:val="auto"/>
          <w:sz w:val="24"/>
          <w:szCs w:val="24"/>
          <w:highlight w:val="none"/>
        </w:rPr>
        <w:t>本次招标实行电子投标。</w:t>
      </w:r>
      <w:r>
        <w:rPr>
          <w:rFonts w:hint="eastAsia" w:ascii="宋体" w:hAnsi="宋体" w:eastAsia="宋体" w:cs="宋体"/>
          <w:color w:val="auto"/>
          <w:sz w:val="24"/>
          <w:szCs w:val="24"/>
          <w:highlight w:val="none"/>
          <w:shd w:val="clear" w:color="auto" w:fill="FFFFFF"/>
        </w:rPr>
        <w:t>本项目招标文件随招标公告一并在</w:t>
      </w:r>
      <w:r>
        <w:rPr>
          <w:rFonts w:hint="eastAsia" w:ascii="宋体" w:hAnsi="宋体" w:eastAsia="宋体" w:cs="宋体"/>
          <w:bCs/>
          <w:snapToGrid w:val="0"/>
          <w:color w:val="auto"/>
          <w:sz w:val="24"/>
          <w:szCs w:val="24"/>
          <w:highlight w:val="none"/>
        </w:rPr>
        <w:t>广东省招标投标监管网(https://www.gdzwfw.gov.cn/ztbjg-portal/#/index)、</w:t>
      </w:r>
      <w:r>
        <w:rPr>
          <w:rFonts w:hint="eastAsia" w:ascii="宋体" w:hAnsi="宋体" w:eastAsia="宋体" w:cs="宋体"/>
          <w:color w:val="auto"/>
          <w:sz w:val="24"/>
          <w:szCs w:val="24"/>
          <w:highlight w:val="none"/>
          <w:shd w:val="clear" w:color="auto" w:fill="FFFFFF"/>
        </w:rPr>
        <w:t>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宋体" w:hAnsi="宋体" w:eastAsia="宋体" w:cs="宋体"/>
          <w:snapToGrid w:val="0"/>
          <w:color w:val="auto"/>
          <w:sz w:val="24"/>
          <w:szCs w:val="24"/>
          <w:highlight w:val="none"/>
        </w:rPr>
        <w:t>期间</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snapToGrid w:val="0"/>
          <w:color w:val="auto"/>
          <w:sz w:val="24"/>
          <w:szCs w:val="24"/>
          <w:highlight w:val="none"/>
        </w:rPr>
        <w:t>见本章第二节“重要事项时间地点一览表”，招标文件获取期间与招标公告发布时间一致</w:t>
      </w:r>
      <w:r>
        <w:rPr>
          <w:rFonts w:hint="eastAsia" w:ascii="宋体" w:hAnsi="宋体" w:eastAsia="宋体" w:cs="宋体"/>
          <w:color w:val="auto"/>
          <w:sz w:val="24"/>
          <w:szCs w:val="24"/>
          <w:highlight w:val="none"/>
          <w:shd w:val="clear" w:color="auto" w:fill="FFFFFF"/>
        </w:rPr>
        <w:t>），投标人须登录全国公共资源交易平台（广东省·韶关市）（https://ygp.gdzwfw.gov.cn/ggzy-portal/#/440200/index）</w:t>
      </w:r>
      <w:r>
        <w:rPr>
          <w:rFonts w:hint="eastAsia" w:ascii="宋体" w:hAnsi="宋体" w:eastAsia="宋体" w:cs="宋体"/>
          <w:snapToGrid w:val="0"/>
          <w:color w:val="auto"/>
          <w:sz w:val="24"/>
          <w:szCs w:val="24"/>
          <w:highlight w:val="none"/>
        </w:rPr>
        <w:t>下载</w:t>
      </w:r>
      <w:r>
        <w:rPr>
          <w:rFonts w:hint="eastAsia" w:ascii="宋体" w:hAnsi="宋体" w:eastAsia="宋体" w:cs="宋体"/>
          <w:color w:val="auto"/>
          <w:sz w:val="24"/>
          <w:szCs w:val="24"/>
          <w:highlight w:val="none"/>
          <w:shd w:val="clear" w:color="auto" w:fill="FFFFFF"/>
        </w:rPr>
        <w:t>招标文件及相关附件，并于电子投标截止时间（</w:t>
      </w:r>
      <w:r>
        <w:rPr>
          <w:rFonts w:hint="eastAsia" w:ascii="宋体" w:hAnsi="宋体" w:eastAsia="宋体" w:cs="宋体"/>
          <w:snapToGrid w:val="0"/>
          <w:color w:val="auto"/>
          <w:sz w:val="24"/>
          <w:szCs w:val="24"/>
          <w:highlight w:val="none"/>
        </w:rPr>
        <w:t>见本章第二节“重要事项时间地点一览表”</w:t>
      </w:r>
      <w:r>
        <w:rPr>
          <w:rFonts w:hint="eastAsia" w:ascii="宋体" w:hAnsi="宋体" w:eastAsia="宋体" w:cs="宋体"/>
          <w:color w:val="auto"/>
          <w:sz w:val="24"/>
          <w:szCs w:val="24"/>
          <w:highlight w:val="none"/>
          <w:shd w:val="clear" w:color="auto" w:fill="FFFFFF"/>
        </w:rPr>
        <w:t>）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18819797080/0751-8379671 伍先生，业务咨询电话：0751-8633211、8633071。</w:t>
      </w:r>
    </w:p>
    <w:p w14:paraId="79303D19">
      <w:pPr>
        <w:pStyle w:val="39"/>
        <w:pageBreakBefore w:val="0"/>
        <w:kinsoku/>
        <w:wordWrap w:val="0"/>
        <w:overflowPunct/>
        <w:topLinePunct w:val="0"/>
        <w:bidi w:val="0"/>
        <w:adjustRightInd w:val="0"/>
        <w:snapToGrid w:val="0"/>
        <w:spacing w:line="360" w:lineRule="auto"/>
        <w:ind w:firstLine="482"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snapToGrid w:val="0"/>
          <w:color w:val="auto"/>
          <w:kern w:val="0"/>
          <w:sz w:val="24"/>
          <w:szCs w:val="24"/>
          <w:highlight w:val="none"/>
        </w:rPr>
        <w:t xml:space="preserve">7.1.2 </w:t>
      </w:r>
      <w:r>
        <w:rPr>
          <w:rFonts w:hint="eastAsia" w:ascii="宋体" w:hAnsi="宋体" w:eastAsia="宋体" w:cs="宋体"/>
          <w:color w:val="auto"/>
          <w:sz w:val="24"/>
          <w:szCs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6D5C345A">
      <w:pPr>
        <w:pStyle w:val="39"/>
        <w:pageBreakBefore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68274B02">
      <w:pPr>
        <w:pStyle w:val="39"/>
        <w:pageBreakBefore w:val="0"/>
        <w:kinsoku/>
        <w:wordWrap w:val="0"/>
        <w:overflowPunct/>
        <w:topLinePunct w:val="0"/>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61C26FD7">
      <w:pPr>
        <w:pageBreakBefore w:val="0"/>
        <w:tabs>
          <w:tab w:val="left" w:pos="7020"/>
        </w:tabs>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snapToGrid w:val="0"/>
          <w:color w:val="auto"/>
          <w:sz w:val="24"/>
          <w:szCs w:val="24"/>
          <w:highlight w:val="none"/>
        </w:rPr>
        <w:t>。</w:t>
      </w:r>
    </w:p>
    <w:p w14:paraId="54C58419">
      <w:pPr>
        <w:pageBreakBefore w:val="0"/>
        <w:kinsoku/>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招标人（或招标代理机构）对投标人的失误不负任何责任，投标人应指定一名投标事务负责人（即授权委托人），专门负责跟踪、签收、阅读和理解招标文件及随后收到的有关资料，向招标人（或招标代理机构）发出疑问，检查投标文件，协助有关人员尽力克服各种投标失误。投标事务负责人（即授权委托人）如有更换，投标人应及时向招标人（或招标代理机构）提交授权委托书。</w:t>
      </w:r>
    </w:p>
    <w:p w14:paraId="2761B23E">
      <w:pPr>
        <w:pageBreakBefore w:val="0"/>
        <w:kinsoku/>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 xml:space="preserve"> 招标人对招标文件所作的答疑（或修改）公告，构成招标文件的组成部分。</w:t>
      </w:r>
    </w:p>
    <w:p w14:paraId="78D64906">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105" w:name="_Toc30148"/>
      <w:bookmarkStart w:id="106" w:name="_Toc30837"/>
      <w:r>
        <w:rPr>
          <w:rFonts w:hint="eastAsia" w:ascii="宋体" w:hAnsi="宋体" w:eastAsia="宋体" w:cs="宋体"/>
          <w:b/>
          <w:color w:val="auto"/>
          <w:kern w:val="2"/>
          <w:sz w:val="24"/>
          <w:szCs w:val="24"/>
          <w:highlight w:val="none"/>
        </w:rPr>
        <w:t>8</w:t>
      </w:r>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color w:val="auto"/>
          <w:kern w:val="2"/>
          <w:sz w:val="24"/>
          <w:szCs w:val="24"/>
          <w:highlight w:val="none"/>
        </w:rPr>
        <w:t>招标答疑</w:t>
      </w:r>
      <w:bookmarkEnd w:id="105"/>
      <w:bookmarkEnd w:id="106"/>
      <w:bookmarkStart w:id="107" w:name="_Hlt74496410"/>
      <w:bookmarkEnd w:id="107"/>
    </w:p>
    <w:p w14:paraId="03DA96BB">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8.1招标人不集中组织答疑，实行网上答疑。</w:t>
      </w:r>
      <w:r>
        <w:rPr>
          <w:rFonts w:hint="eastAsia" w:ascii="宋体" w:hAnsi="宋体" w:eastAsia="宋体" w:cs="宋体"/>
          <w:snapToGrid w:val="0"/>
          <w:color w:val="auto"/>
          <w:kern w:val="0"/>
          <w:sz w:val="24"/>
          <w:szCs w:val="24"/>
          <w:highlight w:val="none"/>
        </w:rPr>
        <w:t>投标人若对招标文件有疑问</w:t>
      </w:r>
      <w:r>
        <w:rPr>
          <w:rFonts w:hint="eastAsia" w:ascii="宋体" w:hAnsi="宋体" w:eastAsia="宋体" w:cs="宋体"/>
          <w:color w:val="auto"/>
          <w:sz w:val="24"/>
          <w:szCs w:val="24"/>
          <w:highlight w:val="none"/>
        </w:rPr>
        <w:t>应在提问截止时间（</w:t>
      </w:r>
      <w:r>
        <w:rPr>
          <w:rFonts w:hint="eastAsia" w:ascii="宋体" w:hAnsi="宋体" w:eastAsia="宋体" w:cs="宋体"/>
          <w:snapToGrid w:val="0"/>
          <w:color w:val="auto"/>
          <w:kern w:val="0"/>
          <w:sz w:val="24"/>
          <w:szCs w:val="24"/>
          <w:highlight w:val="none"/>
        </w:rPr>
        <w:t>见本章第二节“重要事项时间地点一览表”</w:t>
      </w:r>
      <w:r>
        <w:rPr>
          <w:rFonts w:hint="eastAsia" w:ascii="宋体" w:hAnsi="宋体" w:eastAsia="宋体" w:cs="宋体"/>
          <w:color w:val="auto"/>
          <w:sz w:val="24"/>
          <w:szCs w:val="24"/>
          <w:highlight w:val="none"/>
        </w:rPr>
        <w:t>）前在交易平台提出问题。未在指定时间前、未采用指定方式提出的，招标人不予受理。</w:t>
      </w:r>
    </w:p>
    <w:p w14:paraId="2C3C6BA8">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6520BF48">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 答疑书（</w:t>
      </w:r>
      <w:r>
        <w:rPr>
          <w:rFonts w:hint="eastAsia" w:ascii="宋体" w:hAnsi="宋体" w:eastAsia="宋体" w:cs="宋体"/>
          <w:snapToGrid w:val="0"/>
          <w:color w:val="auto"/>
          <w:kern w:val="0"/>
          <w:sz w:val="24"/>
          <w:szCs w:val="24"/>
          <w:highlight w:val="none"/>
        </w:rPr>
        <w:t>或修改</w:t>
      </w:r>
      <w:r>
        <w:rPr>
          <w:rFonts w:hint="eastAsia" w:ascii="宋体" w:hAnsi="宋体" w:eastAsia="宋体" w:cs="宋体"/>
          <w:color w:val="auto"/>
          <w:sz w:val="24"/>
          <w:szCs w:val="24"/>
          <w:highlight w:val="none"/>
        </w:rPr>
        <w:t>）对招标文件的修改或补充内容作为招标文件的组成部分，具有约束作用。招标文件的澄清、修改、补充等内容均以答疑书（</w:t>
      </w:r>
      <w:r>
        <w:rPr>
          <w:rFonts w:hint="eastAsia" w:ascii="宋体" w:hAnsi="宋体" w:eastAsia="宋体" w:cs="宋体"/>
          <w:snapToGrid w:val="0"/>
          <w:color w:val="auto"/>
          <w:kern w:val="0"/>
          <w:sz w:val="24"/>
          <w:szCs w:val="24"/>
          <w:highlight w:val="none"/>
        </w:rPr>
        <w:t>或修改</w:t>
      </w:r>
      <w:r>
        <w:rPr>
          <w:rFonts w:hint="eastAsia" w:ascii="宋体" w:hAnsi="宋体" w:eastAsia="宋体" w:cs="宋体"/>
          <w:color w:val="auto"/>
          <w:sz w:val="24"/>
          <w:szCs w:val="24"/>
          <w:highlight w:val="none"/>
        </w:rPr>
        <w:t>）中明确的内容为准。当招标文件、招标文件的澄清、修改、补充等文件在同一内容的表述上不一致时，以最后发出的答疑书（</w:t>
      </w:r>
      <w:r>
        <w:rPr>
          <w:rFonts w:hint="eastAsia" w:ascii="宋体" w:hAnsi="宋体" w:eastAsia="宋体" w:cs="宋体"/>
          <w:snapToGrid w:val="0"/>
          <w:color w:val="auto"/>
          <w:kern w:val="0"/>
          <w:sz w:val="24"/>
          <w:szCs w:val="24"/>
          <w:highlight w:val="none"/>
        </w:rPr>
        <w:t>或修改</w:t>
      </w:r>
      <w:r>
        <w:rPr>
          <w:rFonts w:hint="eastAsia" w:ascii="宋体" w:hAnsi="宋体" w:eastAsia="宋体" w:cs="宋体"/>
          <w:color w:val="auto"/>
          <w:sz w:val="24"/>
          <w:szCs w:val="24"/>
          <w:highlight w:val="none"/>
        </w:rPr>
        <w:t>）为准。</w:t>
      </w:r>
    </w:p>
    <w:p w14:paraId="1A5307C6">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 投标人在规定的时间内未对招标文件提出澄清或疑问的，招标人将视其为无异议。对招标文件中描述有歧义或前后不一致的地方，评标委员会有权进行评判，但对同一条款的评判应适用于每个投标人。</w:t>
      </w:r>
    </w:p>
    <w:p w14:paraId="1675C1B4">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7FED8B21">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kern w:val="2"/>
          <w:sz w:val="24"/>
          <w:szCs w:val="24"/>
          <w:highlight w:val="none"/>
        </w:rPr>
      </w:pPr>
      <w:bookmarkStart w:id="108" w:name="_Hlt69699188"/>
      <w:bookmarkEnd w:id="108"/>
      <w:bookmarkStart w:id="109" w:name="_Hlt92513715"/>
      <w:bookmarkEnd w:id="109"/>
      <w:bookmarkStart w:id="110" w:name="_Hlt92513711"/>
      <w:bookmarkEnd w:id="110"/>
      <w:bookmarkStart w:id="111" w:name="_Toc30627"/>
      <w:bookmarkStart w:id="112" w:name="_Toc15195"/>
      <w:bookmarkStart w:id="113" w:name="_Toc20643"/>
      <w:bookmarkStart w:id="114" w:name="_Toc25532"/>
      <w:bookmarkStart w:id="115" w:name="_Toc8032"/>
      <w:bookmarkStart w:id="116" w:name="_Toc28777"/>
      <w:bookmarkStart w:id="117" w:name="_Toc11301"/>
      <w:bookmarkStart w:id="118" w:name="_Toc31064"/>
      <w:bookmarkStart w:id="119" w:name="_Toc17261"/>
      <w:r>
        <w:rPr>
          <w:rFonts w:hint="eastAsia" w:ascii="宋体" w:hAnsi="宋体" w:eastAsia="宋体" w:cs="宋体"/>
          <w:b/>
          <w:color w:val="auto"/>
          <w:kern w:val="2"/>
          <w:sz w:val="24"/>
          <w:szCs w:val="24"/>
          <w:highlight w:val="none"/>
        </w:rPr>
        <w:t>9</w:t>
      </w:r>
      <w:r>
        <w:rPr>
          <w:rFonts w:hint="eastAsia" w:ascii="宋体" w:hAnsi="宋体" w:eastAsia="宋体" w:cs="宋体"/>
          <w:b/>
          <w:color w:val="auto"/>
          <w:kern w:val="2"/>
          <w:sz w:val="24"/>
          <w:szCs w:val="24"/>
          <w:highlight w:val="none"/>
          <w:lang w:val="en-US" w:eastAsia="zh-CN"/>
        </w:rPr>
        <w:t>.</w:t>
      </w:r>
      <w:r>
        <w:rPr>
          <w:rFonts w:hint="eastAsia" w:ascii="宋体" w:hAnsi="宋体" w:eastAsia="宋体" w:cs="宋体"/>
          <w:b/>
          <w:color w:val="auto"/>
          <w:kern w:val="2"/>
          <w:sz w:val="24"/>
          <w:szCs w:val="24"/>
          <w:highlight w:val="none"/>
        </w:rPr>
        <w:t>投标报价的编制</w:t>
      </w:r>
      <w:bookmarkEnd w:id="111"/>
      <w:bookmarkEnd w:id="112"/>
      <w:bookmarkEnd w:id="113"/>
      <w:bookmarkEnd w:id="114"/>
      <w:bookmarkEnd w:id="115"/>
      <w:bookmarkEnd w:id="116"/>
      <w:bookmarkEnd w:id="117"/>
      <w:bookmarkEnd w:id="118"/>
      <w:bookmarkEnd w:id="119"/>
      <w:bookmarkStart w:id="120" w:name="_Hlt74498519"/>
      <w:bookmarkEnd w:id="120"/>
    </w:p>
    <w:p w14:paraId="4DA546D3">
      <w:pPr>
        <w:pStyle w:val="36"/>
        <w:pageBreakBefore w:val="0"/>
        <w:kinsoku/>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9.1.本项目采用费率报价，结算时按招标文件和合同约定的有关结算原则计算。在最高投标限价（费率为100%）以下（不含本身）有效报价，且不低于成本。投标费率小于85%（不含本身）的须在报价文件中附成本分析报告，未提供成本分析报告即为不响应采购文件要求，作否决投标处理。充分说明单价和费用的组成、降低成本的合理措施及在其他工程中应用过的经验等，否则视为原则性不响应招标文件要求，作否决投标处理。</w:t>
      </w:r>
    </w:p>
    <w:p w14:paraId="7FEAA962">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9.2.本项目为招标项目，暂定招标金额是预计量，预计金额用于招标完毕后签订合同（即暂定价合同），仅作为招标时相关费用收取支付依据。项目施工图经评审通过后，投标人（如联合投标的，由牵头人）在5个工作日内将编制的施工图预算送建设单位审核，建设单位委托第三方造价咨询单位审定的建安工程分部分项工程量清单对应的综合单价即为结算基准单价作为结算价的计价单价。</w:t>
      </w:r>
    </w:p>
    <w:p w14:paraId="20ECDFCD">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投标人的投标报价应考虑完成招标文件中招标内容及工程的技术要求及设备参数要求所规定的所有工程及设备的费用，并承担结算原则中规定的一切风险，还应考虑工程预算书的编制费、报建和施工时应由施工单位承担的一切费用、工程一切检测费用、工程有关档案和影像等整理或制作及向相关部门交取的费用。</w:t>
      </w:r>
    </w:p>
    <w:p w14:paraId="3A240B78">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9.4.投标人投标报价的编制依据：</w:t>
      </w:r>
    </w:p>
    <w:p w14:paraId="2E7997F7">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（1）《工程勘察设计收费管理规定》（计价格[2002]10号）；《建设工程工程量清单计价标准》（GB/T50500-2024）、《光伏发电工程工程量清单计价规范》。</w:t>
      </w:r>
    </w:p>
    <w:p w14:paraId="45B88C88">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当广东省综合定额子目缺项时，可参考套用最新的电力定额编制。</w:t>
      </w:r>
    </w:p>
    <w:p w14:paraId="0CB3CCCE">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（3）材料、设备价格按项目预算编制期间当地造价部门发布的信息价（若韶关市未发布信息参考广东省内同类地区信息价）计入（信息价缺价的通过市场询价方式或厂家报价确定）。</w:t>
      </w:r>
    </w:p>
    <w:p w14:paraId="3088125E">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（4）税金费用执行《关于全面推开营业税改征增值税试点的通知》（财税[2016]36号）及国家最新税收政策，采用一般纳税人计税方法计列增值税。</w:t>
      </w:r>
    </w:p>
    <w:p w14:paraId="69BA1901">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（5）企业定额；</w:t>
      </w:r>
    </w:p>
    <w:p w14:paraId="52BE4181">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（6）招标文件及其答疑（或修改）公告；</w:t>
      </w:r>
    </w:p>
    <w:p w14:paraId="4C75FAD3">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（7）施工图及相关资料；</w:t>
      </w:r>
    </w:p>
    <w:p w14:paraId="401796D7">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（8）施工现场情况、工程特点及常规施工方案；</w:t>
      </w:r>
    </w:p>
    <w:p w14:paraId="2FD924C9">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（9）与建设项目相关的标准、规范、技术资料。</w:t>
      </w:r>
    </w:p>
    <w:p w14:paraId="6B3E7CF0">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9.5.投标人在投标时，必须考虑工程保险费，在项目实施前应办理相关保险。</w:t>
      </w:r>
    </w:p>
    <w:p w14:paraId="1C383904">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9.6.投标人在投标报价时，自行考虑高温补贴费、施工视频监控系统费用，专业分包的总包服务及配合费，预算（含工程量清单编制费）等，并承担相应风险，结算时不另行计取。</w:t>
      </w:r>
    </w:p>
    <w:p w14:paraId="757C84C3">
      <w:pPr>
        <w:pStyle w:val="38"/>
        <w:keepNext/>
        <w:keepLines/>
        <w:ind w:firstLine="480"/>
        <w:jc w:val="both"/>
        <w:rPr>
          <w:rFonts w:hint="eastAsia" w:ascii="宋体" w:hAnsi="宋体" w:eastAsia="宋体" w:cs="宋体"/>
          <w:b/>
          <w:color w:val="auto"/>
          <w:szCs w:val="24"/>
          <w:highlight w:val="none"/>
        </w:rPr>
      </w:pPr>
      <w:bookmarkStart w:id="121" w:name="_Toc14189"/>
      <w:r>
        <w:rPr>
          <w:rFonts w:hint="eastAsia" w:ascii="宋体" w:hAnsi="宋体" w:eastAsia="宋体" w:cs="宋体"/>
          <w:b/>
          <w:color w:val="auto"/>
          <w:szCs w:val="24"/>
          <w:highlight w:val="none"/>
        </w:rPr>
        <w:t>10</w:t>
      </w:r>
      <w:r>
        <w:rPr>
          <w:rFonts w:hint="eastAsia" w:ascii="宋体" w:hAnsi="宋体" w:eastAsia="宋体" w:cs="宋体"/>
          <w:b/>
          <w:color w:val="auto"/>
          <w:szCs w:val="24"/>
          <w:highlight w:val="none"/>
          <w:lang w:val="en-US" w:eastAsia="zh-CN"/>
        </w:rPr>
        <w:t>.</w:t>
      </w:r>
      <w:r>
        <w:rPr>
          <w:rFonts w:hint="eastAsia" w:ascii="宋体" w:hAnsi="宋体" w:eastAsia="宋体" w:cs="宋体"/>
          <w:b/>
          <w:color w:val="auto"/>
          <w:szCs w:val="24"/>
          <w:highlight w:val="none"/>
        </w:rPr>
        <w:t>最高</w:t>
      </w:r>
      <w:r>
        <w:rPr>
          <w:rFonts w:hint="eastAsia" w:ascii="宋体" w:hAnsi="宋体" w:eastAsia="宋体" w:cs="宋体"/>
          <w:b/>
          <w:color w:val="auto"/>
          <w:kern w:val="2"/>
          <w:highlight w:val="none"/>
        </w:rPr>
        <w:t>投标</w:t>
      </w:r>
      <w:r>
        <w:rPr>
          <w:rFonts w:hint="eastAsia" w:ascii="宋体" w:hAnsi="宋体" w:eastAsia="宋体" w:cs="宋体"/>
          <w:b/>
          <w:color w:val="auto"/>
          <w:szCs w:val="24"/>
          <w:highlight w:val="none"/>
        </w:rPr>
        <w:t>限价的确定</w:t>
      </w:r>
      <w:bookmarkEnd w:id="121"/>
      <w:bookmarkStart w:id="122" w:name="_Hlt69335617"/>
      <w:bookmarkStart w:id="123" w:name="_Hlt121629839"/>
    </w:p>
    <w:p w14:paraId="7C0FBD31">
      <w:pPr>
        <w:spacing w:line="360" w:lineRule="auto"/>
        <w:ind w:firstLine="560"/>
        <w:rPr>
          <w:rFonts w:hint="eastAsia" w:ascii="宋体" w:hAnsi="宋体" w:eastAsia="宋体" w:cs="宋体"/>
          <w:color w:val="auto"/>
          <w:sz w:val="24"/>
          <w:szCs w:val="24"/>
          <w:highlight w:val="none"/>
        </w:rPr>
      </w:pPr>
      <w:bookmarkStart w:id="124" w:name="_Toc15152"/>
      <w:bookmarkStart w:id="125" w:name="_Toc4604"/>
      <w:bookmarkStart w:id="126" w:name="_Toc24510"/>
      <w:bookmarkStart w:id="127" w:name="_Toc29734"/>
      <w:bookmarkStart w:id="128" w:name="_Toc32578"/>
      <w:bookmarkStart w:id="129" w:name="_Toc13350"/>
      <w:bookmarkStart w:id="130" w:name="_Toc7307"/>
      <w:bookmarkStart w:id="131" w:name="_Toc5483"/>
      <w:r>
        <w:rPr>
          <w:rFonts w:hint="eastAsia" w:ascii="宋体" w:hAnsi="宋体" w:eastAsia="宋体" w:cs="宋体"/>
          <w:color w:val="auto"/>
          <w:sz w:val="24"/>
          <w:szCs w:val="24"/>
          <w:highlight w:val="none"/>
          <w:lang w:eastAsia="zh-CN"/>
        </w:rPr>
        <w:t>本项目最高投标限价为人民币（大写）：</w:t>
      </w:r>
      <w:r>
        <w:rPr>
          <w:rFonts w:hint="eastAsia" w:ascii="宋体" w:hAnsi="宋体" w:eastAsia="宋体" w:cs="宋体"/>
          <w:color w:val="auto"/>
          <w:sz w:val="24"/>
          <w:szCs w:val="24"/>
          <w:highlight w:val="none"/>
          <w:u w:val="single"/>
          <w:lang w:val="en-US" w:eastAsia="zh-CN"/>
        </w:rPr>
        <w:t>壹佰捌拾万元整</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1800000.00</w:t>
      </w:r>
      <w:r>
        <w:rPr>
          <w:rFonts w:hint="eastAsia" w:ascii="宋体" w:hAnsi="宋体" w:eastAsia="宋体" w:cs="宋体"/>
          <w:color w:val="auto"/>
          <w:sz w:val="24"/>
          <w:szCs w:val="24"/>
          <w:highlight w:val="none"/>
          <w:u w:val="single"/>
          <w:lang w:eastAsia="zh-CN"/>
        </w:rPr>
        <w:t>元）</w:t>
      </w:r>
      <w:r>
        <w:rPr>
          <w:rFonts w:hint="eastAsia" w:ascii="宋体" w:hAnsi="宋体" w:eastAsia="宋体" w:cs="宋体"/>
          <w:color w:val="auto"/>
          <w:sz w:val="24"/>
          <w:szCs w:val="24"/>
          <w:highlight w:val="none"/>
        </w:rPr>
        <w:t>具体详见下表：</w:t>
      </w:r>
    </w:p>
    <w:tbl>
      <w:tblPr>
        <w:tblStyle w:val="25"/>
        <w:tblW w:w="100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310"/>
        <w:gridCol w:w="970"/>
        <w:gridCol w:w="1500"/>
        <w:gridCol w:w="1455"/>
        <w:gridCol w:w="3043"/>
      </w:tblGrid>
      <w:tr w14:paraId="5B91B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739" w:type="dxa"/>
            <w:noWrap w:val="0"/>
            <w:vAlign w:val="center"/>
          </w:tcPr>
          <w:p w14:paraId="177CAC65">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序号</w:t>
            </w:r>
          </w:p>
        </w:tc>
        <w:tc>
          <w:tcPr>
            <w:tcW w:w="2310" w:type="dxa"/>
            <w:noWrap w:val="0"/>
            <w:vAlign w:val="center"/>
          </w:tcPr>
          <w:p w14:paraId="7B8F2A87">
            <w:pPr>
              <w:pStyle w:val="4"/>
              <w:jc w:val="center"/>
              <w:rPr>
                <w:rFonts w:hint="eastAsia" w:ascii="宋体" w:hAnsi="宋体" w:eastAsia="宋体" w:cs="宋体"/>
                <w:b w:val="0"/>
                <w:bCs w:val="0"/>
                <w:color w:val="auto"/>
                <w:kern w:val="1"/>
                <w:sz w:val="24"/>
                <w:szCs w:val="24"/>
                <w:highlight w:val="none"/>
                <w:lang w:val="en-US" w:eastAsia="zh-CN"/>
              </w:rPr>
            </w:pPr>
            <w:bookmarkStart w:id="132" w:name="_Toc25251"/>
            <w:r>
              <w:rPr>
                <w:rFonts w:hint="eastAsia" w:ascii="宋体" w:hAnsi="宋体" w:eastAsia="宋体" w:cs="宋体"/>
                <w:color w:val="auto"/>
                <w:kern w:val="1"/>
                <w:sz w:val="24"/>
                <w:szCs w:val="24"/>
                <w:highlight w:val="none"/>
              </w:rPr>
              <w:t>项目名称</w:t>
            </w:r>
            <w:bookmarkEnd w:id="132"/>
          </w:p>
        </w:tc>
        <w:tc>
          <w:tcPr>
            <w:tcW w:w="2470" w:type="dxa"/>
            <w:gridSpan w:val="2"/>
            <w:noWrap w:val="0"/>
            <w:vAlign w:val="center"/>
          </w:tcPr>
          <w:p w14:paraId="45236702">
            <w:pPr>
              <w:spacing w:line="360" w:lineRule="exact"/>
              <w:jc w:val="center"/>
              <w:rPr>
                <w:rFonts w:hint="eastAsia" w:ascii="宋体" w:hAnsi="宋体" w:eastAsia="宋体" w:cs="宋体"/>
                <w:b w:val="0"/>
                <w:bCs w:val="0"/>
                <w:color w:val="auto"/>
                <w:kern w:val="1"/>
                <w:sz w:val="24"/>
                <w:szCs w:val="24"/>
                <w:highlight w:val="none"/>
                <w:lang w:val="en-US" w:eastAsia="zh-CN"/>
              </w:rPr>
            </w:pPr>
            <w:r>
              <w:rPr>
                <w:rFonts w:hint="eastAsia" w:ascii="宋体" w:hAnsi="宋体" w:eastAsia="宋体" w:cs="宋体"/>
                <w:b w:val="0"/>
                <w:bCs w:val="0"/>
                <w:color w:val="auto"/>
                <w:kern w:val="1"/>
                <w:sz w:val="24"/>
                <w:szCs w:val="24"/>
                <w:highlight w:val="none"/>
                <w:lang w:val="en-US" w:eastAsia="zh-CN"/>
              </w:rPr>
              <w:t>招标金额</w:t>
            </w:r>
          </w:p>
          <w:p w14:paraId="4DF71A57">
            <w:pPr>
              <w:pStyle w:val="4"/>
              <w:jc w:val="center"/>
              <w:rPr>
                <w:rFonts w:hint="eastAsia" w:ascii="宋体" w:hAnsi="宋体" w:eastAsia="宋体" w:cs="宋体"/>
                <w:color w:val="auto"/>
                <w:sz w:val="24"/>
                <w:szCs w:val="24"/>
                <w:highlight w:val="none"/>
                <w:lang w:val="en-US" w:eastAsia="zh-CN"/>
              </w:rPr>
            </w:pPr>
            <w:bookmarkStart w:id="133" w:name="_Toc31119"/>
            <w:bookmarkStart w:id="134" w:name="_Toc2498"/>
            <w:bookmarkStart w:id="135" w:name="_Toc24771"/>
            <w:r>
              <w:rPr>
                <w:rFonts w:hint="eastAsia" w:ascii="宋体" w:hAnsi="宋体" w:eastAsia="宋体" w:cs="宋体"/>
                <w:b w:val="0"/>
                <w:bCs w:val="0"/>
                <w:color w:val="auto"/>
                <w:kern w:val="1"/>
                <w:sz w:val="24"/>
                <w:szCs w:val="24"/>
                <w:highlight w:val="none"/>
                <w:lang w:val="en-US" w:eastAsia="zh-CN"/>
              </w:rPr>
              <w:t>（元）</w:t>
            </w:r>
            <w:bookmarkEnd w:id="133"/>
            <w:bookmarkEnd w:id="134"/>
            <w:bookmarkEnd w:id="135"/>
          </w:p>
        </w:tc>
        <w:tc>
          <w:tcPr>
            <w:tcW w:w="1455" w:type="dxa"/>
            <w:noWrap w:val="0"/>
            <w:vAlign w:val="center"/>
          </w:tcPr>
          <w:p w14:paraId="5F51CED8">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b w:val="0"/>
                <w:bCs w:val="0"/>
                <w:color w:val="auto"/>
                <w:kern w:val="1"/>
                <w:sz w:val="24"/>
                <w:szCs w:val="24"/>
                <w:highlight w:val="none"/>
                <w:lang w:val="en-US" w:eastAsia="zh-CN"/>
              </w:rPr>
              <w:t>最高报价费率</w:t>
            </w:r>
          </w:p>
        </w:tc>
        <w:tc>
          <w:tcPr>
            <w:tcW w:w="3043" w:type="dxa"/>
            <w:noWrap w:val="0"/>
            <w:vAlign w:val="center"/>
          </w:tcPr>
          <w:p w14:paraId="00B143D1">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rPr>
              <w:t>交货时间/工期/服务期限</w:t>
            </w:r>
          </w:p>
        </w:tc>
      </w:tr>
      <w:tr w14:paraId="0FF04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 w:hRule="atLeast"/>
          <w:jc w:val="center"/>
        </w:trPr>
        <w:tc>
          <w:tcPr>
            <w:tcW w:w="739" w:type="dxa"/>
            <w:vMerge w:val="restart"/>
            <w:noWrap w:val="0"/>
            <w:vAlign w:val="center"/>
          </w:tcPr>
          <w:p w14:paraId="06BB0361">
            <w:pPr>
              <w:spacing w:line="40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1</w:t>
            </w:r>
          </w:p>
        </w:tc>
        <w:tc>
          <w:tcPr>
            <w:tcW w:w="2310" w:type="dxa"/>
            <w:vMerge w:val="restart"/>
            <w:noWrap w:val="0"/>
            <w:vAlign w:val="center"/>
          </w:tcPr>
          <w:p w14:paraId="2CB6FA4A">
            <w:pPr>
              <w:spacing w:line="40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lang w:eastAsia="zh-CN"/>
              </w:rPr>
              <w:t>始兴县顿岗镇全域土地综合整治（乡村空间“三提三化”）项目光伏项目（</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期）设计施工总承包</w:t>
            </w:r>
          </w:p>
        </w:tc>
        <w:tc>
          <w:tcPr>
            <w:tcW w:w="970" w:type="dxa"/>
            <w:noWrap w:val="0"/>
            <w:vAlign w:val="center"/>
          </w:tcPr>
          <w:p w14:paraId="224A48BF">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建安费</w:t>
            </w:r>
          </w:p>
        </w:tc>
        <w:tc>
          <w:tcPr>
            <w:tcW w:w="1500" w:type="dxa"/>
            <w:noWrap w:val="0"/>
            <w:vAlign w:val="center"/>
          </w:tcPr>
          <w:p w14:paraId="119C73F7">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1730000.00</w:t>
            </w:r>
          </w:p>
        </w:tc>
        <w:tc>
          <w:tcPr>
            <w:tcW w:w="1455" w:type="dxa"/>
            <w:noWrap w:val="0"/>
            <w:vAlign w:val="center"/>
          </w:tcPr>
          <w:p w14:paraId="34893EB8">
            <w:pPr>
              <w:spacing w:line="36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u w:val="none"/>
                <w:lang w:val="en-US" w:eastAsia="zh-CN"/>
              </w:rPr>
              <w:t>100</w:t>
            </w:r>
            <w:r>
              <w:rPr>
                <w:rFonts w:hint="eastAsia" w:ascii="宋体" w:hAnsi="宋体" w:eastAsia="宋体" w:cs="宋体"/>
                <w:color w:val="auto"/>
                <w:kern w:val="1"/>
                <w:sz w:val="24"/>
                <w:szCs w:val="24"/>
                <w:highlight w:val="none"/>
                <w:u w:val="none"/>
              </w:rPr>
              <w:t>%</w:t>
            </w:r>
          </w:p>
        </w:tc>
        <w:tc>
          <w:tcPr>
            <w:tcW w:w="3043" w:type="dxa"/>
            <w:vMerge w:val="restart"/>
            <w:noWrap w:val="0"/>
            <w:vAlign w:val="center"/>
          </w:tcPr>
          <w:p w14:paraId="09B35777">
            <w:pPr>
              <w:spacing w:line="360" w:lineRule="exact"/>
              <w:jc w:val="left"/>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rPr>
              <w:t>在项目计划工期内竣工并移交整个工程（具体项目的工期以下达的任务通知书为准，实际开竣工日期分别以开工报告、竣工报告为准）</w:t>
            </w:r>
          </w:p>
        </w:tc>
      </w:tr>
      <w:tr w14:paraId="3CFA2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7" w:hRule="atLeast"/>
          <w:jc w:val="center"/>
        </w:trPr>
        <w:tc>
          <w:tcPr>
            <w:tcW w:w="739" w:type="dxa"/>
            <w:vMerge w:val="continue"/>
            <w:noWrap w:val="0"/>
            <w:vAlign w:val="center"/>
          </w:tcPr>
          <w:p w14:paraId="6646BB8D">
            <w:pPr>
              <w:spacing w:line="400" w:lineRule="exact"/>
              <w:jc w:val="center"/>
              <w:rPr>
                <w:rFonts w:hint="eastAsia" w:ascii="宋体" w:hAnsi="宋体" w:eastAsia="宋体" w:cs="宋体"/>
                <w:color w:val="0000FF"/>
                <w:kern w:val="1"/>
                <w:sz w:val="24"/>
                <w:szCs w:val="24"/>
                <w:highlight w:val="none"/>
              </w:rPr>
            </w:pPr>
          </w:p>
        </w:tc>
        <w:tc>
          <w:tcPr>
            <w:tcW w:w="2310" w:type="dxa"/>
            <w:vMerge w:val="continue"/>
            <w:noWrap w:val="0"/>
            <w:vAlign w:val="center"/>
          </w:tcPr>
          <w:p w14:paraId="0E532B90">
            <w:pPr>
              <w:spacing w:line="400" w:lineRule="exact"/>
              <w:jc w:val="center"/>
              <w:rPr>
                <w:rFonts w:hint="eastAsia" w:ascii="宋体" w:hAnsi="宋体" w:eastAsia="宋体" w:cs="宋体"/>
                <w:color w:val="0000FF"/>
                <w:sz w:val="24"/>
                <w:szCs w:val="24"/>
                <w:highlight w:val="none"/>
                <w:lang w:eastAsia="zh-CN"/>
              </w:rPr>
            </w:pPr>
          </w:p>
        </w:tc>
        <w:tc>
          <w:tcPr>
            <w:tcW w:w="970" w:type="dxa"/>
            <w:noWrap w:val="0"/>
            <w:vAlign w:val="center"/>
          </w:tcPr>
          <w:p w14:paraId="33AB5A9A">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设计费</w:t>
            </w:r>
          </w:p>
        </w:tc>
        <w:tc>
          <w:tcPr>
            <w:tcW w:w="1500" w:type="dxa"/>
            <w:noWrap w:val="0"/>
            <w:vAlign w:val="center"/>
          </w:tcPr>
          <w:p w14:paraId="1C8098E2">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70000.00</w:t>
            </w:r>
          </w:p>
        </w:tc>
        <w:tc>
          <w:tcPr>
            <w:tcW w:w="1455" w:type="dxa"/>
            <w:noWrap w:val="0"/>
            <w:vAlign w:val="center"/>
          </w:tcPr>
          <w:p w14:paraId="142321EF">
            <w:pPr>
              <w:spacing w:line="36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u w:val="none"/>
                <w:lang w:val="en-US" w:eastAsia="zh-CN"/>
              </w:rPr>
              <w:t>100</w:t>
            </w:r>
            <w:r>
              <w:rPr>
                <w:rFonts w:hint="eastAsia" w:ascii="宋体" w:hAnsi="宋体" w:eastAsia="宋体" w:cs="宋体"/>
                <w:color w:val="auto"/>
                <w:kern w:val="1"/>
                <w:sz w:val="24"/>
                <w:szCs w:val="24"/>
                <w:highlight w:val="none"/>
                <w:u w:val="none"/>
              </w:rPr>
              <w:t>%</w:t>
            </w:r>
          </w:p>
        </w:tc>
        <w:tc>
          <w:tcPr>
            <w:tcW w:w="3043" w:type="dxa"/>
            <w:vMerge w:val="continue"/>
            <w:noWrap w:val="0"/>
            <w:vAlign w:val="center"/>
          </w:tcPr>
          <w:p w14:paraId="527DB2E9">
            <w:pPr>
              <w:spacing w:line="360" w:lineRule="exact"/>
              <w:jc w:val="left"/>
              <w:rPr>
                <w:rFonts w:hint="eastAsia" w:ascii="宋体" w:hAnsi="宋体" w:eastAsia="宋体" w:cs="宋体"/>
                <w:color w:val="0000FF"/>
                <w:sz w:val="24"/>
                <w:szCs w:val="24"/>
                <w:highlight w:val="none"/>
              </w:rPr>
            </w:pPr>
          </w:p>
        </w:tc>
      </w:tr>
      <w:tr w14:paraId="555AB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jc w:val="center"/>
        </w:trPr>
        <w:tc>
          <w:tcPr>
            <w:tcW w:w="739" w:type="dxa"/>
            <w:noWrap w:val="0"/>
            <w:vAlign w:val="center"/>
          </w:tcPr>
          <w:p w14:paraId="3E251B40">
            <w:pPr>
              <w:spacing w:line="400" w:lineRule="exact"/>
              <w:jc w:val="center"/>
              <w:rPr>
                <w:rFonts w:hint="eastAsia" w:ascii="宋体" w:hAnsi="宋体" w:eastAsia="宋体" w:cs="宋体"/>
                <w:color w:val="0000FF"/>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2</w:t>
            </w:r>
          </w:p>
        </w:tc>
        <w:tc>
          <w:tcPr>
            <w:tcW w:w="3280" w:type="dxa"/>
            <w:gridSpan w:val="2"/>
            <w:noWrap w:val="0"/>
            <w:vAlign w:val="center"/>
          </w:tcPr>
          <w:p w14:paraId="2D917427">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w:t>
            </w:r>
          </w:p>
        </w:tc>
        <w:tc>
          <w:tcPr>
            <w:tcW w:w="1500" w:type="dxa"/>
            <w:noWrap w:val="0"/>
            <w:vAlign w:val="center"/>
          </w:tcPr>
          <w:p w14:paraId="019CC93E">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1800000.00</w:t>
            </w:r>
          </w:p>
        </w:tc>
        <w:tc>
          <w:tcPr>
            <w:tcW w:w="1455" w:type="dxa"/>
            <w:noWrap w:val="0"/>
            <w:vAlign w:val="center"/>
          </w:tcPr>
          <w:p w14:paraId="77931262">
            <w:pPr>
              <w:snapToGrid w:val="0"/>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w:t>
            </w:r>
          </w:p>
        </w:tc>
        <w:tc>
          <w:tcPr>
            <w:tcW w:w="3043" w:type="dxa"/>
            <w:vMerge w:val="continue"/>
            <w:noWrap w:val="0"/>
            <w:vAlign w:val="center"/>
          </w:tcPr>
          <w:p w14:paraId="48B86B22">
            <w:pPr>
              <w:spacing w:line="360" w:lineRule="exact"/>
              <w:jc w:val="left"/>
              <w:rPr>
                <w:rFonts w:hint="eastAsia" w:ascii="宋体" w:hAnsi="宋体" w:eastAsia="宋体" w:cs="宋体"/>
                <w:color w:val="0000FF"/>
                <w:sz w:val="24"/>
                <w:szCs w:val="24"/>
                <w:highlight w:val="none"/>
              </w:rPr>
            </w:pPr>
          </w:p>
        </w:tc>
      </w:tr>
    </w:tbl>
    <w:p w14:paraId="00406CC9">
      <w:pPr>
        <w:bidi w:val="0"/>
        <w:rPr>
          <w:rFonts w:hint="eastAsia" w:ascii="宋体" w:hAnsi="宋体" w:eastAsia="宋体" w:cs="宋体"/>
          <w:color w:val="auto"/>
          <w:sz w:val="22"/>
          <w:szCs w:val="22"/>
        </w:rPr>
      </w:pPr>
    </w:p>
    <w:p w14:paraId="4655DFDC">
      <w:pPr>
        <w:keepNext w:val="0"/>
        <w:keepLines w:val="0"/>
        <w:pageBreakBefore w:val="0"/>
        <w:widowControl w:val="0"/>
        <w:numPr>
          <w:ilvl w:val="0"/>
          <w:numId w:val="0"/>
        </w:numPr>
        <w:kinsoku/>
        <w:wordWrap/>
        <w:overflowPunct/>
        <w:topLinePunct w:val="0"/>
        <w:autoSpaceDE/>
        <w:autoSpaceDN/>
        <w:bidi w:val="0"/>
        <w:adjustRightInd w:val="0"/>
        <w:snapToGrid w:val="0"/>
        <w:spacing w:line="351" w:lineRule="auto"/>
        <w:ind w:left="0" w:firstLine="482" w:firstLineChars="200"/>
        <w:textAlignment w:val="auto"/>
        <w:outlineLvl w:val="9"/>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备注：</w:t>
      </w:r>
    </w:p>
    <w:p w14:paraId="22422C2F">
      <w:pPr>
        <w:keepNext w:val="0"/>
        <w:keepLines w:val="0"/>
        <w:pageBreakBefore w:val="0"/>
        <w:widowControl w:val="0"/>
        <w:numPr>
          <w:ilvl w:val="0"/>
          <w:numId w:val="0"/>
        </w:numPr>
        <w:kinsoku/>
        <w:wordWrap/>
        <w:overflowPunct/>
        <w:topLinePunct w:val="0"/>
        <w:autoSpaceDE/>
        <w:autoSpaceDN/>
        <w:bidi w:val="0"/>
        <w:adjustRightInd w:val="0"/>
        <w:snapToGrid w:val="0"/>
        <w:spacing w:line="351" w:lineRule="auto"/>
        <w:ind w:left="0" w:firstLine="480" w:firstLineChars="200"/>
        <w:textAlignment w:val="auto"/>
        <w:outlineLvl w:val="9"/>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招标所列招标金额是预计量。预计量是采购需求预测数据，仅作为招标预估规模供投标人参考，并不代表招标人对采购量的承诺，最终以实际结果为准。部分标段可能出现协议期内少于预计需求的情况，请潜在投标人在知悉并接受相关条件的情况下参与本项目的投标，投标则视为知悉和认可招标人的上述安排，并愿意遵守。</w:t>
      </w:r>
    </w:p>
    <w:p w14:paraId="5B674AC7">
      <w:pPr>
        <w:keepNext w:val="0"/>
        <w:keepLines w:val="0"/>
        <w:pageBreakBefore w:val="0"/>
        <w:widowControl w:val="0"/>
        <w:numPr>
          <w:ilvl w:val="0"/>
          <w:numId w:val="0"/>
        </w:numPr>
        <w:kinsoku/>
        <w:wordWrap/>
        <w:overflowPunct/>
        <w:topLinePunct w:val="0"/>
        <w:autoSpaceDE/>
        <w:autoSpaceDN/>
        <w:bidi w:val="0"/>
        <w:adjustRightInd w:val="0"/>
        <w:snapToGrid w:val="0"/>
        <w:spacing w:line="351" w:lineRule="auto"/>
        <w:ind w:left="0" w:firstLine="480" w:firstLineChars="200"/>
        <w:textAlignment w:val="auto"/>
        <w:outlineLvl w:val="9"/>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投标报价已充分考虑图纸审查费、预算（含工程量清单）编制费、现场踏勘费、高温补贴费、施工视频监控系统、专业分包及总包的服务费、设计代表驻场配合费、设计优化及修改增加的费用等招标文件已明确规定不再另行单独计取的各项费用并承担责任及风险。</w:t>
      </w:r>
    </w:p>
    <w:p w14:paraId="5A6B4C68">
      <w:pPr>
        <w:pStyle w:val="38"/>
        <w:keepNext/>
        <w:keepLines/>
        <w:pageBreakBefore w:val="0"/>
        <w:widowControl w:val="0"/>
        <w:kinsoku/>
        <w:overflowPunct/>
        <w:topLinePunct w:val="0"/>
        <w:bidi w:val="0"/>
        <w:spacing w:line="351" w:lineRule="auto"/>
        <w:ind w:left="0" w:firstLine="482" w:firstLineChars="200"/>
        <w:jc w:val="both"/>
        <w:textAlignment w:val="auto"/>
        <w:rPr>
          <w:rFonts w:hint="eastAsia" w:ascii="宋体" w:hAnsi="宋体" w:eastAsia="宋体" w:cs="宋体"/>
          <w:b/>
          <w:color w:val="auto"/>
          <w:szCs w:val="22"/>
          <w:highlight w:val="none"/>
        </w:rPr>
      </w:pPr>
      <w:bookmarkStart w:id="136" w:name="_Toc13878"/>
      <w:bookmarkStart w:id="137" w:name="_Toc8336"/>
      <w:bookmarkStart w:id="138" w:name="_Toc24848"/>
      <w:r>
        <w:rPr>
          <w:rFonts w:hint="eastAsia" w:ascii="宋体" w:hAnsi="宋体" w:eastAsia="宋体" w:cs="宋体"/>
          <w:b/>
          <w:color w:val="auto"/>
          <w:szCs w:val="22"/>
          <w:highlight w:val="none"/>
        </w:rPr>
        <w:t>1</w:t>
      </w:r>
      <w:r>
        <w:rPr>
          <w:rFonts w:hint="eastAsia" w:ascii="宋体" w:hAnsi="宋体" w:eastAsia="宋体" w:cs="宋体"/>
          <w:b/>
          <w:color w:val="auto"/>
          <w:szCs w:val="22"/>
          <w:highlight w:val="none"/>
          <w:lang w:val="en-US" w:eastAsia="zh-CN"/>
        </w:rPr>
        <w:t>0.1</w:t>
      </w:r>
      <w:r>
        <w:rPr>
          <w:rFonts w:hint="eastAsia" w:ascii="宋体" w:hAnsi="宋体" w:eastAsia="宋体" w:cs="宋体"/>
          <w:b/>
          <w:color w:val="auto"/>
          <w:kern w:val="2"/>
          <w:highlight w:val="none"/>
        </w:rPr>
        <w:t>投标</w:t>
      </w:r>
      <w:r>
        <w:rPr>
          <w:rFonts w:hint="eastAsia" w:ascii="宋体" w:hAnsi="宋体" w:eastAsia="宋体" w:cs="宋体"/>
          <w:b/>
          <w:color w:val="auto"/>
          <w:szCs w:val="22"/>
          <w:highlight w:val="none"/>
        </w:rPr>
        <w:t>文件的编制</w:t>
      </w:r>
      <w:bookmarkStart w:id="139" w:name="_Hlt69208262"/>
      <w:bookmarkEnd w:id="139"/>
      <w:bookmarkStart w:id="140" w:name="_Hlt69332370"/>
      <w:bookmarkEnd w:id="140"/>
      <w:r>
        <w:rPr>
          <w:rFonts w:hint="eastAsia" w:ascii="宋体" w:hAnsi="宋体" w:eastAsia="宋体" w:cs="宋体"/>
          <w:b/>
          <w:color w:val="auto"/>
          <w:szCs w:val="22"/>
          <w:highlight w:val="none"/>
        </w:rPr>
        <w:t>要求</w:t>
      </w:r>
      <w:bookmarkEnd w:id="124"/>
      <w:bookmarkEnd w:id="125"/>
      <w:bookmarkEnd w:id="126"/>
      <w:bookmarkEnd w:id="127"/>
      <w:bookmarkEnd w:id="128"/>
      <w:bookmarkEnd w:id="129"/>
      <w:bookmarkEnd w:id="130"/>
      <w:bookmarkEnd w:id="131"/>
      <w:bookmarkEnd w:id="136"/>
      <w:bookmarkEnd w:id="137"/>
      <w:bookmarkEnd w:id="138"/>
    </w:p>
    <w:bookmarkEnd w:id="122"/>
    <w:bookmarkEnd w:id="123"/>
    <w:p w14:paraId="75B4A759">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
          <w:snapToGrid w:val="0"/>
          <w:color w:val="auto"/>
          <w:highlight w:val="none"/>
        </w:rPr>
      </w:pPr>
      <w:bookmarkStart w:id="141" w:name="_Hlt74497202"/>
      <w:bookmarkEnd w:id="141"/>
      <w:bookmarkStart w:id="142" w:name="_Hlt74495594"/>
      <w:bookmarkEnd w:id="142"/>
      <w:bookmarkStart w:id="143" w:name="_Hlt78768224"/>
      <w:bookmarkEnd w:id="143"/>
      <w:bookmarkStart w:id="144" w:name="_Toc12753"/>
      <w:r>
        <w:rPr>
          <w:rFonts w:hint="eastAsia" w:ascii="宋体" w:hAnsi="宋体" w:eastAsia="宋体" w:cs="宋体"/>
          <w:b/>
          <w:bCs/>
          <w:snapToGrid w:val="0"/>
          <w:color w:val="auto"/>
          <w:highlight w:val="none"/>
          <w:lang w:val="en-US" w:eastAsia="zh-CN"/>
        </w:rPr>
        <w:t>10</w:t>
      </w:r>
      <w:r>
        <w:rPr>
          <w:rFonts w:hint="eastAsia" w:ascii="宋体" w:hAnsi="宋体" w:eastAsia="宋体" w:cs="宋体"/>
          <w:b/>
          <w:bCs/>
          <w:snapToGrid w:val="0"/>
          <w:color w:val="auto"/>
          <w:highlight w:val="none"/>
        </w:rPr>
        <w:t>.1</w:t>
      </w:r>
      <w:r>
        <w:rPr>
          <w:rFonts w:hint="eastAsia" w:ascii="宋体" w:hAnsi="宋体" w:eastAsia="宋体" w:cs="宋体"/>
          <w:bCs/>
          <w:snapToGrid w:val="0"/>
          <w:color w:val="auto"/>
          <w:highlight w:val="none"/>
        </w:rPr>
        <w:t xml:space="preserve"> 一般要求</w:t>
      </w:r>
      <w:bookmarkEnd w:id="144"/>
    </w:p>
    <w:p w14:paraId="3AC8D940">
      <w:pPr>
        <w:pStyle w:val="9"/>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投标文件应按第</w:t>
      </w:r>
      <w:r>
        <w:rPr>
          <w:rFonts w:hint="eastAsia" w:ascii="宋体" w:hAnsi="宋体" w:eastAsia="宋体" w:cs="宋体"/>
          <w:snapToGrid w:val="0"/>
          <w:color w:val="auto"/>
          <w:kern w:val="0"/>
          <w:highlight w:val="none"/>
          <w:lang w:val="en-US" w:eastAsia="zh-CN"/>
        </w:rPr>
        <w:t>五</w:t>
      </w:r>
      <w:r>
        <w:rPr>
          <w:rFonts w:hint="eastAsia" w:ascii="宋体" w:hAnsi="宋体" w:eastAsia="宋体" w:cs="宋体"/>
          <w:snapToGrid w:val="0"/>
          <w:color w:val="auto"/>
          <w:kern w:val="0"/>
          <w:highlight w:val="none"/>
        </w:rPr>
        <w:t>章 投标文件格式规定的内容，投标人提交的投标文件应当使用招标文件所提供的投标文件全部格式。</w:t>
      </w:r>
    </w:p>
    <w:p w14:paraId="68DDCF74">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.1.1</w:t>
      </w:r>
      <w:r>
        <w:rPr>
          <w:rFonts w:hint="eastAsia" w:ascii="宋体" w:hAnsi="宋体" w:eastAsia="宋体" w:cs="宋体"/>
          <w:snapToGrid w:val="0"/>
          <w:color w:val="auto"/>
          <w:kern w:val="0"/>
          <w:highlight w:val="none"/>
        </w:rPr>
        <w:t xml:space="preserve"> </w:t>
      </w:r>
      <w:bookmarkStart w:id="145" w:name="_Hlt74496890"/>
      <w:bookmarkEnd w:id="145"/>
      <w:r>
        <w:rPr>
          <w:rFonts w:hint="eastAsia" w:ascii="宋体" w:hAnsi="宋体" w:eastAsia="宋体" w:cs="宋体"/>
          <w:snapToGrid w:val="0"/>
          <w:color w:val="auto"/>
          <w:kern w:val="0"/>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6C11C2BB">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.1.2</w:t>
      </w:r>
      <w:r>
        <w:rPr>
          <w:rFonts w:hint="eastAsia" w:ascii="宋体" w:hAnsi="宋体" w:eastAsia="宋体" w:cs="宋体"/>
          <w:snapToGrid w:val="0"/>
          <w:color w:val="auto"/>
          <w:kern w:val="0"/>
          <w:highlight w:val="none"/>
        </w:rPr>
        <w:t xml:space="preserve"> 投标文件全部采用电子文档，投标文件所附证书证件均为原件扫描件</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若以分公司名义投标，则所附证书证件原件扫描件可以由总公司或分公司任意一方提供均为有效），</w:t>
      </w:r>
      <w:r>
        <w:rPr>
          <w:rFonts w:hint="eastAsia" w:ascii="宋体" w:hAnsi="宋体" w:eastAsia="宋体" w:cs="宋体"/>
          <w:snapToGrid w:val="0"/>
          <w:color w:val="auto"/>
          <w:kern w:val="0"/>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6F5F4EEB">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.1.3</w:t>
      </w:r>
      <w:r>
        <w:rPr>
          <w:rFonts w:hint="eastAsia" w:ascii="宋体" w:hAnsi="宋体" w:eastAsia="宋体" w:cs="宋体"/>
          <w:snapToGrid w:val="0"/>
          <w:color w:val="auto"/>
          <w:kern w:val="0"/>
          <w:highlight w:val="none"/>
        </w:rPr>
        <w:t xml:space="preserve"> 投标文件需按以下要求签字、盖章：</w:t>
      </w:r>
    </w:p>
    <w:p w14:paraId="62B1FB9F">
      <w:pPr>
        <w:pStyle w:val="9"/>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电子投标文件：</w:t>
      </w:r>
    </w:p>
    <w:p w14:paraId="71204660">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.1.3.1</w:t>
      </w:r>
      <w:r>
        <w:rPr>
          <w:rFonts w:hint="eastAsia" w:ascii="宋体" w:hAnsi="宋体" w:eastAsia="宋体" w:cs="宋体"/>
          <w:snapToGrid w:val="0"/>
          <w:color w:val="auto"/>
          <w:kern w:val="0"/>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3A86FC75">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.1.3.2</w:t>
      </w:r>
      <w:r>
        <w:rPr>
          <w:rFonts w:hint="eastAsia" w:ascii="宋体" w:hAnsi="宋体" w:eastAsia="宋体" w:cs="宋体"/>
          <w:snapToGrid w:val="0"/>
          <w:color w:val="auto"/>
          <w:kern w:val="0"/>
          <w:highlight w:val="none"/>
        </w:rPr>
        <w:t xml:space="preserve"> 投标文件封套、封面、组成内容中凡要求录入投标人名称且注明“盖单位章”处盖单位法人公章（电子印章）</w:t>
      </w:r>
    </w:p>
    <w:p w14:paraId="2E38C32F">
      <w:pPr>
        <w:pStyle w:val="9"/>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10</w:t>
      </w:r>
      <w:r>
        <w:rPr>
          <w:rFonts w:hint="eastAsia" w:ascii="宋体" w:hAnsi="宋体" w:eastAsia="宋体" w:cs="宋体"/>
          <w:b/>
          <w:bCs/>
          <w:snapToGrid w:val="0"/>
          <w:color w:val="auto"/>
          <w:kern w:val="0"/>
          <w:highlight w:val="none"/>
        </w:rPr>
        <w:t>.1.3.3</w:t>
      </w:r>
      <w:r>
        <w:rPr>
          <w:rFonts w:hint="eastAsia" w:ascii="宋体" w:hAnsi="宋体" w:eastAsia="宋体" w:cs="宋体"/>
          <w:snapToGrid w:val="0"/>
          <w:color w:val="auto"/>
          <w:kern w:val="0"/>
          <w:highlight w:val="none"/>
        </w:rPr>
        <w:t xml:space="preserve"> 投标文件的签字均为签字人本人亲笔署名或签章（电子印章），其余部分的扫描件无须另行签字、盖章。</w:t>
      </w:r>
    </w:p>
    <w:p w14:paraId="4CA2CC5F">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w:t>
      </w:r>
      <w:r>
        <w:rPr>
          <w:rFonts w:hint="eastAsia" w:ascii="宋体" w:hAnsi="宋体" w:eastAsia="宋体" w:cs="宋体"/>
          <w:b/>
          <w:bCs/>
          <w:snapToGrid w:val="0"/>
          <w:color w:val="auto"/>
          <w:kern w:val="0"/>
          <w:highlight w:val="none"/>
        </w:rPr>
        <w:t xml:space="preserve">.1.3.4 </w:t>
      </w:r>
      <w:r>
        <w:rPr>
          <w:rFonts w:hint="eastAsia" w:ascii="宋体" w:hAnsi="宋体" w:eastAsia="宋体" w:cs="宋体"/>
          <w:snapToGrid w:val="0"/>
          <w:color w:val="auto"/>
          <w:kern w:val="0"/>
          <w:highlight w:val="none"/>
        </w:rPr>
        <w:t>联合体投标的，除《联合体协议书》外，由联合体牵头人按以上要求签字（电子印章）、盖章（电子印章）即可。</w:t>
      </w:r>
    </w:p>
    <w:p w14:paraId="67DC968D">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
          <w:snapToGrid w:val="0"/>
          <w:color w:val="auto"/>
          <w:highlight w:val="none"/>
        </w:rPr>
      </w:pPr>
      <w:bookmarkStart w:id="146" w:name="_Toc9028"/>
      <w:bookmarkStart w:id="147" w:name="_Toc274313880"/>
      <w:bookmarkStart w:id="148" w:name="_Toc257031159"/>
      <w:r>
        <w:rPr>
          <w:rFonts w:hint="eastAsia" w:ascii="宋体" w:hAnsi="宋体" w:eastAsia="宋体" w:cs="宋体"/>
          <w:b/>
          <w:bCs/>
          <w:snapToGrid w:val="0"/>
          <w:color w:val="auto"/>
          <w:highlight w:val="none"/>
        </w:rPr>
        <w:t>1</w:t>
      </w:r>
      <w:r>
        <w:rPr>
          <w:rFonts w:hint="eastAsia" w:ascii="宋体" w:hAnsi="宋体" w:eastAsia="宋体" w:cs="宋体"/>
          <w:b/>
          <w:bCs/>
          <w:snapToGrid w:val="0"/>
          <w:color w:val="auto"/>
          <w:highlight w:val="none"/>
          <w:lang w:val="en-US" w:eastAsia="zh-CN"/>
        </w:rPr>
        <w:t>0</w:t>
      </w:r>
      <w:r>
        <w:rPr>
          <w:rFonts w:hint="eastAsia" w:ascii="宋体" w:hAnsi="宋体" w:eastAsia="宋体" w:cs="宋体"/>
          <w:b/>
          <w:bCs/>
          <w:snapToGrid w:val="0"/>
          <w:color w:val="auto"/>
          <w:highlight w:val="none"/>
        </w:rPr>
        <w:t>.2</w:t>
      </w:r>
      <w:r>
        <w:rPr>
          <w:rFonts w:hint="eastAsia" w:ascii="宋体" w:hAnsi="宋体" w:eastAsia="宋体" w:cs="宋体"/>
          <w:bCs/>
          <w:snapToGrid w:val="0"/>
          <w:color w:val="auto"/>
          <w:highlight w:val="none"/>
        </w:rPr>
        <w:t xml:space="preserve"> </w:t>
      </w:r>
      <w:r>
        <w:rPr>
          <w:rFonts w:hint="eastAsia" w:ascii="宋体" w:hAnsi="宋体" w:eastAsia="宋体" w:cs="宋体"/>
          <w:bCs/>
          <w:snapToGrid w:val="0"/>
          <w:color w:val="auto"/>
          <w:highlight w:val="none"/>
          <w:lang w:val="en-US" w:eastAsia="zh-CN"/>
        </w:rPr>
        <w:t>投标文件</w:t>
      </w:r>
      <w:r>
        <w:rPr>
          <w:rFonts w:hint="eastAsia" w:ascii="宋体" w:hAnsi="宋体" w:eastAsia="宋体" w:cs="宋体"/>
          <w:bCs/>
          <w:snapToGrid w:val="0"/>
          <w:color w:val="auto"/>
          <w:highlight w:val="none"/>
        </w:rPr>
        <w:t>的编制要求</w:t>
      </w:r>
      <w:bookmarkEnd w:id="146"/>
      <w:bookmarkEnd w:id="147"/>
      <w:bookmarkEnd w:id="148"/>
    </w:p>
    <w:p w14:paraId="290BD5E0">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u w:val="single"/>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w:t>
      </w:r>
      <w:r>
        <w:rPr>
          <w:rFonts w:hint="eastAsia" w:ascii="宋体" w:hAnsi="宋体" w:eastAsia="宋体" w:cs="宋体"/>
          <w:b/>
          <w:bCs/>
          <w:snapToGrid w:val="0"/>
          <w:color w:val="auto"/>
          <w:kern w:val="0"/>
          <w:highlight w:val="none"/>
        </w:rPr>
        <w:t>.2.1</w:t>
      </w:r>
      <w:r>
        <w:rPr>
          <w:rFonts w:hint="eastAsia" w:ascii="宋体" w:hAnsi="宋体" w:eastAsia="宋体" w:cs="宋体"/>
          <w:snapToGrid w:val="0"/>
          <w:color w:val="auto"/>
          <w:kern w:val="0"/>
          <w:highlight w:val="none"/>
        </w:rPr>
        <w:t xml:space="preserve"> </w:t>
      </w:r>
      <w:r>
        <w:rPr>
          <w:rFonts w:hint="eastAsia" w:ascii="宋体" w:hAnsi="宋体" w:eastAsia="宋体" w:cs="宋体"/>
          <w:bCs/>
          <w:snapToGrid w:val="0"/>
          <w:color w:val="auto"/>
          <w:kern w:val="0"/>
          <w:highlight w:val="none"/>
          <w:lang w:val="en-US" w:eastAsia="zh-CN"/>
        </w:rPr>
        <w:t>投标</w:t>
      </w:r>
      <w:r>
        <w:rPr>
          <w:rFonts w:hint="eastAsia" w:ascii="宋体" w:hAnsi="宋体" w:eastAsia="宋体" w:cs="宋体"/>
          <w:bCs/>
          <w:snapToGrid w:val="0"/>
          <w:color w:val="auto"/>
          <w:kern w:val="0"/>
          <w:highlight w:val="none"/>
        </w:rPr>
        <w:t>标书</w:t>
      </w:r>
      <w:r>
        <w:rPr>
          <w:rFonts w:hint="eastAsia" w:ascii="宋体" w:hAnsi="宋体" w:eastAsia="宋体" w:cs="宋体"/>
          <w:snapToGrid w:val="0"/>
          <w:color w:val="auto"/>
          <w:kern w:val="0"/>
          <w:highlight w:val="none"/>
        </w:rPr>
        <w:t>包括但不限于以下内容：</w:t>
      </w:r>
    </w:p>
    <w:p w14:paraId="2D2C3B39">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（1）封面（格式一）；</w:t>
      </w:r>
    </w:p>
    <w:p w14:paraId="3E2DCAE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（2）目录； </w:t>
      </w:r>
    </w:p>
    <w:p w14:paraId="54AEE273">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snapToGrid w:val="0"/>
          <w:color w:val="auto"/>
          <w:kern w:val="0"/>
          <w:szCs w:val="24"/>
          <w:highlight w:val="none"/>
        </w:rPr>
        <w:t>（3）《投标函》及《工程项目总价表》（格式二）；</w:t>
      </w:r>
    </w:p>
    <w:p w14:paraId="54B736E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（4）《各项承诺一览表》（格式三）；</w:t>
      </w:r>
    </w:p>
    <w:p w14:paraId="012CDE28">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（5）《授权委托书》（格式四）；</w:t>
      </w:r>
    </w:p>
    <w:p w14:paraId="2319A94E">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（6）《法定代表人身份证明》（格式五）；</w:t>
      </w:r>
    </w:p>
    <w:p w14:paraId="060ECF2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（7）《联合体协议书》（格式六）及所附资料；</w:t>
      </w:r>
    </w:p>
    <w:p w14:paraId="097B5EB4">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8）投标保证缴纳证明（投标人采用投标保证金的，附建设工程交易系统《缴纳投标保证金通知书》页面截图和银行转账单扫描件；采用投标保证担保的，附银行保函扫描件；采用投标保证保险的，附电子保单打印件）。</w:t>
      </w:r>
    </w:p>
    <w:p w14:paraId="26026EC3">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Cs w:val="24"/>
          <w:highlight w:val="none"/>
        </w:rPr>
        <w:t>（9）《投标人基本情况表》（格式七）及所附资料；</w:t>
      </w:r>
    </w:p>
    <w:p w14:paraId="0F20EB2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trike/>
          <w:snapToGrid w:val="0"/>
          <w:color w:val="auto"/>
          <w:kern w:val="0"/>
          <w:szCs w:val="24"/>
          <w:highlight w:val="none"/>
        </w:rPr>
      </w:pPr>
      <w:r>
        <w:rPr>
          <w:rFonts w:hint="eastAsia" w:ascii="宋体" w:hAnsi="宋体" w:eastAsia="宋体" w:cs="宋体"/>
          <w:snapToGrid w:val="0"/>
          <w:color w:val="auto"/>
          <w:kern w:val="0"/>
          <w:szCs w:val="24"/>
          <w:highlight w:val="none"/>
        </w:rPr>
        <w:t>（10）《项目经理简历表》（格式八）及所附资料；</w:t>
      </w:r>
    </w:p>
    <w:p w14:paraId="0934D50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（11）《项目经理任职声明》（格式九）；</w:t>
      </w:r>
    </w:p>
    <w:p w14:paraId="0C4F877F">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（12）《项目技术负责人简历表》（格式十）及所附资料；</w:t>
      </w:r>
    </w:p>
    <w:p w14:paraId="382280EF">
      <w:pPr>
        <w:keepNext w:val="0"/>
        <w:keepLines w:val="0"/>
        <w:pageBreakBefore w:val="0"/>
        <w:widowControl w:val="0"/>
        <w:kinsoku/>
        <w:wordWrap w:val="0"/>
        <w:overflowPunct/>
        <w:topLinePunct w:val="0"/>
        <w:autoSpaceDE/>
        <w:autoSpaceDN/>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（13）《项目设计负责人简历表》（格式十一）及所附资料；</w:t>
      </w:r>
    </w:p>
    <w:p w14:paraId="2683EBCC">
      <w:pPr>
        <w:keepNext w:val="0"/>
        <w:keepLines w:val="0"/>
        <w:pageBreakBefore w:val="0"/>
        <w:widowControl w:val="0"/>
        <w:kinsoku/>
        <w:wordWrap w:val="0"/>
        <w:overflowPunct/>
        <w:topLinePunct w:val="0"/>
        <w:autoSpaceDE/>
        <w:autoSpaceDN/>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（14）《项目管理机构组成表》（格式十二）及所附资料；</w:t>
      </w:r>
    </w:p>
    <w:p w14:paraId="66FB6B92">
      <w:pPr>
        <w:keepNext w:val="0"/>
        <w:keepLines w:val="0"/>
        <w:pageBreakBefore w:val="0"/>
        <w:widowControl w:val="0"/>
        <w:kinsoku/>
        <w:wordWrap w:val="0"/>
        <w:overflowPunct/>
        <w:topLinePunct w:val="0"/>
        <w:autoSpaceDE/>
        <w:autoSpaceDN/>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szCs w:val="18"/>
          <w:highlight w:val="none"/>
          <w:lang w:eastAsia="zh-CN"/>
        </w:rPr>
        <w:t>（</w:t>
      </w:r>
      <w:r>
        <w:rPr>
          <w:rFonts w:hint="eastAsia" w:ascii="宋体" w:hAnsi="宋体" w:eastAsia="宋体" w:cs="宋体"/>
          <w:snapToGrid w:val="0"/>
          <w:color w:val="auto"/>
          <w:kern w:val="0"/>
          <w:szCs w:val="18"/>
          <w:highlight w:val="none"/>
          <w:lang w:val="en-US" w:eastAsia="zh-CN"/>
        </w:rPr>
        <w:t>15）</w:t>
      </w:r>
      <w:r>
        <w:rPr>
          <w:rFonts w:hint="eastAsia" w:ascii="宋体" w:hAnsi="宋体" w:eastAsia="宋体" w:cs="宋体"/>
          <w:snapToGrid w:val="0"/>
          <w:color w:val="auto"/>
          <w:kern w:val="0"/>
          <w:szCs w:val="18"/>
          <w:highlight w:val="none"/>
        </w:rPr>
        <w:t>本节第</w:t>
      </w:r>
      <w:r>
        <w:rPr>
          <w:rFonts w:hint="eastAsia" w:ascii="宋体" w:hAnsi="宋体" w:eastAsia="宋体" w:cs="宋体"/>
          <w:b/>
          <w:bCs/>
          <w:snapToGrid w:val="0"/>
          <w:color w:val="auto"/>
          <w:kern w:val="0"/>
          <w:szCs w:val="18"/>
          <w:highlight w:val="none"/>
        </w:rPr>
        <w:t>15.5.1</w:t>
      </w:r>
      <w:r>
        <w:rPr>
          <w:rFonts w:hint="eastAsia" w:ascii="宋体" w:hAnsi="宋体" w:eastAsia="宋体" w:cs="宋体"/>
          <w:snapToGrid w:val="0"/>
          <w:color w:val="auto"/>
          <w:kern w:val="0"/>
          <w:szCs w:val="18"/>
          <w:highlight w:val="none"/>
        </w:rPr>
        <w:t>目“评标方法”要求提供的评审资料；</w:t>
      </w:r>
    </w:p>
    <w:p w14:paraId="5A372A5B">
      <w:pPr>
        <w:keepNext w:val="0"/>
        <w:keepLines w:val="0"/>
        <w:pageBreakBefore w:val="0"/>
        <w:widowControl w:val="0"/>
        <w:kinsoku/>
        <w:wordWrap w:val="0"/>
        <w:overflowPunct/>
        <w:topLinePunct w:val="0"/>
        <w:autoSpaceDE/>
        <w:autoSpaceDN/>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szCs w:val="18"/>
          <w:highlight w:val="none"/>
          <w:lang w:eastAsia="zh-CN"/>
        </w:rPr>
        <w:t>（</w:t>
      </w:r>
      <w:r>
        <w:rPr>
          <w:rFonts w:hint="eastAsia" w:ascii="宋体" w:hAnsi="宋体" w:eastAsia="宋体" w:cs="宋体"/>
          <w:snapToGrid w:val="0"/>
          <w:color w:val="auto"/>
          <w:kern w:val="0"/>
          <w:szCs w:val="18"/>
          <w:highlight w:val="none"/>
          <w:lang w:val="en-US" w:eastAsia="zh-CN"/>
        </w:rPr>
        <w:t>16）施工组织设计</w:t>
      </w:r>
      <w:r>
        <w:rPr>
          <w:rFonts w:hint="eastAsia" w:ascii="宋体" w:hAnsi="宋体" w:eastAsia="宋体" w:cs="宋体"/>
          <w:snapToGrid w:val="0"/>
          <w:color w:val="auto"/>
          <w:kern w:val="0"/>
          <w:szCs w:val="18"/>
          <w:highlight w:val="none"/>
        </w:rPr>
        <w:t>；</w:t>
      </w:r>
    </w:p>
    <w:p w14:paraId="531CD49A">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szCs w:val="18"/>
          <w:highlight w:val="none"/>
        </w:rPr>
        <w:t>（1</w:t>
      </w:r>
      <w:r>
        <w:rPr>
          <w:rFonts w:hint="eastAsia" w:ascii="宋体" w:hAnsi="宋体" w:eastAsia="宋体" w:cs="宋体"/>
          <w:snapToGrid w:val="0"/>
          <w:color w:val="auto"/>
          <w:kern w:val="0"/>
          <w:szCs w:val="18"/>
          <w:highlight w:val="none"/>
          <w:lang w:val="en-US" w:eastAsia="zh-CN"/>
        </w:rPr>
        <w:t>7</w:t>
      </w:r>
      <w:r>
        <w:rPr>
          <w:rFonts w:hint="eastAsia" w:ascii="宋体" w:hAnsi="宋体" w:eastAsia="宋体" w:cs="宋体"/>
          <w:snapToGrid w:val="0"/>
          <w:color w:val="auto"/>
          <w:kern w:val="0"/>
          <w:szCs w:val="18"/>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75481EE6">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18"/>
          <w:highlight w:val="none"/>
        </w:rPr>
        <w:t>1</w:t>
      </w:r>
      <w:r>
        <w:rPr>
          <w:rFonts w:hint="eastAsia" w:ascii="宋体" w:hAnsi="宋体" w:eastAsia="宋体" w:cs="宋体"/>
          <w:b/>
          <w:bCs/>
          <w:snapToGrid w:val="0"/>
          <w:color w:val="auto"/>
          <w:kern w:val="0"/>
          <w:szCs w:val="18"/>
          <w:highlight w:val="none"/>
          <w:lang w:val="en-US" w:eastAsia="zh-CN"/>
        </w:rPr>
        <w:t>0</w:t>
      </w:r>
      <w:r>
        <w:rPr>
          <w:rFonts w:hint="eastAsia" w:ascii="宋体" w:hAnsi="宋体" w:eastAsia="宋体" w:cs="宋体"/>
          <w:b/>
          <w:bCs/>
          <w:snapToGrid w:val="0"/>
          <w:color w:val="auto"/>
          <w:kern w:val="0"/>
          <w:szCs w:val="18"/>
          <w:highlight w:val="none"/>
        </w:rPr>
        <w:t>.2.2</w:t>
      </w:r>
      <w:r>
        <w:rPr>
          <w:rFonts w:hint="eastAsia" w:ascii="宋体" w:hAnsi="宋体" w:eastAsia="宋体" w:cs="宋体"/>
          <w:snapToGrid w:val="0"/>
          <w:color w:val="auto"/>
          <w:kern w:val="0"/>
          <w:szCs w:val="18"/>
          <w:highlight w:val="none"/>
        </w:rPr>
        <w:t xml:space="preserve"> 本节第</w:t>
      </w:r>
      <w:r>
        <w:rPr>
          <w:rFonts w:hint="eastAsia" w:ascii="宋体" w:hAnsi="宋体" w:eastAsia="宋体" w:cs="宋体"/>
          <w:b/>
          <w:bCs/>
          <w:snapToGrid w:val="0"/>
          <w:color w:val="auto"/>
          <w:kern w:val="0"/>
          <w:szCs w:val="18"/>
          <w:highlight w:val="none"/>
        </w:rPr>
        <w:t>10.2.1</w:t>
      </w:r>
      <w:r>
        <w:rPr>
          <w:rFonts w:hint="eastAsia" w:ascii="宋体" w:hAnsi="宋体" w:eastAsia="宋体" w:cs="宋体"/>
          <w:snapToGrid w:val="0"/>
          <w:color w:val="auto"/>
          <w:kern w:val="0"/>
          <w:szCs w:val="18"/>
          <w:highlight w:val="none"/>
        </w:rPr>
        <w:t>目中所列出的</w:t>
      </w:r>
      <w:r>
        <w:rPr>
          <w:rFonts w:hint="eastAsia" w:ascii="宋体" w:hAnsi="宋体" w:eastAsia="宋体" w:cs="宋体"/>
          <w:snapToGrid w:val="0"/>
          <w:color w:val="auto"/>
          <w:kern w:val="0"/>
          <w:szCs w:val="18"/>
          <w:highlight w:val="none"/>
          <w:lang w:val="en-US" w:eastAsia="zh-CN"/>
        </w:rPr>
        <w:t>投标</w:t>
      </w:r>
      <w:r>
        <w:rPr>
          <w:rFonts w:hint="eastAsia" w:ascii="宋体" w:hAnsi="宋体" w:eastAsia="宋体" w:cs="宋体"/>
          <w:snapToGrid w:val="0"/>
          <w:color w:val="auto"/>
          <w:kern w:val="0"/>
          <w:szCs w:val="18"/>
          <w:highlight w:val="none"/>
        </w:rPr>
        <w:t>标书组成内容中，第（1）至第（</w:t>
      </w:r>
      <w:r>
        <w:rPr>
          <w:rFonts w:hint="eastAsia" w:ascii="宋体" w:hAnsi="宋体" w:eastAsia="宋体" w:cs="宋体"/>
          <w:snapToGrid w:val="0"/>
          <w:color w:val="auto"/>
          <w:kern w:val="0"/>
          <w:szCs w:val="18"/>
          <w:highlight w:val="none"/>
          <w:lang w:val="en-US" w:eastAsia="zh-CN"/>
        </w:rPr>
        <w:t>14</w:t>
      </w:r>
      <w:r>
        <w:rPr>
          <w:rFonts w:hint="eastAsia" w:ascii="宋体" w:hAnsi="宋体" w:eastAsia="宋体" w:cs="宋体"/>
          <w:snapToGrid w:val="0"/>
          <w:color w:val="auto"/>
          <w:kern w:val="0"/>
          <w:szCs w:val="18"/>
          <w:highlight w:val="none"/>
        </w:rPr>
        <w:t>）项所有投标人均应提供。</w:t>
      </w:r>
      <w:r>
        <w:rPr>
          <w:rFonts w:hint="eastAsia" w:ascii="宋体" w:hAnsi="宋体" w:eastAsia="宋体" w:cs="宋体"/>
          <w:b/>
          <w:bCs/>
          <w:snapToGrid w:val="0"/>
          <w:color w:val="auto"/>
          <w:kern w:val="0"/>
          <w:szCs w:val="24"/>
          <w:highlight w:val="none"/>
        </w:rPr>
        <w:t>但非联合体投标的，无需提供第（7）项内容。</w:t>
      </w:r>
    </w:p>
    <w:p w14:paraId="0D6F22D2">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w:t>
      </w:r>
      <w:r>
        <w:rPr>
          <w:rFonts w:hint="eastAsia" w:ascii="宋体" w:hAnsi="宋体" w:eastAsia="宋体" w:cs="宋体"/>
          <w:b/>
          <w:bCs/>
          <w:snapToGrid w:val="0"/>
          <w:color w:val="auto"/>
          <w:kern w:val="0"/>
          <w:highlight w:val="none"/>
        </w:rPr>
        <w:t>.</w:t>
      </w:r>
      <w:r>
        <w:rPr>
          <w:rFonts w:hint="eastAsia" w:ascii="宋体" w:hAnsi="宋体" w:eastAsia="宋体" w:cs="宋体"/>
          <w:b/>
          <w:bCs/>
          <w:snapToGrid w:val="0"/>
          <w:color w:val="auto"/>
          <w:kern w:val="0"/>
          <w:highlight w:val="none"/>
          <w:lang w:val="en-US" w:eastAsia="zh-CN"/>
        </w:rPr>
        <w:t>3</w:t>
      </w:r>
      <w:r>
        <w:rPr>
          <w:rFonts w:hint="eastAsia" w:ascii="宋体" w:hAnsi="宋体" w:eastAsia="宋体" w:cs="宋体"/>
          <w:bCs/>
          <w:snapToGrid w:val="0"/>
          <w:color w:val="auto"/>
          <w:kern w:val="0"/>
          <w:highlight w:val="none"/>
        </w:rPr>
        <w:t xml:space="preserve"> 施工组织设计的编制要求</w:t>
      </w:r>
    </w:p>
    <w:p w14:paraId="2C55AADB">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snapToGrid w:val="0"/>
          <w:color w:val="auto"/>
          <w:kern w:val="0"/>
          <w:highlight w:val="none"/>
        </w:rPr>
        <w:t>1</w:t>
      </w:r>
      <w:r>
        <w:rPr>
          <w:rFonts w:hint="eastAsia" w:ascii="宋体" w:hAnsi="宋体" w:eastAsia="宋体" w:cs="宋体"/>
          <w:b/>
          <w:snapToGrid w:val="0"/>
          <w:color w:val="auto"/>
          <w:kern w:val="0"/>
          <w:highlight w:val="none"/>
          <w:lang w:val="en-US" w:eastAsia="zh-CN"/>
        </w:rPr>
        <w:t>0</w:t>
      </w:r>
      <w:r>
        <w:rPr>
          <w:rFonts w:hint="eastAsia" w:ascii="宋体" w:hAnsi="宋体" w:eastAsia="宋体" w:cs="宋体"/>
          <w:b/>
          <w:snapToGrid w:val="0"/>
          <w:color w:val="auto"/>
          <w:kern w:val="0"/>
          <w:highlight w:val="none"/>
        </w:rPr>
        <w:t>.</w:t>
      </w:r>
      <w:r>
        <w:rPr>
          <w:rFonts w:hint="eastAsia" w:ascii="宋体" w:hAnsi="宋体" w:eastAsia="宋体" w:cs="宋体"/>
          <w:b/>
          <w:snapToGrid w:val="0"/>
          <w:color w:val="auto"/>
          <w:kern w:val="0"/>
          <w:highlight w:val="none"/>
          <w:lang w:val="en-US" w:eastAsia="zh-CN"/>
        </w:rPr>
        <w:t>3</w:t>
      </w:r>
      <w:r>
        <w:rPr>
          <w:rFonts w:hint="eastAsia" w:ascii="宋体" w:hAnsi="宋体" w:eastAsia="宋体" w:cs="宋体"/>
          <w:b/>
          <w:snapToGrid w:val="0"/>
          <w:color w:val="auto"/>
          <w:kern w:val="0"/>
          <w:highlight w:val="none"/>
        </w:rPr>
        <w:t>.1</w:t>
      </w:r>
      <w:r>
        <w:rPr>
          <w:rFonts w:hint="eastAsia" w:ascii="宋体" w:hAnsi="宋体" w:eastAsia="宋体" w:cs="宋体"/>
          <w:bCs/>
          <w:snapToGrid w:val="0"/>
          <w:color w:val="auto"/>
          <w:kern w:val="0"/>
          <w:highlight w:val="none"/>
        </w:rPr>
        <w:t xml:space="preserve"> </w:t>
      </w:r>
      <w:r>
        <w:rPr>
          <w:rFonts w:hint="eastAsia" w:ascii="宋体" w:hAnsi="宋体" w:eastAsia="宋体" w:cs="宋体"/>
          <w:snapToGrid w:val="0"/>
          <w:color w:val="auto"/>
          <w:kern w:val="0"/>
          <w:highlight w:val="none"/>
        </w:rPr>
        <w:t>施工组织设计的编制依据包括且不限于</w:t>
      </w:r>
      <w:r>
        <w:rPr>
          <w:rFonts w:hint="eastAsia" w:ascii="宋体" w:hAnsi="宋体" w:eastAsia="宋体" w:cs="宋体"/>
          <w:bCs/>
          <w:snapToGrid w:val="0"/>
          <w:color w:val="auto"/>
          <w:kern w:val="0"/>
          <w:highlight w:val="none"/>
        </w:rPr>
        <w:t>：</w:t>
      </w:r>
    </w:p>
    <w:p w14:paraId="36D40912">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（1）招标文件及</w:t>
      </w:r>
      <w:r>
        <w:rPr>
          <w:rFonts w:hint="eastAsia" w:ascii="宋体" w:hAnsi="宋体" w:eastAsia="宋体" w:cs="宋体"/>
          <w:snapToGrid w:val="0"/>
          <w:color w:val="auto"/>
          <w:kern w:val="0"/>
          <w:highlight w:val="none"/>
        </w:rPr>
        <w:t>其答疑（或修改）公告；</w:t>
      </w:r>
    </w:p>
    <w:p w14:paraId="2DD161B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（2）施工图及相关资料；</w:t>
      </w:r>
    </w:p>
    <w:p w14:paraId="7DFC4544">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（3）施工现场情况、工程特点；</w:t>
      </w:r>
    </w:p>
    <w:p w14:paraId="2DC19708">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（4）相关法律、法规、规定；</w:t>
      </w:r>
    </w:p>
    <w:p w14:paraId="4CF2166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A2161A7">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Cs/>
          <w:snapToGrid w:val="0"/>
          <w:color w:val="auto"/>
          <w:kern w:val="0"/>
          <w:highlight w:val="none"/>
        </w:rPr>
        <w:t>（6）企业内部标准、工法。</w:t>
      </w:r>
    </w:p>
    <w:p w14:paraId="05520488">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snapToGrid w:val="0"/>
          <w:color w:val="auto"/>
          <w:kern w:val="0"/>
          <w:highlight w:val="none"/>
        </w:rPr>
        <w:t>1</w:t>
      </w:r>
      <w:r>
        <w:rPr>
          <w:rFonts w:hint="eastAsia" w:ascii="宋体" w:hAnsi="宋体" w:eastAsia="宋体" w:cs="宋体"/>
          <w:b/>
          <w:snapToGrid w:val="0"/>
          <w:color w:val="auto"/>
          <w:kern w:val="0"/>
          <w:highlight w:val="none"/>
          <w:lang w:val="en-US" w:eastAsia="zh-CN"/>
        </w:rPr>
        <w:t>0</w:t>
      </w:r>
      <w:r>
        <w:rPr>
          <w:rFonts w:hint="eastAsia" w:ascii="宋体" w:hAnsi="宋体" w:eastAsia="宋体" w:cs="宋体"/>
          <w:b/>
          <w:snapToGrid w:val="0"/>
          <w:color w:val="auto"/>
          <w:kern w:val="0"/>
          <w:highlight w:val="none"/>
        </w:rPr>
        <w:t>.</w:t>
      </w:r>
      <w:r>
        <w:rPr>
          <w:rFonts w:hint="eastAsia" w:ascii="宋体" w:hAnsi="宋体" w:eastAsia="宋体" w:cs="宋体"/>
          <w:b/>
          <w:snapToGrid w:val="0"/>
          <w:color w:val="auto"/>
          <w:kern w:val="0"/>
          <w:highlight w:val="none"/>
          <w:lang w:val="en-US" w:eastAsia="zh-CN"/>
        </w:rPr>
        <w:t>3</w:t>
      </w:r>
      <w:r>
        <w:rPr>
          <w:rFonts w:hint="eastAsia" w:ascii="宋体" w:hAnsi="宋体" w:eastAsia="宋体" w:cs="宋体"/>
          <w:b/>
          <w:snapToGrid w:val="0"/>
          <w:color w:val="auto"/>
          <w:kern w:val="0"/>
          <w:highlight w:val="none"/>
        </w:rPr>
        <w:t>.2</w:t>
      </w:r>
      <w:r>
        <w:rPr>
          <w:rFonts w:hint="eastAsia" w:ascii="宋体" w:hAnsi="宋体" w:eastAsia="宋体" w:cs="宋体"/>
          <w:bCs/>
          <w:snapToGrid w:val="0"/>
          <w:color w:val="auto"/>
          <w:kern w:val="0"/>
          <w:highlight w:val="none"/>
        </w:rPr>
        <w:t xml:space="preserve"> </w:t>
      </w:r>
      <w:r>
        <w:rPr>
          <w:rFonts w:hint="eastAsia" w:ascii="宋体" w:hAnsi="宋体" w:eastAsia="宋体" w:cs="宋体"/>
          <w:snapToGrid w:val="0"/>
          <w:color w:val="auto"/>
          <w:kern w:val="0"/>
          <w:highlight w:val="none"/>
        </w:rPr>
        <w:t>施工组织设计包括但不限于以下内容：</w:t>
      </w:r>
    </w:p>
    <w:p w14:paraId="125B82F7">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施工方案</w:t>
      </w:r>
      <w:r>
        <w:rPr>
          <w:rFonts w:hint="eastAsia" w:ascii="宋体" w:hAnsi="宋体" w:eastAsia="宋体" w:cs="宋体"/>
          <w:snapToGrid w:val="0"/>
          <w:color w:val="auto"/>
          <w:kern w:val="0"/>
          <w:highlight w:val="none"/>
        </w:rPr>
        <w:t>；</w:t>
      </w:r>
    </w:p>
    <w:p w14:paraId="75C363C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ascii="宋体" w:hAnsi="宋体" w:eastAsia="宋体" w:cs="宋体"/>
          <w:color w:val="auto"/>
          <w:kern w:val="0"/>
          <w:highlight w:val="none"/>
          <w:lang w:val="en-US" w:eastAsia="zh-CN"/>
        </w:rPr>
        <w:t>设备、材料采购方案</w:t>
      </w:r>
      <w:r>
        <w:rPr>
          <w:rFonts w:hint="eastAsia" w:ascii="宋体" w:hAnsi="宋体" w:eastAsia="宋体" w:cs="宋体"/>
          <w:snapToGrid w:val="0"/>
          <w:color w:val="auto"/>
          <w:kern w:val="0"/>
          <w:highlight w:val="none"/>
        </w:rPr>
        <w:t>；</w:t>
      </w:r>
    </w:p>
    <w:p w14:paraId="545D41BB">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项目组织机构及人员配置、</w:t>
      </w:r>
      <w:r>
        <w:rPr>
          <w:rFonts w:hint="eastAsia" w:ascii="宋体" w:hAnsi="宋体" w:eastAsia="宋体" w:cs="宋体"/>
          <w:snapToGrid w:val="0"/>
          <w:color w:val="auto"/>
          <w:kern w:val="0"/>
          <w:highlight w:val="none"/>
        </w:rPr>
        <w:t>机械设备、劳动力投入计划</w:t>
      </w:r>
      <w:r>
        <w:rPr>
          <w:rFonts w:hint="eastAsia" w:ascii="宋体" w:hAnsi="宋体" w:eastAsia="宋体" w:cs="宋体"/>
          <w:snapToGrid w:val="0"/>
          <w:color w:val="auto"/>
          <w:kern w:val="0"/>
          <w:highlight w:val="none"/>
          <w:lang w:eastAsia="zh-CN"/>
        </w:rPr>
        <w:t>；</w:t>
      </w:r>
    </w:p>
    <w:p w14:paraId="360828D4">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）工期及施工进度计划；</w:t>
      </w:r>
    </w:p>
    <w:p w14:paraId="2EA9798F">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质量、安全、环境保护（含水土保持）目标及保障措施</w:t>
      </w:r>
      <w:r>
        <w:rPr>
          <w:rFonts w:hint="eastAsia" w:ascii="宋体" w:hAnsi="宋体" w:eastAsia="宋体" w:cs="宋体"/>
          <w:snapToGrid w:val="0"/>
          <w:color w:val="auto"/>
          <w:kern w:val="0"/>
          <w:highlight w:val="none"/>
        </w:rPr>
        <w:t>；</w:t>
      </w:r>
    </w:p>
    <w:p w14:paraId="750B9B9F">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投标人认为有必要补充的其他内容（例如对总包管理的认识以及对专业分包工程的管理、协调、配合、服务方案）。</w:t>
      </w:r>
    </w:p>
    <w:p w14:paraId="03CA4E43">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szCs w:val="22"/>
          <w:highlight w:val="none"/>
          <w:lang w:val="en-US" w:eastAsia="zh-CN"/>
        </w:rPr>
      </w:pPr>
      <w:r>
        <w:rPr>
          <w:rFonts w:hint="eastAsia" w:ascii="宋体" w:hAnsi="宋体" w:eastAsia="宋体" w:cs="宋体"/>
          <w:b/>
          <w:bCs/>
          <w:snapToGrid w:val="0"/>
          <w:color w:val="auto"/>
          <w:kern w:val="0"/>
          <w:szCs w:val="22"/>
          <w:highlight w:val="none"/>
          <w:lang w:val="en-US" w:eastAsia="zh-CN"/>
        </w:rPr>
        <w:t>10.3.3</w:t>
      </w:r>
      <w:r>
        <w:rPr>
          <w:rFonts w:hint="eastAsia" w:ascii="宋体" w:hAnsi="宋体" w:eastAsia="宋体" w:cs="宋体"/>
          <w:snapToGrid w:val="0"/>
          <w:color w:val="auto"/>
          <w:kern w:val="0"/>
          <w:szCs w:val="22"/>
          <w:highlight w:val="none"/>
          <w:lang w:val="en-US" w:eastAsia="zh-CN"/>
        </w:rPr>
        <w:t xml:space="preserve"> </w:t>
      </w:r>
      <w:r>
        <w:rPr>
          <w:rFonts w:hint="eastAsia" w:ascii="宋体" w:hAnsi="宋体" w:eastAsia="宋体" w:cs="宋体"/>
          <w:b w:val="0"/>
          <w:bCs w:val="0"/>
          <w:snapToGrid w:val="0"/>
          <w:color w:val="auto"/>
          <w:kern w:val="0"/>
          <w:szCs w:val="22"/>
          <w:highlight w:val="none"/>
          <w:lang w:val="en-US" w:eastAsia="zh-CN"/>
        </w:rPr>
        <w:t>施工组织设计的内容建议不超过</w:t>
      </w:r>
      <w:r>
        <w:rPr>
          <w:rFonts w:hint="eastAsia" w:ascii="宋体" w:hAnsi="宋体" w:eastAsia="宋体" w:cs="宋体"/>
          <w:b/>
          <w:bCs/>
          <w:snapToGrid w:val="0"/>
          <w:color w:val="auto"/>
          <w:kern w:val="0"/>
          <w:szCs w:val="22"/>
          <w:highlight w:val="none"/>
          <w:u w:val="single"/>
          <w:lang w:val="en-US" w:eastAsia="zh-CN"/>
        </w:rPr>
        <w:t>150</w:t>
      </w:r>
      <w:r>
        <w:rPr>
          <w:rFonts w:hint="eastAsia" w:ascii="宋体" w:hAnsi="宋体" w:eastAsia="宋体" w:cs="宋体"/>
          <w:b/>
          <w:bCs/>
          <w:snapToGrid w:val="0"/>
          <w:color w:val="auto"/>
          <w:kern w:val="0"/>
          <w:szCs w:val="22"/>
          <w:highlight w:val="none"/>
          <w:lang w:val="en-US" w:eastAsia="zh-CN"/>
        </w:rPr>
        <w:t>页。</w:t>
      </w:r>
    </w:p>
    <w:p w14:paraId="3C0436ED">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szCs w:val="22"/>
          <w:highlight w:val="none"/>
          <w:lang w:val="en-US" w:eastAsia="zh-CN"/>
        </w:rPr>
      </w:pPr>
      <w:r>
        <w:rPr>
          <w:rFonts w:hint="eastAsia" w:ascii="宋体" w:hAnsi="宋体" w:eastAsia="宋体" w:cs="宋体"/>
          <w:b/>
          <w:bCs/>
          <w:snapToGrid w:val="0"/>
          <w:color w:val="auto"/>
          <w:kern w:val="0"/>
          <w:szCs w:val="22"/>
          <w:highlight w:val="none"/>
          <w:lang w:val="en-US" w:eastAsia="zh-CN"/>
        </w:rPr>
        <w:t>10.3.4</w:t>
      </w:r>
      <w:r>
        <w:rPr>
          <w:rFonts w:hint="eastAsia" w:ascii="宋体" w:hAnsi="宋体" w:eastAsia="宋体" w:cs="宋体"/>
          <w:snapToGrid w:val="0"/>
          <w:color w:val="auto"/>
          <w:kern w:val="0"/>
          <w:szCs w:val="22"/>
          <w:highlight w:val="none"/>
          <w:lang w:val="en-US" w:eastAsia="zh-CN"/>
        </w:rPr>
        <w:t>投标标书的所有内容按本节第10.2.1目规定的顺序整理、编排后，逐页（页码起始从封面开始）连续标记页码。</w:t>
      </w:r>
    </w:p>
    <w:p w14:paraId="1DA1C192">
      <w:pPr>
        <w:pStyle w:val="4"/>
        <w:pageBreakBefore w:val="0"/>
        <w:widowControl w:val="0"/>
        <w:kinsoku/>
        <w:wordWrap w:val="0"/>
        <w:overflowPunct/>
        <w:topLinePunct w:val="0"/>
        <w:autoSpaceDE/>
        <w:autoSpaceDN/>
        <w:bidi w:val="0"/>
        <w:snapToGrid w:val="0"/>
        <w:spacing w:line="351" w:lineRule="auto"/>
        <w:ind w:left="0" w:leftChars="0" w:firstLine="482" w:firstLineChars="200"/>
        <w:jc w:val="both"/>
        <w:textAlignment w:val="auto"/>
        <w:rPr>
          <w:rFonts w:hint="eastAsia" w:ascii="宋体" w:hAnsi="宋体" w:eastAsia="宋体" w:cs="宋体"/>
          <w:b/>
          <w:snapToGrid w:val="0"/>
          <w:color w:val="auto"/>
          <w:highlight w:val="none"/>
        </w:rPr>
      </w:pPr>
      <w:bookmarkStart w:id="149" w:name="_Toc7033"/>
      <w:bookmarkStart w:id="150" w:name="_Toc13832"/>
      <w:bookmarkStart w:id="151" w:name="_Toc3213"/>
      <w:bookmarkStart w:id="152" w:name="_Toc25204"/>
      <w:bookmarkStart w:id="153" w:name="_Toc2034"/>
      <w:r>
        <w:rPr>
          <w:rFonts w:hint="eastAsia" w:ascii="宋体" w:hAnsi="宋体" w:eastAsia="宋体" w:cs="宋体"/>
          <w:b/>
          <w:snapToGrid w:val="0"/>
          <w:color w:val="auto"/>
          <w:highlight w:val="none"/>
          <w:lang w:val="en-US"/>
        </w:rPr>
        <w:t>1</w:t>
      </w:r>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lang w:val="en-US"/>
        </w:rPr>
        <w:t>.</w:t>
      </w:r>
      <w:bookmarkEnd w:id="149"/>
      <w:bookmarkEnd w:id="150"/>
      <w:r>
        <w:rPr>
          <w:rFonts w:hint="eastAsia" w:ascii="宋体" w:hAnsi="宋体" w:eastAsia="宋体" w:cs="宋体"/>
          <w:b/>
          <w:snapToGrid w:val="0"/>
          <w:color w:val="auto"/>
          <w:highlight w:val="none"/>
        </w:rPr>
        <w:t>电子投标</w:t>
      </w:r>
      <w:bookmarkEnd w:id="151"/>
      <w:bookmarkEnd w:id="152"/>
      <w:bookmarkEnd w:id="153"/>
    </w:p>
    <w:p w14:paraId="472F5E89">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bookmarkStart w:id="154" w:name="_Hlt66511038"/>
      <w:bookmarkEnd w:id="154"/>
      <w:bookmarkStart w:id="155" w:name="_Hlt66200498"/>
      <w:bookmarkEnd w:id="155"/>
      <w:bookmarkStart w:id="156" w:name="_Toc21572"/>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1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bookmarkEnd w:id="156"/>
    </w:p>
    <w:p w14:paraId="2AD35D70">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263D8AB7">
      <w:pPr>
        <w:pStyle w:val="4"/>
        <w:pageBreakBefore w:val="0"/>
        <w:widowControl w:val="0"/>
        <w:kinsoku/>
        <w:wordWrap w:val="0"/>
        <w:overflowPunct/>
        <w:topLinePunct w:val="0"/>
        <w:autoSpaceDE/>
        <w:autoSpaceDN/>
        <w:bidi w:val="0"/>
        <w:snapToGrid w:val="0"/>
        <w:spacing w:line="351" w:lineRule="auto"/>
        <w:ind w:left="0" w:leftChars="0" w:firstLine="482" w:firstLineChars="200"/>
        <w:jc w:val="both"/>
        <w:textAlignment w:val="auto"/>
        <w:rPr>
          <w:rFonts w:hint="eastAsia" w:ascii="宋体" w:hAnsi="宋体" w:eastAsia="宋体" w:cs="宋体"/>
          <w:b/>
          <w:snapToGrid w:val="0"/>
          <w:color w:val="auto"/>
          <w:highlight w:val="none"/>
        </w:rPr>
      </w:pPr>
      <w:bookmarkStart w:id="157" w:name="_Toc19154"/>
      <w:bookmarkStart w:id="158" w:name="_Toc7569"/>
      <w:bookmarkStart w:id="159" w:name="_Toc7340"/>
      <w:bookmarkStart w:id="160" w:name="_Toc564"/>
      <w:bookmarkStart w:id="161" w:name="_Toc10246"/>
      <w:r>
        <w:rPr>
          <w:rFonts w:hint="eastAsia" w:ascii="宋体" w:hAnsi="宋体" w:eastAsia="宋体" w:cs="宋体"/>
          <w:b/>
          <w:snapToGrid w:val="0"/>
          <w:color w:val="auto"/>
          <w:highlight w:val="none"/>
        </w:rPr>
        <w:t>1</w:t>
      </w:r>
      <w:r>
        <w:rPr>
          <w:rFonts w:hint="eastAsia" w:ascii="宋体" w:hAnsi="宋体" w:eastAsia="宋体" w:cs="宋体"/>
          <w:b/>
          <w:snapToGrid w:val="0"/>
          <w:color w:val="auto"/>
          <w:highlight w:val="none"/>
          <w:lang w:val="en-US" w:eastAsia="zh-CN"/>
        </w:rPr>
        <w:t>2</w:t>
      </w:r>
      <w:r>
        <w:rPr>
          <w:rFonts w:hint="eastAsia" w:ascii="宋体" w:hAnsi="宋体" w:eastAsia="宋体" w:cs="宋体"/>
          <w:b/>
          <w:snapToGrid w:val="0"/>
          <w:color w:val="auto"/>
          <w:highlight w:val="none"/>
        </w:rPr>
        <w:t>．电子投标解密失败及突发情况的补救</w:t>
      </w:r>
      <w:bookmarkEnd w:id="157"/>
      <w:bookmarkEnd w:id="158"/>
      <w:bookmarkEnd w:id="159"/>
    </w:p>
    <w:p w14:paraId="26393A83">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.1按照交易平台关于全流程电子化项目的相关指南进行操作。详见：全国公共资源交易平台（广东省·韶关市）（https://ygp.gdzwfw.gov.cn/ggzy-portal/#/440200/index）【服务指南】栏目发布的最新版操作指引。</w:t>
      </w:r>
    </w:p>
    <w:p w14:paraId="0D3AA5BB">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.2补救方案：</w:t>
      </w:r>
    </w:p>
    <w:p w14:paraId="6511D803">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highlight w:val="none"/>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5D4AF2A0">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做好招投标资料的封存和保密工作，另行组建评标委员会重新评标。原评标委员会成员应当对评标情况保密，不得对外透露与评标有关的任何信息与情况。</w:t>
      </w:r>
    </w:p>
    <w:p w14:paraId="6E54CB7D">
      <w:pPr>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（3）除发生上述情况外，开标评标均以投标人通过交易平台网上递交的电子投标文件为准。</w:t>
      </w:r>
    </w:p>
    <w:p w14:paraId="1D95A622">
      <w:pPr>
        <w:pStyle w:val="4"/>
        <w:pageBreakBefore w:val="0"/>
        <w:widowControl w:val="0"/>
        <w:numPr>
          <w:ilvl w:val="0"/>
          <w:numId w:val="1"/>
        </w:numPr>
        <w:kinsoku/>
        <w:wordWrap w:val="0"/>
        <w:overflowPunct/>
        <w:topLinePunct w:val="0"/>
        <w:autoSpaceDE/>
        <w:autoSpaceDN/>
        <w:bidi w:val="0"/>
        <w:snapToGrid w:val="0"/>
        <w:spacing w:line="351" w:lineRule="auto"/>
        <w:ind w:left="0" w:leftChars="0" w:firstLine="482" w:firstLineChars="200"/>
        <w:jc w:val="both"/>
        <w:textAlignment w:val="auto"/>
        <w:rPr>
          <w:rFonts w:hint="eastAsia" w:ascii="宋体" w:hAnsi="宋体" w:eastAsia="宋体" w:cs="宋体"/>
          <w:b/>
          <w:snapToGrid w:val="0"/>
          <w:color w:val="auto"/>
          <w:highlight w:val="none"/>
        </w:rPr>
      </w:pPr>
      <w:bookmarkStart w:id="162" w:name="_Toc5779"/>
      <w:bookmarkStart w:id="163" w:name="_Toc23042"/>
      <w:r>
        <w:rPr>
          <w:rFonts w:hint="eastAsia" w:ascii="宋体" w:hAnsi="宋体" w:eastAsia="宋体" w:cs="宋体"/>
          <w:b/>
          <w:snapToGrid w:val="0"/>
          <w:color w:val="auto"/>
          <w:highlight w:val="none"/>
        </w:rPr>
        <w:t>投标文件的提交</w:t>
      </w:r>
      <w:bookmarkEnd w:id="160"/>
      <w:bookmarkEnd w:id="161"/>
      <w:bookmarkEnd w:id="162"/>
      <w:bookmarkEnd w:id="163"/>
    </w:p>
    <w:p w14:paraId="3FBC990F">
      <w:pPr>
        <w:pStyle w:val="39"/>
        <w:pageBreakBefore w:val="0"/>
        <w:widowControl w:val="0"/>
        <w:kinsoku/>
        <w:wordWrap w:val="0"/>
        <w:overflowPunct/>
        <w:topLinePunct w:val="0"/>
        <w:autoSpaceDE/>
        <w:autoSpaceDN/>
        <w:bidi w:val="0"/>
        <w:adjustRightInd w:val="0"/>
        <w:snapToGrid w:val="0"/>
        <w:spacing w:line="351" w:lineRule="auto"/>
        <w:ind w:left="0" w:leftChars="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13.1</w:t>
      </w:r>
      <w:r>
        <w:rPr>
          <w:rFonts w:hint="eastAsia" w:ascii="宋体" w:hAnsi="宋体" w:eastAsia="宋体" w:cs="宋体"/>
          <w:snapToGrid w:val="0"/>
          <w:color w:val="auto"/>
          <w:kern w:val="0"/>
          <w:sz w:val="24"/>
          <w:highlight w:val="none"/>
        </w:rPr>
        <w:t xml:space="preserve"> </w:t>
      </w:r>
      <w:r>
        <w:rPr>
          <w:rFonts w:hint="eastAsia" w:ascii="宋体" w:hAnsi="宋体" w:eastAsia="宋体" w:cs="宋体"/>
          <w:color w:val="auto"/>
          <w:sz w:val="24"/>
          <w:highlight w:val="none"/>
        </w:rPr>
        <w:t>在电子投标截止时间前，投标人通过全国公共资源交易平台（广东省·韶关市）提交已加密投标文件。逾期提交的电子投标文件，全国公共资源交易平台（广东省·韶关市）将予以拒收。</w:t>
      </w:r>
    </w:p>
    <w:p w14:paraId="35259265">
      <w:pPr>
        <w:pStyle w:val="39"/>
        <w:pageBreakBefore w:val="0"/>
        <w:widowControl w:val="0"/>
        <w:kinsoku/>
        <w:wordWrap w:val="0"/>
        <w:overflowPunct/>
        <w:topLinePunct w:val="0"/>
        <w:autoSpaceDE/>
        <w:autoSpaceDN/>
        <w:bidi w:val="0"/>
        <w:adjustRightInd w:val="0"/>
        <w:snapToGrid w:val="0"/>
        <w:spacing w:line="351" w:lineRule="auto"/>
        <w:ind w:left="0" w:leftChars="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13.2 </w:t>
      </w:r>
      <w:r>
        <w:rPr>
          <w:rFonts w:hint="eastAsia" w:ascii="宋体" w:hAnsi="宋体" w:eastAsia="宋体" w:cs="宋体"/>
          <w:color w:val="auto"/>
          <w:sz w:val="24"/>
          <w:highlight w:val="none"/>
        </w:rPr>
        <w:t>提交时间和地点</w:t>
      </w:r>
      <w:r>
        <w:rPr>
          <w:rFonts w:hint="eastAsia" w:ascii="宋体" w:hAnsi="宋体" w:eastAsia="宋体" w:cs="宋体"/>
          <w:snapToGrid w:val="0"/>
          <w:color w:val="auto"/>
          <w:kern w:val="0"/>
          <w:sz w:val="24"/>
          <w:highlight w:val="none"/>
        </w:rPr>
        <w:t>：见本章第二节“重要事项时间地点一览表”。</w:t>
      </w:r>
    </w:p>
    <w:p w14:paraId="6DF13E58">
      <w:pPr>
        <w:pStyle w:val="39"/>
        <w:pageBreakBefore w:val="0"/>
        <w:widowControl w:val="0"/>
        <w:kinsoku/>
        <w:overflowPunct/>
        <w:topLinePunct w:val="0"/>
        <w:autoSpaceDE/>
        <w:autoSpaceDN/>
        <w:bidi w:val="0"/>
        <w:spacing w:line="351"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 xml:space="preserve">13.3 </w:t>
      </w:r>
      <w:r>
        <w:rPr>
          <w:rFonts w:hint="eastAsia" w:ascii="宋体" w:hAnsi="宋体" w:eastAsia="宋体" w:cs="宋体"/>
          <w:color w:val="auto"/>
          <w:sz w:val="24"/>
          <w:highlight w:val="none"/>
        </w:rPr>
        <w:t xml:space="preserve">代理机构对因不可抗力事件造成的投标文件的损坏、丢失的，不承担责任。      </w:t>
      </w:r>
    </w:p>
    <w:p w14:paraId="7B1ADADC">
      <w:pPr>
        <w:pStyle w:val="39"/>
        <w:pageBreakBefore w:val="0"/>
        <w:widowControl w:val="0"/>
        <w:kinsoku/>
        <w:overflowPunct/>
        <w:topLinePunct w:val="0"/>
        <w:autoSpaceDE/>
        <w:autoSpaceDN/>
        <w:bidi w:val="0"/>
        <w:spacing w:line="351" w:lineRule="auto"/>
        <w:ind w:left="0" w:leftChars="0" w:firstLine="482" w:firstLineChars="200"/>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b/>
          <w:bCs/>
          <w:snapToGrid w:val="0"/>
          <w:color w:val="auto"/>
          <w:kern w:val="0"/>
          <w:sz w:val="24"/>
          <w:highlight w:val="none"/>
        </w:rPr>
        <w:t xml:space="preserve">13.4 </w:t>
      </w:r>
      <w:r>
        <w:rPr>
          <w:rFonts w:hint="eastAsia" w:ascii="宋体" w:hAnsi="宋体" w:eastAsia="宋体" w:cs="宋体"/>
          <w:color w:val="auto"/>
          <w:sz w:val="24"/>
          <w:highlight w:val="none"/>
        </w:rPr>
        <w:t>递交时间和地点：投标人</w:t>
      </w:r>
      <w:r>
        <w:rPr>
          <w:rFonts w:hint="eastAsia" w:ascii="宋体" w:hAnsi="宋体" w:eastAsia="宋体" w:cs="宋体"/>
          <w:b/>
          <w:bCs/>
          <w:color w:val="auto"/>
          <w:sz w:val="24"/>
          <w:highlight w:val="none"/>
        </w:rPr>
        <w:t>如有</w:t>
      </w:r>
      <w:r>
        <w:rPr>
          <w:rFonts w:hint="eastAsia" w:ascii="宋体" w:hAnsi="宋体" w:eastAsia="宋体" w:cs="宋体"/>
          <w:color w:val="auto"/>
          <w:sz w:val="24"/>
          <w:highlight w:val="none"/>
        </w:rPr>
        <w:t>招标文件要求提交的用于评审的证书、证件、证明原件（附一式两份清单），由投标人法定代表人或其委托代理人在指定的时间和地点递交（见“重要事项时间地点一览表”）。</w:t>
      </w:r>
    </w:p>
    <w:p w14:paraId="5F349B2C">
      <w:pPr>
        <w:pStyle w:val="39"/>
        <w:pageBreakBefore w:val="0"/>
        <w:widowControl w:val="0"/>
        <w:kinsoku/>
        <w:overflowPunct/>
        <w:topLinePunct w:val="0"/>
        <w:autoSpaceDE/>
        <w:autoSpaceDN/>
        <w:bidi w:val="0"/>
        <w:spacing w:line="351" w:lineRule="auto"/>
        <w:ind w:left="0" w:leftChars="0"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rPr>
        <w:t xml:space="preserve">13.5 </w:t>
      </w:r>
      <w:r>
        <w:rPr>
          <w:rFonts w:hint="eastAsia" w:ascii="宋体" w:hAnsi="宋体" w:eastAsia="宋体" w:cs="宋体"/>
          <w:color w:val="auto"/>
          <w:sz w:val="24"/>
          <w:highlight w:val="none"/>
        </w:rPr>
        <w:t>出现下述情形之一，属于未成功提交投标文件，按无效投标处理：</w:t>
      </w:r>
    </w:p>
    <w:p w14:paraId="6AAD0151">
      <w:pPr>
        <w:pStyle w:val="39"/>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（1）至电子投标截止时间时，投标文件未完整上传或未提交投标。</w:t>
      </w:r>
    </w:p>
    <w:p w14:paraId="28ECDA8B">
      <w:pPr>
        <w:pStyle w:val="39"/>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（2）投标文件未按投标格式中注明需签字盖章的要求进行签名（含电子签名）和加盖电子印章，或签名（含电子签名）或电子印章不完整的。</w:t>
      </w:r>
    </w:p>
    <w:p w14:paraId="436390AA">
      <w:pPr>
        <w:pStyle w:val="39"/>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（3）解密失败且在规定时间内未重新提交投标文件的；</w:t>
      </w:r>
    </w:p>
    <w:p w14:paraId="4ED455E3">
      <w:pPr>
        <w:pStyle w:val="39"/>
        <w:pageBreakBefore w:val="0"/>
        <w:widowControl w:val="0"/>
        <w:kinsoku/>
        <w:overflowPunct/>
        <w:topLinePunct w:val="0"/>
        <w:autoSpaceDE/>
        <w:autoSpaceDN/>
        <w:bidi w:val="0"/>
        <w:spacing w:line="351"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（4）投标文件损坏或格式不正确的。</w:t>
      </w:r>
    </w:p>
    <w:p w14:paraId="7BFEB4C1">
      <w:pPr>
        <w:pStyle w:val="4"/>
        <w:pageBreakBefore w:val="0"/>
        <w:widowControl w:val="0"/>
        <w:kinsoku/>
        <w:wordWrap w:val="0"/>
        <w:overflowPunct/>
        <w:topLinePunct w:val="0"/>
        <w:bidi w:val="0"/>
        <w:snapToGrid w:val="0"/>
        <w:spacing w:line="351" w:lineRule="auto"/>
        <w:ind w:left="0" w:firstLine="482" w:firstLineChars="200"/>
        <w:jc w:val="both"/>
        <w:textAlignment w:val="auto"/>
        <w:rPr>
          <w:rFonts w:hint="eastAsia" w:ascii="宋体" w:hAnsi="宋体" w:eastAsia="宋体" w:cs="宋体"/>
          <w:b/>
          <w:snapToGrid w:val="0"/>
          <w:color w:val="auto"/>
          <w:highlight w:val="none"/>
        </w:rPr>
      </w:pPr>
      <w:bookmarkStart w:id="164" w:name="_Toc1321"/>
      <w:bookmarkStart w:id="165" w:name="_Toc26205"/>
      <w:r>
        <w:rPr>
          <w:rFonts w:hint="eastAsia" w:ascii="宋体" w:hAnsi="宋体" w:eastAsia="宋体" w:cs="宋体"/>
          <w:b/>
          <w:snapToGrid w:val="0"/>
          <w:color w:val="auto"/>
          <w:highlight w:val="none"/>
          <w:lang w:eastAsia="zh-CN"/>
        </w:rPr>
        <w:t>14.</w:t>
      </w:r>
      <w:r>
        <w:rPr>
          <w:rFonts w:hint="eastAsia" w:ascii="宋体" w:hAnsi="宋体" w:eastAsia="宋体" w:cs="宋体"/>
          <w:b/>
          <w:snapToGrid w:val="0"/>
          <w:color w:val="auto"/>
          <w:highlight w:val="none"/>
        </w:rPr>
        <w:t>开标</w:t>
      </w:r>
      <w:bookmarkEnd w:id="164"/>
      <w:bookmarkEnd w:id="165"/>
    </w:p>
    <w:p w14:paraId="700D009A">
      <w:pPr>
        <w:pStyle w:val="39"/>
        <w:pageBreakBefore w:val="0"/>
        <w:widowControl w:val="0"/>
        <w:kinsoku/>
        <w:wordWrap w:val="0"/>
        <w:overflowPunct/>
        <w:topLinePunct w:val="0"/>
        <w:bidi w:val="0"/>
        <w:adjustRightInd w:val="0"/>
        <w:snapToGrid w:val="0"/>
        <w:spacing w:line="351" w:lineRule="auto"/>
        <w:ind w:left="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14.1</w:t>
      </w:r>
      <w:r>
        <w:rPr>
          <w:rFonts w:hint="eastAsia" w:ascii="宋体" w:hAnsi="宋体" w:eastAsia="宋体" w:cs="宋体"/>
          <w:snapToGrid w:val="0"/>
          <w:color w:val="auto"/>
          <w:kern w:val="0"/>
          <w:sz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5D2F7C7B">
      <w:pPr>
        <w:pStyle w:val="39"/>
        <w:pageBreakBefore w:val="0"/>
        <w:widowControl w:val="0"/>
        <w:kinsoku/>
        <w:wordWrap w:val="0"/>
        <w:overflowPunct/>
        <w:topLinePunct w:val="0"/>
        <w:bidi w:val="0"/>
        <w:adjustRightInd w:val="0"/>
        <w:snapToGrid w:val="0"/>
        <w:spacing w:line="351" w:lineRule="auto"/>
        <w:ind w:left="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rPr>
        <w:t>14.1.1</w:t>
      </w:r>
      <w:r>
        <w:rPr>
          <w:rFonts w:hint="eastAsia" w:ascii="宋体" w:hAnsi="宋体" w:eastAsia="宋体" w:cs="宋体"/>
          <w:snapToGrid w:val="0"/>
          <w:color w:val="auto"/>
          <w:kern w:val="0"/>
          <w:sz w:val="24"/>
          <w:highlight w:val="none"/>
        </w:rPr>
        <w:t xml:space="preserve"> 开标时间和地点：见本章第二节“重要事项时间地点一览表”。</w:t>
      </w:r>
    </w:p>
    <w:p w14:paraId="49926922">
      <w:pPr>
        <w:pStyle w:val="39"/>
        <w:pageBreakBefore w:val="0"/>
        <w:widowControl w:val="0"/>
        <w:kinsoku/>
        <w:wordWrap w:val="0"/>
        <w:overflowPunct/>
        <w:topLinePunct w:val="0"/>
        <w:bidi w:val="0"/>
        <w:adjustRightInd w:val="0"/>
        <w:snapToGrid w:val="0"/>
        <w:spacing w:line="351" w:lineRule="auto"/>
        <w:ind w:left="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rPr>
        <w:t>14.1.2</w:t>
      </w:r>
      <w:r>
        <w:rPr>
          <w:rFonts w:hint="eastAsia" w:ascii="宋体" w:hAnsi="宋体" w:eastAsia="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9AE653E">
      <w:pPr>
        <w:pStyle w:val="39"/>
        <w:pageBreakBefore w:val="0"/>
        <w:widowControl w:val="0"/>
        <w:kinsoku/>
        <w:wordWrap w:val="0"/>
        <w:overflowPunct/>
        <w:topLinePunct w:val="0"/>
        <w:bidi w:val="0"/>
        <w:adjustRightInd w:val="0"/>
        <w:snapToGrid w:val="0"/>
        <w:spacing w:line="351" w:lineRule="auto"/>
        <w:ind w:left="0"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rPr>
        <w:t>14.1.3</w:t>
      </w:r>
      <w:r>
        <w:rPr>
          <w:rFonts w:hint="eastAsia" w:ascii="宋体" w:hAnsi="宋体" w:eastAsia="宋体" w:cs="宋体"/>
          <w:snapToGrid w:val="0"/>
          <w:color w:val="auto"/>
          <w:kern w:val="0"/>
          <w:sz w:val="24"/>
          <w:highlight w:val="none"/>
        </w:rPr>
        <w:t>本项目实行全流程电子化招标投标，投标人在交易平台按要求上传加盖电子印章并经加密的电子投标文件，并在交易平台录入准确的页码信息即可完成在线投标。由于投标人原因导致未按投标</w:t>
      </w:r>
      <w:r>
        <w:rPr>
          <w:rFonts w:hint="eastAsia" w:ascii="宋体" w:hAnsi="宋体" w:eastAsia="宋体" w:cs="宋体"/>
          <w:snapToGrid w:val="0"/>
          <w:color w:val="auto"/>
          <w:kern w:val="0"/>
          <w:sz w:val="24"/>
          <w:highlight w:val="none"/>
          <w:lang w:eastAsia="zh-CN"/>
        </w:rPr>
        <w:t>截止</w:t>
      </w:r>
      <w:r>
        <w:rPr>
          <w:rFonts w:hint="eastAsia" w:ascii="宋体" w:hAnsi="宋体" w:eastAsia="宋体" w:cs="宋体"/>
          <w:snapToGrid w:val="0"/>
          <w:color w:val="auto"/>
          <w:kern w:val="0"/>
          <w:sz w:val="24"/>
          <w:highlight w:val="none"/>
        </w:rPr>
        <w:t>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1F55934">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14.2</w:t>
      </w:r>
      <w:r>
        <w:rPr>
          <w:rFonts w:hint="eastAsia" w:ascii="宋体" w:hAnsi="宋体" w:eastAsia="宋体" w:cs="宋体"/>
          <w:snapToGrid w:val="0"/>
          <w:color w:val="auto"/>
          <w:kern w:val="0"/>
          <w:highlight w:val="none"/>
        </w:rPr>
        <w:t xml:space="preserve"> 开标程序</w:t>
      </w:r>
    </w:p>
    <w:p w14:paraId="67748756">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（1）主持人（招标人代表或招标人授权的招标代理机构人员）宣读开标纪律。</w:t>
      </w:r>
    </w:p>
    <w:p w14:paraId="14079C47">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（2）主持人宣布唱标人、记录人、见证人、监督人等有关人员姓名。</w:t>
      </w:r>
    </w:p>
    <w:p w14:paraId="1DF7B9AB">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（3）招标代理机构在交易场所工作人员见证下对投标人的电子投标信息进行解密，建设工程交易系统自动生成《投标保证缴纳情况表》和《开标一览表》。</w:t>
      </w:r>
    </w:p>
    <w:p w14:paraId="0E0C55E0">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（4）唱标人公布在电子投标截止时间前提交投标文件的投标人数量和名称。</w:t>
      </w:r>
    </w:p>
    <w:p w14:paraId="50433A07">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（5）招标人代表、唱标人、记录人等有关人员在《投标保证缴纳情况表》以及《开标一览表》上签字确认。</w:t>
      </w:r>
    </w:p>
    <w:p w14:paraId="1549ADF0">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（6）主持人宣布有关注意事项后，宣布开标结束。</w:t>
      </w:r>
    </w:p>
    <w:p w14:paraId="498B2720">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C090EFA">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14.3</w:t>
      </w:r>
      <w:r>
        <w:rPr>
          <w:rFonts w:hint="eastAsia" w:ascii="宋体" w:hAnsi="宋体" w:eastAsia="宋体" w:cs="宋体"/>
          <w:snapToGrid w:val="0"/>
          <w:color w:val="auto"/>
          <w:kern w:val="0"/>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036D9AD2">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bCs/>
          <w:snapToGrid w:val="0"/>
          <w:color w:val="auto"/>
          <w:kern w:val="0"/>
          <w:highlight w:val="none"/>
        </w:rPr>
        <w:t>14.4</w:t>
      </w:r>
      <w:r>
        <w:rPr>
          <w:rFonts w:hint="eastAsia" w:ascii="宋体" w:hAnsi="宋体" w:eastAsia="宋体" w:cs="宋体"/>
          <w:snapToGrid w:val="0"/>
          <w:color w:val="auto"/>
          <w:kern w:val="0"/>
          <w:highlight w:val="none"/>
        </w:rPr>
        <w:t xml:space="preserve"> 招标代理机构将资料原件</w:t>
      </w:r>
      <w:r>
        <w:rPr>
          <w:rFonts w:hint="eastAsia" w:ascii="宋体" w:hAnsi="宋体" w:eastAsia="宋体" w:cs="宋体"/>
          <w:b/>
          <w:bCs/>
          <w:snapToGrid w:val="0"/>
          <w:color w:val="auto"/>
          <w:kern w:val="0"/>
          <w:highlight w:val="none"/>
        </w:rPr>
        <w:t>（如有）</w:t>
      </w:r>
      <w:r>
        <w:rPr>
          <w:rFonts w:hint="eastAsia" w:ascii="宋体" w:hAnsi="宋体" w:eastAsia="宋体" w:cs="宋体"/>
          <w:snapToGrid w:val="0"/>
          <w:color w:val="auto"/>
          <w:kern w:val="0"/>
          <w:highlight w:val="none"/>
        </w:rPr>
        <w:t>、《开标一览表》以及其他有关资料移交评标委员会。</w:t>
      </w:r>
    </w:p>
    <w:p w14:paraId="7A98F5B5">
      <w:pPr>
        <w:pStyle w:val="4"/>
        <w:pageBreakBefore w:val="0"/>
        <w:widowControl w:val="0"/>
        <w:kinsoku/>
        <w:wordWrap w:val="0"/>
        <w:overflowPunct/>
        <w:topLinePunct w:val="0"/>
        <w:bidi w:val="0"/>
        <w:snapToGrid w:val="0"/>
        <w:spacing w:line="351" w:lineRule="auto"/>
        <w:ind w:left="0" w:firstLine="482" w:firstLineChars="200"/>
        <w:jc w:val="both"/>
        <w:textAlignment w:val="auto"/>
        <w:rPr>
          <w:rFonts w:hint="eastAsia" w:ascii="宋体" w:hAnsi="宋体" w:eastAsia="宋体" w:cs="宋体"/>
          <w:b/>
          <w:snapToGrid w:val="0"/>
          <w:color w:val="auto"/>
          <w:highlight w:val="none"/>
        </w:rPr>
      </w:pPr>
      <w:bookmarkStart w:id="166" w:name="_Toc19771"/>
      <w:bookmarkStart w:id="167" w:name="_Toc5506"/>
      <w:r>
        <w:rPr>
          <w:rFonts w:hint="eastAsia" w:ascii="宋体" w:hAnsi="宋体" w:eastAsia="宋体" w:cs="宋体"/>
          <w:b/>
          <w:snapToGrid w:val="0"/>
          <w:color w:val="auto"/>
          <w:highlight w:val="none"/>
          <w:lang w:eastAsia="zh-CN"/>
        </w:rPr>
        <w:t>15.</w:t>
      </w:r>
      <w:r>
        <w:rPr>
          <w:rFonts w:hint="eastAsia" w:ascii="宋体" w:hAnsi="宋体" w:eastAsia="宋体" w:cs="宋体"/>
          <w:b/>
          <w:snapToGrid w:val="0"/>
          <w:color w:val="auto"/>
          <w:highlight w:val="none"/>
        </w:rPr>
        <w:t>评标</w:t>
      </w:r>
      <w:bookmarkEnd w:id="166"/>
      <w:bookmarkEnd w:id="167"/>
    </w:p>
    <w:p w14:paraId="463E9DEE">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个中标候选人，并向招标人提交由全体评标委员会成员签字的评标报告。</w:t>
      </w:r>
    </w:p>
    <w:p w14:paraId="2FE2A0FD">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15.1</w:t>
      </w:r>
      <w:r>
        <w:rPr>
          <w:rFonts w:hint="eastAsia" w:ascii="宋体" w:hAnsi="宋体" w:eastAsia="宋体" w:cs="宋体"/>
          <w:bCs/>
          <w:snapToGrid w:val="0"/>
          <w:color w:val="auto"/>
          <w:kern w:val="0"/>
          <w:highlight w:val="none"/>
        </w:rPr>
        <w:t xml:space="preserve"> 评标委员会</w:t>
      </w:r>
    </w:p>
    <w:p w14:paraId="36535499">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15.1.1</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Cs w:val="24"/>
          <w:highlight w:val="none"/>
        </w:rPr>
        <w:t>评标委员会由</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人组成，其中招标人代表</w:t>
      </w:r>
      <w:r>
        <w:rPr>
          <w:rFonts w:hint="eastAsia" w:ascii="宋体" w:hAnsi="宋体" w:eastAsia="宋体" w:cs="宋体"/>
          <w:snapToGrid w:val="0"/>
          <w:color w:val="auto"/>
          <w:kern w:val="0"/>
          <w:szCs w:val="24"/>
          <w:highlight w:val="none"/>
          <w:u w:val="single"/>
        </w:rPr>
        <w:t xml:space="preserve"> 0 </w:t>
      </w:r>
      <w:r>
        <w:rPr>
          <w:rFonts w:hint="eastAsia" w:ascii="宋体" w:hAnsi="宋体" w:eastAsia="宋体" w:cs="宋体"/>
          <w:snapToGrid w:val="0"/>
          <w:color w:val="auto"/>
          <w:kern w:val="0"/>
          <w:szCs w:val="24"/>
          <w:highlight w:val="none"/>
        </w:rPr>
        <w:t>人，专家</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人。专家从广东省综合评标评审专家库-韶关市区域中随机抽取，其中技术类专家</w:t>
      </w:r>
      <w:r>
        <w:rPr>
          <w:rFonts w:hint="eastAsia" w:ascii="宋体" w:hAnsi="宋体" w:eastAsia="宋体" w:cs="宋体"/>
          <w:snapToGrid w:val="0"/>
          <w:color w:val="auto"/>
          <w:kern w:val="0"/>
          <w:szCs w:val="24"/>
          <w:highlight w:val="none"/>
          <w:u w:val="single"/>
        </w:rPr>
        <w:t xml:space="preserve"> 3 </w:t>
      </w:r>
      <w:r>
        <w:rPr>
          <w:rFonts w:hint="eastAsia" w:ascii="宋体" w:hAnsi="宋体" w:eastAsia="宋体" w:cs="宋体"/>
          <w:snapToGrid w:val="0"/>
          <w:color w:val="auto"/>
          <w:kern w:val="0"/>
          <w:szCs w:val="24"/>
          <w:highlight w:val="none"/>
        </w:rPr>
        <w:t>人，经济类专家</w:t>
      </w:r>
      <w:r>
        <w:rPr>
          <w:rFonts w:hint="eastAsia" w:ascii="宋体" w:hAnsi="宋体" w:eastAsia="宋体" w:cs="宋体"/>
          <w:snapToGrid w:val="0"/>
          <w:color w:val="auto"/>
          <w:kern w:val="0"/>
          <w:szCs w:val="24"/>
          <w:highlight w:val="none"/>
          <w:u w:val="single"/>
        </w:rPr>
        <w:t xml:space="preserve"> 2 </w:t>
      </w:r>
      <w:r>
        <w:rPr>
          <w:rFonts w:hint="eastAsia" w:ascii="宋体" w:hAnsi="宋体" w:eastAsia="宋体" w:cs="宋体"/>
          <w:snapToGrid w:val="0"/>
          <w:color w:val="auto"/>
          <w:kern w:val="0"/>
          <w:szCs w:val="24"/>
          <w:highlight w:val="none"/>
        </w:rPr>
        <w:t>人。评标委员会设负责人，由评标委员会成员推举产生。评标</w:t>
      </w:r>
      <w:r>
        <w:rPr>
          <w:rFonts w:hint="eastAsia" w:ascii="宋体" w:hAnsi="宋体" w:eastAsia="宋体" w:cs="宋体"/>
          <w:snapToGrid w:val="0"/>
          <w:color w:val="auto"/>
          <w:kern w:val="0"/>
          <w:highlight w:val="none"/>
        </w:rPr>
        <w:t>委员会负责人与评标委员会的其他成员有同等的表决权。</w:t>
      </w:r>
    </w:p>
    <w:p w14:paraId="1DF01524">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15.1.2</w:t>
      </w:r>
      <w:r>
        <w:rPr>
          <w:rFonts w:hint="eastAsia" w:ascii="宋体" w:hAnsi="宋体" w:eastAsia="宋体" w:cs="宋体"/>
          <w:snapToGrid w:val="0"/>
          <w:color w:val="auto"/>
          <w:kern w:val="0"/>
          <w:highlight w:val="none"/>
        </w:rPr>
        <w:t xml:space="preserve"> 评标委员会应认真、公正、诚实、廉洁地履行职责。有下列情形之一的，不得担任评标委员会成员：</w:t>
      </w:r>
    </w:p>
    <w:p w14:paraId="15AD44F5">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（1）投标人或投标人主要负责人的近亲属；</w:t>
      </w:r>
    </w:p>
    <w:p w14:paraId="309C3078">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（2）项目主管部门或者行政监督部门的人员；</w:t>
      </w:r>
    </w:p>
    <w:p w14:paraId="03E269C8">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（3）与投标人有经济利益关系，可能影响对投标公正评审的；</w:t>
      </w:r>
    </w:p>
    <w:p w14:paraId="10C41F17">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（4）曾因在招标、评标以及其他与招标投标有关活动中从事违法行为而受过行政处罚或刑事处罚的。</w:t>
      </w:r>
    </w:p>
    <w:p w14:paraId="5B4484B8">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评标委员会成员有以上情形之一的，应主动提出回避。</w:t>
      </w:r>
    </w:p>
    <w:p w14:paraId="1DC2EE89">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15.1.3</w:t>
      </w:r>
      <w:r>
        <w:rPr>
          <w:rFonts w:hint="eastAsia" w:ascii="宋体" w:hAnsi="宋体" w:eastAsia="宋体" w:cs="宋体"/>
          <w:snapToGrid w:val="0"/>
          <w:color w:val="auto"/>
          <w:kern w:val="0"/>
          <w:highlight w:val="none"/>
        </w:rPr>
        <w:t xml:space="preserve"> 评标全过程实行封闭式管理，在中标结果公布前，禁止评标委员会成员以任何方式私下接触投标人。</w:t>
      </w:r>
    </w:p>
    <w:p w14:paraId="3150EAC6">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15.1.4</w:t>
      </w:r>
      <w:r>
        <w:rPr>
          <w:rFonts w:hint="eastAsia" w:ascii="宋体" w:hAnsi="宋体" w:eastAsia="宋体" w:cs="宋体"/>
          <w:snapToGrid w:val="0"/>
          <w:color w:val="auto"/>
          <w:kern w:val="0"/>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4C16FF7">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15.2</w:t>
      </w:r>
      <w:r>
        <w:rPr>
          <w:rFonts w:hint="eastAsia" w:ascii="宋体" w:hAnsi="宋体" w:eastAsia="宋体" w:cs="宋体"/>
          <w:bCs/>
          <w:snapToGrid w:val="0"/>
          <w:color w:val="auto"/>
          <w:kern w:val="0"/>
          <w:szCs w:val="22"/>
          <w:highlight w:val="none"/>
        </w:rPr>
        <w:t xml:space="preserve"> 评标方法</w:t>
      </w:r>
    </w:p>
    <w:p w14:paraId="169559CB">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i/>
          <w:iCs/>
          <w:snapToGrid w:val="0"/>
          <w:color w:val="auto"/>
          <w:kern w:val="0"/>
          <w:highlight w:val="none"/>
        </w:rPr>
      </w:pPr>
      <w:r>
        <w:rPr>
          <w:rFonts w:hint="eastAsia" w:ascii="宋体" w:hAnsi="宋体" w:eastAsia="宋体" w:cs="宋体"/>
          <w:snapToGrid w:val="0"/>
          <w:color w:val="auto"/>
          <w:kern w:val="0"/>
          <w:highlight w:val="none"/>
        </w:rPr>
        <w:t>根据有关法律、法规的相关规定，结合本招标项目资金来源和规模特点，本次招标采用</w:t>
      </w:r>
      <w:r>
        <w:rPr>
          <w:rFonts w:hint="eastAsia" w:ascii="宋体" w:hAnsi="宋体" w:eastAsia="宋体" w:cs="宋体"/>
          <w:snapToGrid w:val="0"/>
          <w:color w:val="auto"/>
          <w:kern w:val="0"/>
          <w:highlight w:val="none"/>
          <w:u w:val="single"/>
        </w:rPr>
        <w:t>综合评估法</w:t>
      </w:r>
      <w:r>
        <w:rPr>
          <w:rFonts w:hint="eastAsia" w:ascii="宋体" w:hAnsi="宋体" w:eastAsia="宋体" w:cs="宋体"/>
          <w:snapToGrid w:val="0"/>
          <w:color w:val="auto"/>
          <w:kern w:val="0"/>
          <w:highlight w:val="none"/>
        </w:rPr>
        <w:t>进行评标。</w:t>
      </w:r>
    </w:p>
    <w:p w14:paraId="61050AC4">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15.3</w:t>
      </w:r>
      <w:r>
        <w:rPr>
          <w:rFonts w:hint="eastAsia" w:ascii="宋体" w:hAnsi="宋体" w:eastAsia="宋体" w:cs="宋体"/>
          <w:bCs/>
          <w:snapToGrid w:val="0"/>
          <w:color w:val="auto"/>
          <w:kern w:val="0"/>
          <w:szCs w:val="22"/>
          <w:highlight w:val="none"/>
        </w:rPr>
        <w:t xml:space="preserve"> 评审范围</w:t>
      </w:r>
      <w:r>
        <w:rPr>
          <w:rFonts w:hint="eastAsia" w:ascii="宋体" w:hAnsi="宋体" w:eastAsia="宋体" w:cs="宋体"/>
          <w:snapToGrid w:val="0"/>
          <w:color w:val="auto"/>
          <w:kern w:val="0"/>
          <w:highlight w:val="none"/>
        </w:rPr>
        <w:t>：评标委员会应对所有投标人的投标文件进行评审。</w:t>
      </w:r>
    </w:p>
    <w:p w14:paraId="1B25F04C">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w:t>
      </w:r>
      <w:r>
        <w:rPr>
          <w:rFonts w:hint="eastAsia" w:ascii="宋体" w:hAnsi="宋体" w:eastAsia="宋体" w:cs="宋体"/>
          <w:snapToGrid w:val="0"/>
          <w:color w:val="auto"/>
          <w:kern w:val="0"/>
          <w:highlight w:val="none"/>
        </w:rPr>
        <w:t xml:space="preserve"> 初步评审阶段</w:t>
      </w:r>
    </w:p>
    <w:p w14:paraId="670B4CF3">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初步评审阶段分为资格评审、形式评审和响应性评审三个环节。</w:t>
      </w:r>
    </w:p>
    <w:p w14:paraId="5C86BFD5">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15.4.1</w:t>
      </w:r>
      <w:r>
        <w:rPr>
          <w:rFonts w:hint="eastAsia" w:ascii="宋体" w:hAnsi="宋体" w:eastAsia="宋体" w:cs="宋体"/>
          <w:snapToGrid w:val="0"/>
          <w:color w:val="auto"/>
          <w:kern w:val="0"/>
          <w:highlight w:val="none"/>
        </w:rPr>
        <w:t xml:space="preserve"> 资格评审环节</w:t>
      </w:r>
    </w:p>
    <w:p w14:paraId="56404FBD">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资格评审事项包括：</w:t>
      </w:r>
    </w:p>
    <w:p w14:paraId="4AE516BA">
      <w:pPr>
        <w:pageBreakBefore w:val="0"/>
        <w:widowControl w:val="0"/>
        <w:numPr>
          <w:ilvl w:val="0"/>
          <w:numId w:val="0"/>
        </w:numPr>
        <w:kinsoku/>
        <w:wordWrap w:val="0"/>
        <w:overflowPunct/>
        <w:topLinePunct w:val="0"/>
        <w:bidi w:val="0"/>
        <w:adjustRightInd w:val="0"/>
        <w:snapToGrid w:val="0"/>
        <w:spacing w:line="351" w:lineRule="auto"/>
        <w:ind w:left="0" w:firstLine="480" w:firstLineChars="200"/>
        <w:jc w:val="left"/>
        <w:textAlignment w:val="auto"/>
        <w:rPr>
          <w:rFonts w:hint="eastAsia" w:ascii="宋体" w:hAnsi="宋体" w:eastAsia="宋体" w:cs="宋体"/>
          <w:color w:val="auto"/>
          <w:kern w:val="0"/>
          <w:highlight w:val="none"/>
        </w:rPr>
      </w:pPr>
      <w:r>
        <w:rPr>
          <w:rFonts w:hint="eastAsia" w:ascii="宋体" w:hAnsi="宋体" w:eastAsia="宋体" w:cs="宋体"/>
          <w:color w:val="auto"/>
          <w:kern w:val="0"/>
          <w:sz w:val="24"/>
          <w:lang w:val="en-US" w:eastAsia="zh-CN" w:bidi="ar-SA"/>
        </w:rPr>
        <w:t>（1）</w:t>
      </w:r>
      <w:r>
        <w:rPr>
          <w:rFonts w:hint="eastAsia" w:ascii="宋体" w:hAnsi="宋体" w:eastAsia="宋体" w:cs="宋体"/>
          <w:color w:val="auto"/>
          <w:kern w:val="0"/>
          <w:highlight w:val="none"/>
        </w:rPr>
        <w:t>投标人是否符合本章第三节第</w:t>
      </w:r>
      <w:r>
        <w:rPr>
          <w:rFonts w:hint="eastAsia" w:hAnsi="宋体" w:eastAsia="宋体" w:cs="宋体"/>
          <w:b/>
          <w:bCs/>
          <w:color w:val="auto"/>
          <w:kern w:val="0"/>
          <w:highlight w:val="none"/>
          <w:lang w:val="en-US" w:eastAsia="zh-CN"/>
        </w:rPr>
        <w:t>4</w:t>
      </w:r>
      <w:r>
        <w:rPr>
          <w:rFonts w:hint="eastAsia" w:ascii="宋体" w:hAnsi="宋体" w:eastAsia="宋体" w:cs="宋体"/>
          <w:b/>
          <w:bCs/>
          <w:color w:val="auto"/>
          <w:kern w:val="0"/>
          <w:highlight w:val="none"/>
        </w:rPr>
        <w:t>.4</w:t>
      </w:r>
      <w:r>
        <w:rPr>
          <w:rFonts w:hint="eastAsia" w:hAnsi="宋体" w:eastAsia="宋体" w:cs="宋体"/>
          <w:b/>
          <w:bCs/>
          <w:color w:val="auto"/>
          <w:kern w:val="0"/>
          <w:highlight w:val="none"/>
          <w:lang w:val="en-US" w:eastAsia="zh-CN"/>
        </w:rPr>
        <w:t>.</w:t>
      </w:r>
      <w:r>
        <w:rPr>
          <w:rFonts w:hint="eastAsia" w:ascii="宋体" w:hAnsi="宋体" w:eastAsia="宋体" w:cs="宋体"/>
          <w:color w:val="auto"/>
          <w:kern w:val="0"/>
          <w:highlight w:val="none"/>
        </w:rPr>
        <w:t xml:space="preserve">条“禁止投标条款”规定。 </w:t>
      </w:r>
    </w:p>
    <w:p w14:paraId="00EB3BB1">
      <w:pPr>
        <w:pageBreakBefore w:val="0"/>
        <w:widowControl w:val="0"/>
        <w:numPr>
          <w:ilvl w:val="0"/>
          <w:numId w:val="0"/>
        </w:numPr>
        <w:kinsoku/>
        <w:wordWrap w:val="0"/>
        <w:overflowPunct/>
        <w:topLinePunct w:val="0"/>
        <w:bidi w:val="0"/>
        <w:adjustRightInd w:val="0"/>
        <w:snapToGrid w:val="0"/>
        <w:spacing w:line="351" w:lineRule="auto"/>
        <w:ind w:left="0" w:firstLine="480" w:firstLineChars="200"/>
        <w:jc w:val="left"/>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sz w:val="24"/>
          <w:lang w:val="en-US" w:eastAsia="zh-CN" w:bidi="ar-SA"/>
        </w:rPr>
        <w:t>（2）</w:t>
      </w:r>
      <w:r>
        <w:rPr>
          <w:rFonts w:hint="eastAsia" w:ascii="宋体" w:hAnsi="宋体" w:eastAsia="宋体" w:cs="宋体"/>
          <w:snapToGrid w:val="0"/>
          <w:color w:val="auto"/>
          <w:kern w:val="0"/>
          <w:highlight w:val="none"/>
        </w:rPr>
        <w:t>投标人名称是否与营业执照、资质证书、安全生产许可证一致。</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若是以分公司名义投标，总公司名称</w:t>
      </w:r>
      <w:r>
        <w:rPr>
          <w:rFonts w:hint="eastAsia" w:ascii="宋体" w:hAnsi="宋体" w:eastAsia="宋体" w:cs="宋体"/>
          <w:snapToGrid w:val="0"/>
          <w:color w:val="auto"/>
          <w:kern w:val="0"/>
          <w:highlight w:val="none"/>
        </w:rPr>
        <w:t>是否与营业执照、资质证书、安全生产许可证一致。</w:t>
      </w:r>
      <w:r>
        <w:rPr>
          <w:rFonts w:hint="eastAsia" w:ascii="宋体" w:hAnsi="宋体" w:eastAsia="宋体" w:cs="宋体"/>
          <w:snapToGrid w:val="0"/>
          <w:color w:val="auto"/>
          <w:kern w:val="0"/>
          <w:highlight w:val="none"/>
          <w:lang w:val="en-US" w:eastAsia="zh-CN"/>
        </w:rPr>
        <w:t>)</w:t>
      </w:r>
    </w:p>
    <w:p w14:paraId="0625781F">
      <w:pPr>
        <w:pageBreakBefore w:val="0"/>
        <w:widowControl w:val="0"/>
        <w:kinsoku/>
        <w:wordWrap w:val="0"/>
        <w:overflowPunct/>
        <w:topLinePunct w:val="0"/>
        <w:bidi w:val="0"/>
        <w:adjustRightInd w:val="0"/>
        <w:snapToGrid w:val="0"/>
        <w:spacing w:line="351" w:lineRule="auto"/>
        <w:ind w:left="0" w:firstLine="480" w:firstLineChars="200"/>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w:t>
      </w:r>
      <w:r>
        <w:rPr>
          <w:rFonts w:hint="eastAsia" w:ascii="宋体" w:hAnsi="宋体" w:eastAsia="宋体" w:cs="宋体"/>
          <w:color w:val="auto"/>
          <w:kern w:val="0"/>
          <w:highlight w:val="none"/>
        </w:rPr>
        <w:t>投标人的资质是否符合招标文件规定；其营业执照、资质证书、安全生产许可证是否合法、有效、准确。</w:t>
      </w:r>
    </w:p>
    <w:p w14:paraId="70E4DB8E">
      <w:pPr>
        <w:pageBreakBefore w:val="0"/>
        <w:widowControl w:val="0"/>
        <w:kinsoku/>
        <w:wordWrap w:val="0"/>
        <w:overflowPunct/>
        <w:topLinePunct w:val="0"/>
        <w:bidi w:val="0"/>
        <w:adjustRightInd w:val="0"/>
        <w:snapToGrid w:val="0"/>
        <w:spacing w:line="351" w:lineRule="auto"/>
        <w:ind w:left="0" w:firstLine="480" w:firstLineChars="200"/>
        <w:jc w:val="left"/>
        <w:textAlignment w:val="auto"/>
        <w:rPr>
          <w:rFonts w:hint="eastAsia" w:ascii="宋体" w:hAnsi="宋体" w:eastAsia="宋体" w:cs="宋体"/>
          <w:snapToGrid w:val="0"/>
          <w:color w:val="auto"/>
          <w:kern w:val="0"/>
          <w:highlight w:val="none"/>
        </w:rPr>
      </w:pPr>
      <w:bookmarkStart w:id="168" w:name="_Toc29971"/>
      <w:r>
        <w:rPr>
          <w:rFonts w:hint="eastAsia" w:ascii="宋体" w:hAnsi="宋体" w:eastAsia="宋体" w:cs="宋体"/>
          <w:snapToGrid w:val="0"/>
          <w:color w:val="auto"/>
          <w:kern w:val="0"/>
          <w:highlight w:val="none"/>
        </w:rPr>
        <w:t>（4）《项目经理简历表》中拟派项目经理是否与《开标一览表》一致</w:t>
      </w:r>
      <w:bookmarkEnd w:id="168"/>
      <w:r>
        <w:rPr>
          <w:rFonts w:hint="eastAsia" w:ascii="宋体" w:hAnsi="宋体" w:eastAsia="宋体" w:cs="宋体"/>
          <w:snapToGrid w:val="0"/>
          <w:color w:val="auto"/>
          <w:kern w:val="0"/>
          <w:highlight w:val="none"/>
        </w:rPr>
        <w:t>。</w:t>
      </w:r>
    </w:p>
    <w:p w14:paraId="0D8944D6">
      <w:pPr>
        <w:pageBreakBefore w:val="0"/>
        <w:widowControl w:val="0"/>
        <w:kinsoku/>
        <w:overflowPunct/>
        <w:topLinePunct w:val="0"/>
        <w:bidi w:val="0"/>
        <w:spacing w:line="351" w:lineRule="auto"/>
        <w:ind w:left="0"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（5）</w:t>
      </w:r>
      <w:r>
        <w:rPr>
          <w:rFonts w:hint="eastAsia" w:ascii="宋体" w:hAnsi="宋体" w:eastAsia="宋体" w:cs="宋体"/>
          <w:color w:val="auto"/>
          <w:kern w:val="0"/>
          <w:highlight w:val="none"/>
        </w:rPr>
        <w:t>拟派项目经理、项目技术负责人</w:t>
      </w:r>
      <w:bookmarkStart w:id="384" w:name="_GoBack"/>
      <w:bookmarkEnd w:id="384"/>
      <w:r>
        <w:rPr>
          <w:rFonts w:hint="eastAsia" w:ascii="宋体" w:hAnsi="宋体" w:eastAsia="宋体" w:cs="宋体"/>
          <w:color w:val="auto"/>
          <w:kern w:val="0"/>
          <w:highlight w:val="none"/>
        </w:rPr>
        <w:t>、项目</w:t>
      </w:r>
      <w:r>
        <w:rPr>
          <w:rFonts w:hint="eastAsia" w:ascii="宋体" w:hAnsi="宋体" w:eastAsia="宋体" w:cs="宋体"/>
          <w:color w:val="auto"/>
          <w:sz w:val="24"/>
          <w:highlight w:val="none"/>
          <w:lang w:val="en-US" w:eastAsia="zh-CN"/>
        </w:rPr>
        <w:t>设计负责人、</w:t>
      </w:r>
      <w:r>
        <w:rPr>
          <w:rFonts w:hint="eastAsia" w:ascii="宋体" w:hAnsi="宋体" w:eastAsia="宋体" w:cs="宋体"/>
          <w:color w:val="auto"/>
          <w:kern w:val="0"/>
          <w:highlight w:val="none"/>
        </w:rPr>
        <w:t>专职安全员的条件是否符合招标文件规定；拟派的项目经理是否在投标文件《项目经理简历表》中签字确认；项目技术负责人是否在投标文件《项目技术负责人简历表》中签字确认；项目</w:t>
      </w:r>
      <w:r>
        <w:rPr>
          <w:rFonts w:hint="eastAsia" w:hAnsi="宋体" w:eastAsia="宋体" w:cs="宋体"/>
          <w:color w:val="auto"/>
          <w:kern w:val="0"/>
          <w:highlight w:val="none"/>
          <w:lang w:val="en-US" w:eastAsia="zh-CN"/>
        </w:rPr>
        <w:t>设计</w:t>
      </w:r>
      <w:r>
        <w:rPr>
          <w:rFonts w:hint="eastAsia" w:ascii="宋体" w:hAnsi="宋体" w:eastAsia="宋体" w:cs="宋体"/>
          <w:color w:val="auto"/>
          <w:kern w:val="0"/>
          <w:highlight w:val="none"/>
        </w:rPr>
        <w:t>负责人是否在投标文件</w:t>
      </w:r>
      <w:r>
        <w:rPr>
          <w:rFonts w:hint="eastAsia" w:hAnsi="宋体" w:eastAsia="宋体" w:cs="宋体"/>
          <w:color w:val="auto"/>
          <w:kern w:val="0"/>
          <w:highlight w:val="none"/>
          <w:lang w:eastAsia="zh-CN"/>
        </w:rPr>
        <w:t>《</w:t>
      </w:r>
      <w:r>
        <w:rPr>
          <w:rFonts w:hint="eastAsia" w:ascii="宋体" w:hAnsi="宋体" w:eastAsia="宋体" w:cs="宋体"/>
          <w:color w:val="auto"/>
          <w:kern w:val="0"/>
          <w:highlight w:val="none"/>
        </w:rPr>
        <w:t>项目设计负责人简历表</w:t>
      </w:r>
      <w:r>
        <w:rPr>
          <w:rFonts w:hint="eastAsia" w:hAnsi="宋体" w:eastAsia="宋体" w:cs="宋体"/>
          <w:color w:val="auto"/>
          <w:kern w:val="0"/>
          <w:highlight w:val="none"/>
          <w:lang w:eastAsia="zh-CN"/>
        </w:rPr>
        <w:t>》中签字确认；</w:t>
      </w:r>
      <w:r>
        <w:rPr>
          <w:rFonts w:hint="eastAsia" w:ascii="宋体" w:hAnsi="宋体" w:eastAsia="宋体" w:cs="宋体"/>
          <w:color w:val="auto"/>
          <w:kern w:val="0"/>
          <w:highlight w:val="none"/>
        </w:rPr>
        <w:t>是否擅自修改、遗漏《项目经理任职声明》的实质性内容</w:t>
      </w:r>
      <w:r>
        <w:rPr>
          <w:rFonts w:hint="eastAsia" w:ascii="宋体" w:hAnsi="宋体" w:eastAsia="宋体" w:cs="宋体"/>
          <w:color w:val="auto"/>
          <w:kern w:val="0"/>
          <w:highlight w:val="none"/>
          <w:lang w:eastAsia="zh-CN"/>
        </w:rPr>
        <w:t>。</w:t>
      </w:r>
    </w:p>
    <w:p w14:paraId="041AC329">
      <w:pPr>
        <w:pageBreakBefore w:val="0"/>
        <w:widowControl w:val="0"/>
        <w:kinsoku/>
        <w:overflowPunct/>
        <w:topLinePunct w:val="0"/>
        <w:bidi w:val="0"/>
        <w:spacing w:line="351"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kern w:val="0"/>
          <w:highlight w:val="none"/>
        </w:rPr>
        <w:t>联合体投标的，是否提交《联合体协议书》；是否擅自修改、遗漏《联合体协议书》的实质性内容；联合体成员的数量、资质是否符合招标文件规定；联合体成员是否以自己名义单独或者参加其他联合体参与本招标项目投标</w:t>
      </w:r>
      <w:r>
        <w:rPr>
          <w:rFonts w:hint="eastAsia" w:ascii="宋体" w:hAnsi="宋体" w:eastAsia="宋体" w:cs="宋体"/>
          <w:color w:val="auto"/>
          <w:highlight w:val="none"/>
        </w:rPr>
        <w:t>。</w:t>
      </w:r>
    </w:p>
    <w:p w14:paraId="1901900D">
      <w:pPr>
        <w:pageBreakBefore w:val="0"/>
        <w:widowControl w:val="0"/>
        <w:kinsoku/>
        <w:wordWrap w:val="0"/>
        <w:overflowPunct/>
        <w:topLinePunct w:val="0"/>
        <w:bidi w:val="0"/>
        <w:spacing w:line="351"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highlight w:val="none"/>
        </w:rPr>
        <w:t>（7）投标人为外省建筑企业的，是否按规定在“进粤企业和人员诚信信息登记平台”录入企业有关信息并通过数据规范检查。</w:t>
      </w:r>
    </w:p>
    <w:p w14:paraId="51EAAC86">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15.4.2</w:t>
      </w:r>
      <w:r>
        <w:rPr>
          <w:rFonts w:hint="eastAsia" w:ascii="宋体" w:hAnsi="宋体" w:eastAsia="宋体" w:cs="宋体"/>
          <w:snapToGrid w:val="0"/>
          <w:color w:val="auto"/>
          <w:kern w:val="0"/>
          <w:highlight w:val="none"/>
        </w:rPr>
        <w:t xml:space="preserve"> 形式评审环节</w:t>
      </w:r>
    </w:p>
    <w:p w14:paraId="736EE6B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形式评审事项包括：</w:t>
      </w:r>
    </w:p>
    <w:p w14:paraId="1601CA0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highlight w:val="none"/>
          <w:lang w:val="en-US" w:eastAsia="zh-CN"/>
        </w:rPr>
        <w:t>投标</w:t>
      </w:r>
      <w:r>
        <w:rPr>
          <w:rFonts w:hint="eastAsia" w:ascii="宋体" w:hAnsi="宋体" w:eastAsia="宋体" w:cs="宋体"/>
          <w:snapToGrid w:val="0"/>
          <w:color w:val="auto"/>
          <w:kern w:val="0"/>
          <w:highlight w:val="none"/>
        </w:rPr>
        <w:t>文件</w:t>
      </w:r>
      <w:r>
        <w:rPr>
          <w:rFonts w:hint="eastAsia" w:ascii="宋体" w:hAnsi="宋体" w:eastAsia="宋体" w:cs="宋体"/>
          <w:snapToGrid w:val="0"/>
          <w:color w:val="auto"/>
          <w:kern w:val="0"/>
          <w:highlight w:val="none"/>
          <w:lang w:val="en-US" w:eastAsia="zh-CN"/>
        </w:rPr>
        <w:t>是否按招标文件</w:t>
      </w:r>
      <w:r>
        <w:rPr>
          <w:rFonts w:hint="eastAsia" w:ascii="宋体" w:hAnsi="宋体" w:eastAsia="宋体" w:cs="宋体"/>
          <w:snapToGrid w:val="0"/>
          <w:color w:val="auto"/>
          <w:kern w:val="0"/>
          <w:highlight w:val="none"/>
        </w:rPr>
        <w:t>规定加盖电子印章。</w:t>
      </w:r>
    </w:p>
    <w:p w14:paraId="4D8E1E82">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（2）本节第10.2.2目中规定的“所有投标人均应提供”的组成内容（包括该组成内容的所附资料）是否完整、齐全。</w:t>
      </w:r>
    </w:p>
    <w:p w14:paraId="14C99E27">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15.4.3</w:t>
      </w:r>
      <w:r>
        <w:rPr>
          <w:rFonts w:hint="eastAsia" w:ascii="宋体" w:hAnsi="宋体" w:eastAsia="宋体" w:cs="宋体"/>
          <w:snapToGrid w:val="0"/>
          <w:color w:val="auto"/>
          <w:kern w:val="0"/>
          <w:highlight w:val="none"/>
        </w:rPr>
        <w:t xml:space="preserve"> 响应性评审环节</w:t>
      </w:r>
    </w:p>
    <w:p w14:paraId="1467A7A1">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响应性评审事项包括：</w:t>
      </w:r>
    </w:p>
    <w:p w14:paraId="41BE0AC7">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（1）投标有效期、质量标准、工期等是否响应招标文件实质性要求；是否擅自修改、遗漏《投标函》《各项承诺一览表》的实质性内容。</w:t>
      </w:r>
    </w:p>
    <w:p w14:paraId="28A11C45">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（2）编投标总价是否唯一；投标总价是否超出最高投标限价；投标人是否以低于成本的价格竞标。</w:t>
      </w:r>
    </w:p>
    <w:p w14:paraId="4403BC65">
      <w:pPr>
        <w:pageBreakBefore w:val="0"/>
        <w:widowControl w:val="0"/>
        <w:numPr>
          <w:ilvl w:val="0"/>
          <w:numId w:val="0"/>
        </w:numPr>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15.4.4</w:t>
      </w:r>
      <w:r>
        <w:rPr>
          <w:rFonts w:hint="eastAsia" w:ascii="宋体" w:hAnsi="宋体" w:eastAsia="宋体" w:cs="宋体"/>
          <w:snapToGrid w:val="0"/>
          <w:color w:val="auto"/>
          <w:kern w:val="0"/>
          <w:highlight w:val="none"/>
        </w:rPr>
        <w:t xml:space="preserve"> 否决投标说明</w:t>
      </w:r>
    </w:p>
    <w:p w14:paraId="0EB02A2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4E9672AB">
      <w:pPr>
        <w:pageBreakBefore w:val="0"/>
        <w:widowControl w:val="0"/>
        <w:kinsoku/>
        <w:wordWrap w:val="0"/>
        <w:overflowPunct/>
        <w:topLinePunct w:val="0"/>
        <w:bidi w:val="0"/>
        <w:adjustRightInd w:val="0"/>
        <w:snapToGrid w:val="0"/>
        <w:spacing w:line="351" w:lineRule="auto"/>
        <w:ind w:left="0"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rPr>
        <w:t>15.5</w:t>
      </w:r>
      <w:r>
        <w:rPr>
          <w:rFonts w:hint="eastAsia" w:ascii="宋体" w:hAnsi="宋体" w:eastAsia="宋体" w:cs="宋体"/>
          <w:snapToGrid w:val="0"/>
          <w:color w:val="auto"/>
          <w:kern w:val="0"/>
          <w:highlight w:val="none"/>
        </w:rPr>
        <w:t xml:space="preserve"> 详细评审阶段</w:t>
      </w:r>
    </w:p>
    <w:p w14:paraId="7C9536B2">
      <w:pPr>
        <w:pageBreakBefore w:val="0"/>
        <w:widowControl w:val="0"/>
        <w:kinsoku/>
        <w:overflowPunct/>
        <w:topLinePunct w:val="0"/>
        <w:bidi w:val="0"/>
        <w:adjustRightInd w:val="0"/>
        <w:snapToGrid w:val="0"/>
        <w:spacing w:line="351" w:lineRule="auto"/>
        <w:ind w:left="0" w:firstLine="482" w:firstLineChars="200"/>
        <w:textAlignment w:val="auto"/>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15.5.1</w:t>
      </w:r>
      <w:r>
        <w:rPr>
          <w:rFonts w:hint="eastAsia" w:ascii="宋体" w:hAnsi="宋体" w:eastAsia="宋体" w:cs="宋体"/>
          <w:bCs/>
          <w:snapToGrid w:val="0"/>
          <w:color w:val="auto"/>
          <w:kern w:val="0"/>
          <w:highlight w:val="none"/>
        </w:rPr>
        <w:t xml:space="preserve"> </w:t>
      </w:r>
      <w:r>
        <w:rPr>
          <w:rFonts w:hint="eastAsia" w:ascii="宋体" w:hAnsi="宋体" w:eastAsia="宋体" w:cs="宋体"/>
          <w:color w:val="auto"/>
          <w:highlight w:val="none"/>
        </w:rPr>
        <w:t>“综合评估法”评审程序</w:t>
      </w:r>
    </w:p>
    <w:p w14:paraId="62EFC6BE">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评审内容分为商务</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技术和投标报</w:t>
      </w:r>
      <w:r>
        <w:rPr>
          <w:rFonts w:hint="eastAsia" w:ascii="宋体" w:hAnsi="宋体" w:eastAsia="宋体" w:cs="宋体"/>
          <w:snapToGrid w:val="0"/>
          <w:color w:val="auto"/>
          <w:kern w:val="0"/>
          <w:highlight w:val="none"/>
          <w:lang w:val="en-US" w:eastAsia="zh-CN"/>
        </w:rPr>
        <w:t>价三</w:t>
      </w:r>
      <w:r>
        <w:rPr>
          <w:rFonts w:hint="eastAsia" w:ascii="宋体" w:hAnsi="宋体" w:eastAsia="宋体" w:cs="宋体"/>
          <w:snapToGrid w:val="0"/>
          <w:color w:val="auto"/>
          <w:kern w:val="0"/>
          <w:highlight w:val="none"/>
        </w:rPr>
        <w:t>大部分。其中，商务满分</w:t>
      </w:r>
      <w:r>
        <w:rPr>
          <w:rFonts w:hint="eastAsia" w:ascii="宋体" w:hAnsi="宋体" w:eastAsia="宋体" w:cs="宋体"/>
          <w:snapToGrid w:val="0"/>
          <w:color w:val="auto"/>
          <w:kern w:val="0"/>
          <w:highlight w:val="none"/>
          <w:u w:val="single"/>
          <w:lang w:val="en-US" w:eastAsia="zh-CN"/>
        </w:rPr>
        <w:t>50</w:t>
      </w:r>
      <w:r>
        <w:rPr>
          <w:rFonts w:hint="eastAsia" w:ascii="宋体" w:hAnsi="宋体" w:eastAsia="宋体" w:cs="宋体"/>
          <w:snapToGrid w:val="0"/>
          <w:color w:val="auto"/>
          <w:kern w:val="0"/>
          <w:highlight w:val="none"/>
        </w:rPr>
        <w:t>分，</w:t>
      </w:r>
      <w:r>
        <w:rPr>
          <w:rFonts w:hint="eastAsia" w:ascii="宋体" w:hAnsi="宋体" w:eastAsia="宋体" w:cs="宋体"/>
          <w:snapToGrid w:val="0"/>
          <w:color w:val="auto"/>
          <w:kern w:val="0"/>
          <w:highlight w:val="none"/>
          <w:lang w:val="en-US" w:eastAsia="zh-CN"/>
        </w:rPr>
        <w:t>技术满分为</w:t>
      </w:r>
      <w:r>
        <w:rPr>
          <w:rFonts w:hint="eastAsia" w:ascii="宋体" w:hAnsi="宋体" w:eastAsia="宋体" w:cs="宋体"/>
          <w:snapToGrid w:val="0"/>
          <w:color w:val="auto"/>
          <w:kern w:val="0"/>
          <w:highlight w:val="none"/>
          <w:u w:val="single"/>
          <w:lang w:val="en-US" w:eastAsia="zh-CN"/>
        </w:rPr>
        <w:t>30</w:t>
      </w:r>
      <w:r>
        <w:rPr>
          <w:rFonts w:hint="eastAsia" w:ascii="宋体" w:hAnsi="宋体" w:eastAsia="宋体" w:cs="宋体"/>
          <w:snapToGrid w:val="0"/>
          <w:color w:val="auto"/>
          <w:kern w:val="0"/>
          <w:highlight w:val="none"/>
          <w:lang w:val="en-US" w:eastAsia="zh-CN"/>
        </w:rPr>
        <w:t>分，</w:t>
      </w:r>
      <w:r>
        <w:rPr>
          <w:rFonts w:hint="eastAsia" w:ascii="宋体" w:hAnsi="宋体" w:eastAsia="宋体" w:cs="宋体"/>
          <w:snapToGrid w:val="0"/>
          <w:color w:val="auto"/>
          <w:kern w:val="0"/>
          <w:highlight w:val="none"/>
        </w:rPr>
        <w:t>投标报价满分</w:t>
      </w:r>
      <w:r>
        <w:rPr>
          <w:rFonts w:hint="eastAsia" w:ascii="宋体" w:hAnsi="宋体" w:eastAsia="宋体" w:cs="宋体"/>
          <w:snapToGrid w:val="0"/>
          <w:color w:val="auto"/>
          <w:kern w:val="0"/>
          <w:highlight w:val="none"/>
          <w:u w:val="single"/>
          <w:lang w:val="en-US" w:eastAsia="zh-CN"/>
        </w:rPr>
        <w:t>20</w:t>
      </w:r>
      <w:r>
        <w:rPr>
          <w:rFonts w:hint="eastAsia" w:ascii="宋体" w:hAnsi="宋体" w:eastAsia="宋体" w:cs="宋体"/>
          <w:snapToGrid w:val="0"/>
          <w:color w:val="auto"/>
          <w:kern w:val="0"/>
          <w:highlight w:val="none"/>
        </w:rPr>
        <w:t>分，</w:t>
      </w:r>
      <w:r>
        <w:rPr>
          <w:rFonts w:hint="eastAsia" w:ascii="宋体" w:hAnsi="宋体" w:eastAsia="宋体" w:cs="宋体"/>
          <w:snapToGrid w:val="0"/>
          <w:color w:val="auto"/>
          <w:kern w:val="0"/>
          <w:highlight w:val="none"/>
          <w:lang w:val="en-US" w:eastAsia="zh-CN"/>
        </w:rPr>
        <w:t>三</w:t>
      </w:r>
      <w:r>
        <w:rPr>
          <w:rFonts w:hint="eastAsia" w:ascii="宋体" w:hAnsi="宋体" w:eastAsia="宋体" w:cs="宋体"/>
          <w:snapToGrid w:val="0"/>
          <w:color w:val="auto"/>
          <w:kern w:val="0"/>
          <w:highlight w:val="none"/>
        </w:rPr>
        <w:t>大部分</w:t>
      </w:r>
      <w:r>
        <w:rPr>
          <w:rFonts w:hint="eastAsia" w:ascii="宋体" w:hAnsi="宋体" w:eastAsia="宋体" w:cs="宋体"/>
          <w:snapToGrid w:val="0"/>
          <w:color w:val="auto"/>
          <w:kern w:val="0"/>
          <w:highlight w:val="none"/>
          <w:lang w:val="en-US" w:eastAsia="zh-CN"/>
        </w:rPr>
        <w:t>得分满分为</w:t>
      </w:r>
      <w:r>
        <w:rPr>
          <w:rFonts w:hint="eastAsia" w:ascii="宋体" w:hAnsi="宋体" w:eastAsia="宋体" w:cs="宋体"/>
          <w:snapToGrid w:val="0"/>
          <w:color w:val="auto"/>
          <w:kern w:val="0"/>
          <w:highlight w:val="none"/>
          <w:u w:val="single"/>
          <w:lang w:val="en-US" w:eastAsia="zh-CN"/>
        </w:rPr>
        <w:t>100</w:t>
      </w:r>
      <w:r>
        <w:rPr>
          <w:rFonts w:hint="eastAsia" w:ascii="宋体" w:hAnsi="宋体" w:eastAsia="宋体" w:cs="宋体"/>
          <w:snapToGrid w:val="0"/>
          <w:color w:val="auto"/>
          <w:kern w:val="0"/>
          <w:highlight w:val="none"/>
          <w:lang w:val="en-US" w:eastAsia="zh-CN"/>
        </w:rPr>
        <w:t>分</w:t>
      </w:r>
      <w:r>
        <w:rPr>
          <w:rFonts w:hint="eastAsia" w:ascii="宋体" w:hAnsi="宋体" w:eastAsia="宋体" w:cs="宋体"/>
          <w:snapToGrid w:val="0"/>
          <w:color w:val="auto"/>
          <w:kern w:val="0"/>
          <w:highlight w:val="none"/>
        </w:rPr>
        <w:t>。</w:t>
      </w:r>
    </w:p>
    <w:p w14:paraId="3DEDC23C">
      <w:pPr>
        <w:pageBreakBefore w:val="0"/>
        <w:widowControl w:val="0"/>
        <w:kinsoku/>
        <w:wordWrap w:val="0"/>
        <w:overflowPunct/>
        <w:topLinePunct w:val="0"/>
        <w:bidi w:val="0"/>
        <w:adjustRightInd w:val="0"/>
        <w:snapToGrid w:val="0"/>
        <w:spacing w:line="351" w:lineRule="auto"/>
        <w:ind w:left="0"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除特别注明外，综合得分以及商务</w:t>
      </w:r>
      <w:r>
        <w:rPr>
          <w:rFonts w:hint="eastAsia" w:ascii="宋体" w:hAnsi="宋体" w:eastAsia="宋体" w:cs="宋体"/>
          <w:snapToGrid w:val="0"/>
          <w:color w:val="auto"/>
          <w:kern w:val="0"/>
          <w:highlight w:val="none"/>
          <w:lang w:val="en-US" w:eastAsia="zh-CN"/>
        </w:rPr>
        <w:t>得分、</w:t>
      </w:r>
      <w:r>
        <w:rPr>
          <w:rFonts w:hint="eastAsia" w:ascii="宋体" w:hAnsi="宋体" w:eastAsia="宋体" w:cs="宋体"/>
          <w:snapToGrid w:val="0"/>
          <w:color w:val="auto"/>
          <w:kern w:val="0"/>
          <w:highlight w:val="none"/>
        </w:rPr>
        <w:t>技术得分、投标报价得分的中间过程计算值和最终值，均按“四舍五入”原则精确到两位小数。</w:t>
      </w:r>
    </w:p>
    <w:p w14:paraId="3E165A6B">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bookmarkStart w:id="169" w:name="_Toc24996"/>
      <w:bookmarkStart w:id="170" w:name="_Toc27234"/>
      <w:bookmarkStart w:id="171" w:name="_Toc6974"/>
      <w:r>
        <w:rPr>
          <w:rFonts w:hint="eastAsia" w:ascii="宋体" w:hAnsi="宋体" w:eastAsia="宋体" w:cs="宋体"/>
          <w:bCs/>
          <w:color w:val="auto"/>
          <w:highlight w:val="none"/>
        </w:rPr>
        <w:t>（1）商务部分得分</w:t>
      </w:r>
    </w:p>
    <w:p w14:paraId="658CD56A">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①评标委员会各成员独立按照《综合评分表》商务部分指定的评分标准对各评分因素进行打分。各评分因素得分之和即为某投标人的商务部分得分。</w:t>
      </w:r>
    </w:p>
    <w:p w14:paraId="4783FA34">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②全体评委对该投标人的商务部分总评分取平均值，按“四舍五入”原则精确到两位小数即为该投标人商务部分的最终得分。</w:t>
      </w:r>
    </w:p>
    <w:p w14:paraId="6651A02D">
      <w:pPr>
        <w:pStyle w:val="36"/>
        <w:pageBreakBefore w:val="0"/>
        <w:widowControl w:val="0"/>
        <w:numPr>
          <w:ilvl w:val="0"/>
          <w:numId w:val="0"/>
        </w:numPr>
        <w:kinsoku/>
        <w:overflowPunct/>
        <w:topLinePunct w:val="0"/>
        <w:autoSpaceDE w:val="0"/>
        <w:autoSpaceDN w:val="0"/>
        <w:bidi w:val="0"/>
        <w:adjustRightInd w:val="0"/>
        <w:spacing w:line="351" w:lineRule="auto"/>
        <w:ind w:left="0" w:leftChars="0" w:firstLine="480" w:firstLineChars="200"/>
        <w:textAlignment w:val="auto"/>
        <w:rPr>
          <w:rFonts w:hint="eastAsia" w:ascii="宋体" w:hAnsi="宋体" w:eastAsia="宋体" w:cs="宋体"/>
          <w:bCs/>
          <w:color w:val="auto"/>
          <w:highlight w:val="none"/>
          <w:lang w:val="en-US" w:eastAsia="zh-CN"/>
        </w:rPr>
      </w:pPr>
      <w:r>
        <w:rPr>
          <w:rFonts w:hint="eastAsia" w:ascii="宋体" w:hAnsi="宋体" w:eastAsia="宋体" w:cs="宋体"/>
          <w:bCs/>
          <w:color w:val="auto"/>
          <w:kern w:val="2"/>
          <w:sz w:val="24"/>
          <w:lang w:val="en-US" w:eastAsia="zh-CN" w:bidi="ar-SA"/>
        </w:rPr>
        <w:t>（2）</w:t>
      </w:r>
      <w:r>
        <w:rPr>
          <w:rFonts w:hint="eastAsia" w:ascii="宋体" w:hAnsi="宋体" w:eastAsia="宋体" w:cs="宋体"/>
          <w:bCs/>
          <w:color w:val="auto"/>
          <w:highlight w:val="none"/>
          <w:lang w:val="en-US" w:eastAsia="zh-CN"/>
        </w:rPr>
        <w:t>技术部分得分</w:t>
      </w:r>
    </w:p>
    <w:p w14:paraId="725BAAD7">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lang w:val="en-US" w:eastAsia="zh-CN"/>
        </w:rPr>
      </w:pPr>
      <w:r>
        <w:rPr>
          <w:rFonts w:hint="eastAsia" w:ascii="宋体" w:hAnsi="宋体" w:eastAsia="宋体" w:cs="宋体"/>
          <w:bCs/>
          <w:color w:val="auto"/>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w:t>
      </w:r>
      <w:r>
        <w:rPr>
          <w:rFonts w:hint="eastAsia" w:ascii="宋体" w:hAnsi="宋体" w:eastAsia="宋体" w:cs="宋体"/>
          <w:bCs/>
          <w:color w:val="auto"/>
          <w:highlight w:val="none"/>
          <w:lang w:eastAsia="zh-CN"/>
        </w:rPr>
        <w:t>。</w:t>
      </w:r>
    </w:p>
    <w:p w14:paraId="5E535C85">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3）</w:t>
      </w:r>
      <w:r>
        <w:rPr>
          <w:rFonts w:hint="eastAsia" w:ascii="宋体" w:hAnsi="宋体" w:eastAsia="宋体" w:cs="宋体"/>
          <w:bCs/>
          <w:color w:val="auto"/>
          <w:highlight w:val="none"/>
          <w:lang w:eastAsia="zh-CN"/>
        </w:rPr>
        <w:t>投标报价部分</w:t>
      </w:r>
    </w:p>
    <w:p w14:paraId="24C98C88">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lang w:eastAsia="zh-CN"/>
        </w:rPr>
        <w:t>投标报价部分</w:t>
      </w:r>
      <w:r>
        <w:rPr>
          <w:rFonts w:hint="eastAsia" w:ascii="宋体" w:hAnsi="宋体" w:eastAsia="宋体" w:cs="宋体"/>
          <w:bCs/>
          <w:color w:val="auto"/>
          <w:highlight w:val="none"/>
        </w:rPr>
        <w:t>评分方法详见《综合评分表》。</w:t>
      </w:r>
    </w:p>
    <w:p w14:paraId="62EB671C">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4</w:t>
      </w:r>
      <w:r>
        <w:rPr>
          <w:rFonts w:hint="eastAsia" w:ascii="宋体" w:hAnsi="宋体" w:eastAsia="宋体" w:cs="宋体"/>
          <w:bCs/>
          <w:color w:val="auto"/>
          <w:highlight w:val="none"/>
        </w:rPr>
        <w:t>）综合得分</w:t>
      </w:r>
    </w:p>
    <w:p w14:paraId="02F98B65">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rPr>
        <w:t>综合得分=商务部分得分+</w:t>
      </w:r>
      <w:r>
        <w:rPr>
          <w:rFonts w:hint="eastAsia" w:ascii="宋体" w:hAnsi="宋体" w:eastAsia="宋体" w:cs="宋体"/>
          <w:bCs/>
          <w:color w:val="auto"/>
          <w:highlight w:val="none"/>
          <w:lang w:val="en-US" w:eastAsia="zh-CN"/>
        </w:rPr>
        <w:t>技术部分得分+</w:t>
      </w:r>
      <w:r>
        <w:rPr>
          <w:rFonts w:hint="eastAsia" w:ascii="宋体" w:hAnsi="宋体" w:eastAsia="宋体" w:cs="宋体"/>
          <w:bCs/>
          <w:color w:val="auto"/>
          <w:highlight w:val="none"/>
          <w:lang w:eastAsia="zh-CN"/>
        </w:rPr>
        <w:t>投标报价部分</w:t>
      </w:r>
    </w:p>
    <w:p w14:paraId="4EDDA1A1">
      <w:pPr>
        <w:pStyle w:val="36"/>
        <w:pageBreakBefore w:val="0"/>
        <w:widowControl w:val="0"/>
        <w:kinsoku/>
        <w:overflowPunct/>
        <w:topLinePunct w:val="0"/>
        <w:autoSpaceDE w:val="0"/>
        <w:autoSpaceDN w:val="0"/>
        <w:bidi w:val="0"/>
        <w:adjustRightInd w:val="0"/>
        <w:spacing w:line="351" w:lineRule="auto"/>
        <w:ind w:left="0" w:firstLine="48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130FCD51">
      <w:pPr>
        <w:pStyle w:val="4"/>
        <w:widowControl/>
        <w:spacing w:before="0" w:after="0" w:line="480" w:lineRule="exact"/>
        <w:ind w:firstLine="420"/>
        <w:jc w:val="center"/>
        <w:rPr>
          <w:rFonts w:hint="eastAsia" w:ascii="宋体" w:hAnsi="宋体" w:eastAsia="宋体" w:cs="宋体"/>
          <w:b/>
          <w:bCs/>
          <w:color w:val="auto"/>
          <w:sz w:val="32"/>
          <w:szCs w:val="22"/>
          <w:highlight w:val="none"/>
        </w:rPr>
      </w:pPr>
      <w:r>
        <w:rPr>
          <w:rFonts w:hint="eastAsia" w:ascii="宋体" w:hAnsi="宋体" w:eastAsia="宋体" w:cs="宋体"/>
          <w:b/>
          <w:bCs/>
          <w:color w:val="auto"/>
          <w:sz w:val="32"/>
          <w:szCs w:val="22"/>
          <w:highlight w:val="none"/>
        </w:rPr>
        <w:br w:type="page"/>
      </w:r>
      <w:bookmarkStart w:id="172" w:name="_Toc2069"/>
      <w:bookmarkStart w:id="173" w:name="_Toc16866"/>
      <w:bookmarkStart w:id="174" w:name="_Toc5217"/>
      <w:r>
        <w:rPr>
          <w:rFonts w:hint="eastAsia" w:ascii="宋体" w:hAnsi="宋体" w:eastAsia="宋体" w:cs="宋体"/>
          <w:b/>
          <w:bCs/>
          <w:color w:val="auto"/>
          <w:sz w:val="28"/>
          <w:szCs w:val="21"/>
          <w:highlight w:val="none"/>
        </w:rPr>
        <w:t>综合评分表</w:t>
      </w:r>
      <w:bookmarkEnd w:id="169"/>
      <w:bookmarkEnd w:id="170"/>
      <w:bookmarkEnd w:id="171"/>
      <w:bookmarkEnd w:id="172"/>
      <w:bookmarkEnd w:id="173"/>
      <w:bookmarkEnd w:id="174"/>
    </w:p>
    <w:tbl>
      <w:tblPr>
        <w:tblStyle w:val="25"/>
        <w:tblW w:w="10262" w:type="dxa"/>
        <w:jc w:val="center"/>
        <w:tblLayout w:type="fixed"/>
        <w:tblCellMar>
          <w:top w:w="0" w:type="dxa"/>
          <w:left w:w="108" w:type="dxa"/>
          <w:bottom w:w="0" w:type="dxa"/>
          <w:right w:w="108" w:type="dxa"/>
        </w:tblCellMar>
      </w:tblPr>
      <w:tblGrid>
        <w:gridCol w:w="836"/>
        <w:gridCol w:w="414"/>
        <w:gridCol w:w="669"/>
        <w:gridCol w:w="3425"/>
        <w:gridCol w:w="4918"/>
      </w:tblGrid>
      <w:tr w14:paraId="453C3643">
        <w:tblPrEx>
          <w:tblCellMar>
            <w:top w:w="0" w:type="dxa"/>
            <w:left w:w="108" w:type="dxa"/>
            <w:bottom w:w="0" w:type="dxa"/>
            <w:right w:w="108" w:type="dxa"/>
          </w:tblCellMar>
        </w:tblPrEx>
        <w:trPr>
          <w:trHeight w:val="0" w:hRule="atLeast"/>
          <w:jc w:val="center"/>
        </w:trPr>
        <w:tc>
          <w:tcPr>
            <w:tcW w:w="10262" w:type="dxa"/>
            <w:gridSpan w:val="5"/>
            <w:tcBorders>
              <w:top w:val="single" w:color="auto" w:sz="4" w:space="0"/>
              <w:left w:val="single" w:color="auto" w:sz="4" w:space="0"/>
              <w:bottom w:val="single" w:color="auto" w:sz="4" w:space="0"/>
              <w:right w:val="single" w:color="auto" w:sz="4" w:space="0"/>
            </w:tcBorders>
            <w:shd w:val="clear" w:color="auto" w:fill="D7D7D7"/>
            <w:noWrap w:val="0"/>
            <w:vAlign w:val="center"/>
          </w:tcPr>
          <w:p w14:paraId="081D1135">
            <w:pPr>
              <w:pStyle w:val="8"/>
              <w:tabs>
                <w:tab w:val="left" w:pos="1354"/>
                <w:tab w:val="left" w:pos="1459"/>
                <w:tab w:val="center" w:pos="3902"/>
                <w:tab w:val="right" w:pos="7805"/>
              </w:tabs>
              <w:wordWrap w:val="0"/>
              <w:adjustRightInd w:val="0"/>
              <w:snapToGrid w:val="0"/>
              <w:spacing w:after="0"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50</w:t>
            </w:r>
            <w:r>
              <w:rPr>
                <w:rFonts w:hint="eastAsia" w:ascii="宋体" w:hAnsi="宋体" w:eastAsia="宋体" w:cs="宋体"/>
                <w:b/>
                <w:bCs/>
                <w:snapToGrid w:val="0"/>
                <w:color w:val="auto"/>
                <w:kern w:val="0"/>
                <w:sz w:val="24"/>
                <w:szCs w:val="24"/>
                <w:highlight w:val="none"/>
              </w:rPr>
              <w:t>分。</w:t>
            </w:r>
          </w:p>
        </w:tc>
      </w:tr>
      <w:tr w14:paraId="23499C17">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465A482E">
            <w:pPr>
              <w:pStyle w:val="8"/>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469072F">
            <w:pPr>
              <w:pStyle w:val="8"/>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36AED7F2">
            <w:pPr>
              <w:pStyle w:val="8"/>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3C31341D">
        <w:tblPrEx>
          <w:tblCellMar>
            <w:top w:w="0" w:type="dxa"/>
            <w:left w:w="108" w:type="dxa"/>
            <w:bottom w:w="0" w:type="dxa"/>
            <w:right w:w="108" w:type="dxa"/>
          </w:tblCellMar>
        </w:tblPrEx>
        <w:trPr>
          <w:trHeight w:val="0" w:hRule="atLeast"/>
          <w:jc w:val="center"/>
        </w:trPr>
        <w:tc>
          <w:tcPr>
            <w:tcW w:w="836" w:type="dxa"/>
            <w:vMerge w:val="restart"/>
            <w:tcBorders>
              <w:top w:val="single" w:color="auto" w:sz="4" w:space="0"/>
              <w:left w:val="single" w:color="auto" w:sz="4" w:space="0"/>
              <w:right w:val="single" w:color="auto" w:sz="4" w:space="0"/>
            </w:tcBorders>
            <w:noWrap w:val="0"/>
            <w:vAlign w:val="center"/>
          </w:tcPr>
          <w:p w14:paraId="5F2A5961">
            <w:pPr>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施工</w:t>
            </w:r>
            <w:r>
              <w:rPr>
                <w:rFonts w:hint="eastAsia" w:ascii="宋体" w:hAnsi="宋体" w:eastAsia="宋体" w:cs="宋体"/>
                <w:snapToGrid w:val="0"/>
                <w:color w:val="auto"/>
                <w:kern w:val="0"/>
                <w:sz w:val="24"/>
                <w:szCs w:val="24"/>
                <w:highlight w:val="none"/>
              </w:rPr>
              <w:t>企业</w:t>
            </w:r>
            <w:r>
              <w:rPr>
                <w:rFonts w:hint="eastAsia" w:ascii="宋体" w:hAnsi="宋体" w:eastAsia="宋体" w:cs="宋体"/>
                <w:snapToGrid w:val="0"/>
                <w:color w:val="auto"/>
                <w:kern w:val="0"/>
                <w:sz w:val="24"/>
                <w:szCs w:val="24"/>
                <w:highlight w:val="none"/>
                <w:lang w:val="en-US" w:eastAsia="zh-CN"/>
              </w:rPr>
              <w:t>（25分）</w:t>
            </w:r>
          </w:p>
          <w:p w14:paraId="1128F1E7">
            <w:pPr>
              <w:adjustRightInd w:val="0"/>
              <w:snapToGrid w:val="0"/>
              <w:spacing w:line="360" w:lineRule="auto"/>
              <w:jc w:val="center"/>
              <w:rPr>
                <w:rFonts w:hint="eastAsia" w:ascii="宋体" w:hAnsi="宋体" w:eastAsia="宋体" w:cs="宋体"/>
                <w:snapToGrid w:val="0"/>
                <w:color w:val="auto"/>
                <w:kern w:val="0"/>
                <w:sz w:val="24"/>
                <w:szCs w:val="24"/>
                <w:highlight w:val="yellow"/>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327907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w:t>
            </w:r>
            <w:r>
              <w:rPr>
                <w:rFonts w:hint="eastAsia" w:ascii="宋体" w:hAnsi="宋体" w:eastAsia="宋体" w:cs="宋体"/>
                <w:snapToGrid w:val="0"/>
                <w:color w:val="auto"/>
                <w:kern w:val="0"/>
                <w:sz w:val="24"/>
                <w:szCs w:val="24"/>
                <w:highlight w:val="none"/>
                <w:lang w:val="en-US" w:eastAsia="zh-CN"/>
              </w:rPr>
              <w:t>施工</w:t>
            </w:r>
            <w:r>
              <w:rPr>
                <w:rFonts w:hint="eastAsia" w:ascii="宋体" w:hAnsi="宋体" w:eastAsia="宋体" w:cs="宋体"/>
                <w:snapToGrid w:val="0"/>
                <w:color w:val="auto"/>
                <w:kern w:val="0"/>
                <w:sz w:val="24"/>
                <w:szCs w:val="24"/>
                <w:highlight w:val="none"/>
              </w:rPr>
              <w:t>业绩</w:t>
            </w:r>
          </w:p>
          <w:p w14:paraId="3D32D8D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59FD68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企业近年来（202</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年1月1日至今）业绩情况：</w:t>
            </w:r>
          </w:p>
          <w:p w14:paraId="3FCF721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rPr>
              <w:t>分。</w:t>
            </w:r>
          </w:p>
          <w:p w14:paraId="74713BE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过类似工程的，不予计分。</w:t>
            </w:r>
          </w:p>
          <w:p w14:paraId="76719C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本项最高得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 xml:space="preserve">分。 </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11BA185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1．类似工程指：光伏发电项目或10kV及以上输变电或配电工程项目施工。</w:t>
            </w:r>
          </w:p>
          <w:p w14:paraId="750D608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w:t>
            </w:r>
            <w:r>
              <w:rPr>
                <w:rFonts w:hint="eastAsia" w:ascii="宋体" w:hAnsi="宋体" w:eastAsia="宋体" w:cs="宋体"/>
                <w:snapToGrid w:val="0"/>
                <w:color w:val="auto"/>
                <w:kern w:val="0"/>
                <w:sz w:val="24"/>
                <w:szCs w:val="24"/>
                <w:highlight w:val="none"/>
                <w:lang w:val="en-US" w:eastAsia="zh-CN"/>
              </w:rPr>
              <w:t>中标通知书或</w:t>
            </w:r>
            <w:r>
              <w:rPr>
                <w:rFonts w:hint="eastAsia" w:ascii="宋体" w:hAnsi="宋体" w:eastAsia="宋体" w:cs="宋体"/>
                <w:snapToGrid w:val="0"/>
                <w:color w:val="auto"/>
                <w:kern w:val="0"/>
                <w:sz w:val="24"/>
                <w:szCs w:val="24"/>
                <w:highlight w:val="none"/>
              </w:rPr>
              <w:t>合同协议书和竣工验收报告扫描件（或打印件）。</w:t>
            </w:r>
          </w:p>
          <w:p w14:paraId="31E51F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bidi="ar"/>
              </w:rPr>
            </w:pPr>
            <w:r>
              <w:rPr>
                <w:rFonts w:hint="eastAsia" w:ascii="宋体" w:hAnsi="宋体" w:eastAsia="宋体" w:cs="宋体"/>
                <w:snapToGrid w:val="0"/>
                <w:color w:val="auto"/>
                <w:kern w:val="0"/>
                <w:sz w:val="24"/>
                <w:szCs w:val="24"/>
                <w:highlight w:val="none"/>
              </w:rPr>
              <w:t>3．业绩</w:t>
            </w:r>
            <w:r>
              <w:rPr>
                <w:rFonts w:hint="eastAsia" w:ascii="宋体" w:hAnsi="宋体" w:eastAsia="宋体" w:cs="宋体"/>
                <w:color w:val="auto"/>
                <w:sz w:val="24"/>
                <w:szCs w:val="24"/>
                <w:highlight w:val="none"/>
                <w:lang w:bidi="ar"/>
              </w:rPr>
              <w:t>时间以竣工报告日期为准。</w:t>
            </w:r>
          </w:p>
          <w:p w14:paraId="18619822">
            <w:pPr>
              <w:pStyle w:val="8"/>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b/>
                <w:bCs/>
                <w:color w:val="auto"/>
                <w:kern w:val="0"/>
                <w:sz w:val="24"/>
                <w:szCs w:val="24"/>
                <w:highlight w:val="none"/>
                <w:u w:val="none"/>
                <w:lang w:val="en-US" w:eastAsia="zh-CN"/>
              </w:rPr>
            </w:pPr>
            <w:r>
              <w:rPr>
                <w:rFonts w:hint="eastAsia" w:ascii="宋体" w:hAnsi="宋体" w:eastAsia="宋体" w:cs="宋体"/>
                <w:b/>
                <w:bCs/>
                <w:color w:val="auto"/>
                <w:kern w:val="0"/>
                <w:sz w:val="24"/>
                <w:szCs w:val="24"/>
                <w:highlight w:val="none"/>
                <w:u w:val="none"/>
                <w:lang w:val="en-US" w:eastAsia="zh-CN"/>
              </w:rPr>
              <w:t>4.若以联合体投标由联合体牵头人提供。</w:t>
            </w:r>
          </w:p>
          <w:p w14:paraId="52AAA60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．任一业绩有以下情形之一的，该业绩视为无效，不予计分：</w:t>
            </w:r>
          </w:p>
          <w:p w14:paraId="35B7C75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①未提供业绩证明材料扫描件的；</w:t>
            </w:r>
          </w:p>
          <w:p w14:paraId="60D405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②业绩不属于类似工程的；</w:t>
            </w:r>
          </w:p>
          <w:p w14:paraId="4DEFD8C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③不是以指定身份参建的；</w:t>
            </w:r>
          </w:p>
          <w:p w14:paraId="6CC4D9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snapToGrid w:val="0"/>
                <w:color w:val="auto"/>
                <w:kern w:val="0"/>
                <w:sz w:val="24"/>
                <w:szCs w:val="24"/>
                <w:highlight w:val="none"/>
              </w:rPr>
              <w:t>④业绩时间不符合要求的。</w:t>
            </w:r>
          </w:p>
        </w:tc>
      </w:tr>
      <w:tr w14:paraId="5EFCFAFF">
        <w:tblPrEx>
          <w:tblCellMar>
            <w:top w:w="0" w:type="dxa"/>
            <w:left w:w="108" w:type="dxa"/>
            <w:bottom w:w="0" w:type="dxa"/>
            <w:right w:w="108" w:type="dxa"/>
          </w:tblCellMar>
        </w:tblPrEx>
        <w:trPr>
          <w:trHeight w:val="0" w:hRule="atLeast"/>
          <w:jc w:val="center"/>
        </w:trPr>
        <w:tc>
          <w:tcPr>
            <w:tcW w:w="836" w:type="dxa"/>
            <w:vMerge w:val="continue"/>
            <w:tcBorders>
              <w:left w:val="single" w:color="auto" w:sz="4" w:space="0"/>
              <w:right w:val="single" w:color="auto" w:sz="4" w:space="0"/>
            </w:tcBorders>
            <w:noWrap w:val="0"/>
            <w:vAlign w:val="center"/>
          </w:tcPr>
          <w:p w14:paraId="39D5DFD4">
            <w:pPr>
              <w:adjustRightInd w:val="0"/>
              <w:snapToGrid w:val="0"/>
              <w:spacing w:line="360" w:lineRule="auto"/>
              <w:jc w:val="center"/>
              <w:rPr>
                <w:rFonts w:hint="eastAsia" w:ascii="宋体" w:hAnsi="宋体" w:eastAsia="宋体" w:cs="宋体"/>
                <w:snapToGrid w:val="0"/>
                <w:color w:val="auto"/>
                <w:kern w:val="0"/>
                <w:sz w:val="24"/>
                <w:szCs w:val="24"/>
                <w:highlight w:val="yellow"/>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46D6C0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企业管理体系认证</w:t>
            </w:r>
          </w:p>
          <w:p w14:paraId="0F7978C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b w:val="0"/>
                <w:bCs w:val="0"/>
                <w:snapToGrid w:val="0"/>
                <w:color w:val="auto"/>
                <w:kern w:val="0"/>
                <w:sz w:val="24"/>
                <w:szCs w:val="24"/>
                <w:highlight w:val="none"/>
                <w:lang w:val="en-US" w:eastAsia="zh-CN" w:bidi="ar"/>
              </w:rPr>
              <w:t>6</w:t>
            </w:r>
            <w:r>
              <w:rPr>
                <w:rFonts w:hint="eastAsia" w:ascii="宋体" w:hAnsi="宋体" w:eastAsia="宋体" w:cs="宋体"/>
                <w:snapToGrid w:val="0"/>
                <w:color w:val="auto"/>
                <w:kern w:val="0"/>
                <w:sz w:val="24"/>
                <w:szCs w:val="24"/>
                <w:highlight w:val="none"/>
                <w:lang w:bidi="ar"/>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37AFB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质量管理体系认证、职业健康安全管理体系认证、环境管理体系认证中，每获得1项认证得2分，最高得6分。</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6959C9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1．须提供相关有效期内的证书扫描件并盖公章，并在国家认证认可监督管理委员会官网（http://www.cnca.gov.cn/)可查，提供查询截图加盖公章。未按要求提供材料不得分。</w:t>
            </w:r>
          </w:p>
          <w:p w14:paraId="0C3916D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2．任一认证证书有以下情形之一的，该认证证书视为无效，不予计分：</w:t>
            </w:r>
          </w:p>
          <w:p w14:paraId="544EA98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①未提供认证证书扫描件的；</w:t>
            </w:r>
          </w:p>
          <w:p w14:paraId="332C8FB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②认证证书不在有效期内的。</w:t>
            </w:r>
          </w:p>
          <w:p w14:paraId="0245C48C">
            <w:pPr>
              <w:pStyle w:val="8"/>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3.如联合体投标的由联合体牵头方提供。</w:t>
            </w:r>
          </w:p>
        </w:tc>
      </w:tr>
      <w:tr w14:paraId="73761012">
        <w:tblPrEx>
          <w:tblCellMar>
            <w:top w:w="0" w:type="dxa"/>
            <w:left w:w="108" w:type="dxa"/>
            <w:bottom w:w="0" w:type="dxa"/>
            <w:right w:w="108" w:type="dxa"/>
          </w:tblCellMar>
        </w:tblPrEx>
        <w:trPr>
          <w:trHeight w:val="0" w:hRule="atLeast"/>
          <w:jc w:val="center"/>
        </w:trPr>
        <w:tc>
          <w:tcPr>
            <w:tcW w:w="836" w:type="dxa"/>
            <w:vMerge w:val="continue"/>
            <w:tcBorders>
              <w:left w:val="single" w:color="auto" w:sz="4" w:space="0"/>
              <w:right w:val="single" w:color="auto" w:sz="4" w:space="0"/>
            </w:tcBorders>
            <w:noWrap w:val="0"/>
            <w:vAlign w:val="center"/>
          </w:tcPr>
          <w:p w14:paraId="5B056D25">
            <w:pPr>
              <w:adjustRightInd w:val="0"/>
              <w:snapToGrid w:val="0"/>
              <w:spacing w:line="360" w:lineRule="auto"/>
              <w:jc w:val="center"/>
              <w:rPr>
                <w:rFonts w:hint="eastAsia" w:ascii="宋体" w:hAnsi="宋体" w:eastAsia="宋体" w:cs="宋体"/>
                <w:snapToGrid w:val="0"/>
                <w:color w:val="auto"/>
                <w:kern w:val="0"/>
                <w:sz w:val="24"/>
                <w:szCs w:val="24"/>
                <w:highlight w:val="yellow"/>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086B06D8">
            <w:pPr>
              <w:pStyle w:val="8"/>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企业安全质量管理</w:t>
            </w:r>
          </w:p>
          <w:p w14:paraId="0860812E">
            <w:pPr>
              <w:pStyle w:val="8"/>
              <w:keepNext w:val="0"/>
              <w:keepLines w:val="0"/>
              <w:pageBreakBefore w:val="0"/>
              <w:widowControl/>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（4分）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A9BE3BB">
            <w:pPr>
              <w:pStyle w:val="8"/>
              <w:numPr>
                <w:ilvl w:val="0"/>
                <w:numId w:val="0"/>
              </w:numPr>
              <w:wordWrap w:val="0"/>
              <w:adjustRightInd w:val="0"/>
              <w:snapToGrid w:val="0"/>
              <w:spacing w:after="0" w:line="360" w:lineRule="auto"/>
              <w:jc w:val="left"/>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rPr>
              <w:t>企业近年来（2022年1月1日至今）</w:t>
            </w:r>
            <w:r>
              <w:rPr>
                <w:rFonts w:hint="eastAsia" w:ascii="宋体" w:hAnsi="宋体" w:eastAsia="宋体" w:cs="宋体"/>
                <w:snapToGrid w:val="0"/>
                <w:color w:val="auto"/>
                <w:kern w:val="0"/>
                <w:sz w:val="24"/>
                <w:szCs w:val="24"/>
              </w:rPr>
              <w:t>投标人未发生事故等级为一般事故及以上的生产安全事故、一般质量事故及以上的工程质量事故的，得</w:t>
            </w:r>
            <w:r>
              <w:rPr>
                <w:rFonts w:hint="eastAsia" w:ascii="宋体" w:hAnsi="宋体" w:eastAsia="宋体" w:cs="宋体"/>
                <w:snapToGrid w:val="0"/>
                <w:color w:val="auto"/>
                <w:kern w:val="0"/>
                <w:sz w:val="24"/>
                <w:szCs w:val="24"/>
                <w:u w:val="none"/>
                <w:lang w:val="en-US" w:eastAsia="zh-CN"/>
              </w:rPr>
              <w:t>4</w:t>
            </w:r>
            <w:r>
              <w:rPr>
                <w:rFonts w:hint="eastAsia" w:ascii="宋体" w:hAnsi="宋体" w:eastAsia="宋体" w:cs="宋体"/>
                <w:snapToGrid w:val="0"/>
                <w:color w:val="auto"/>
                <w:kern w:val="0"/>
                <w:sz w:val="24"/>
                <w:szCs w:val="24"/>
              </w:rPr>
              <w:t>分；</w:t>
            </w:r>
          </w:p>
          <w:p w14:paraId="4BEE21AE">
            <w:pPr>
              <w:pStyle w:val="8"/>
              <w:wordWrap w:val="0"/>
              <w:adjustRightInd w:val="0"/>
              <w:snapToGrid w:val="0"/>
              <w:spacing w:after="0" w:line="360" w:lineRule="auto"/>
              <w:jc w:val="left"/>
              <w:rPr>
                <w:rFonts w:hint="eastAsia" w:ascii="宋体" w:hAnsi="宋体" w:eastAsia="宋体" w:cs="宋体"/>
                <w:color w:val="00B050"/>
                <w:sz w:val="24"/>
                <w:szCs w:val="24"/>
                <w:highlight w:val="none"/>
                <w:lang w:val="en-US" w:eastAsia="zh-CN"/>
              </w:rPr>
            </w:pPr>
            <w:r>
              <w:rPr>
                <w:rFonts w:hint="eastAsia" w:ascii="宋体" w:hAnsi="宋体" w:eastAsia="宋体" w:cs="宋体"/>
                <w:snapToGrid w:val="0"/>
                <w:color w:val="auto"/>
                <w:kern w:val="0"/>
                <w:sz w:val="24"/>
                <w:szCs w:val="24"/>
              </w:rPr>
              <w:t>2.其他情形的，不予计分。</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642BF59D">
            <w:pPr>
              <w:pStyle w:val="54"/>
              <w:numPr>
                <w:ilvl w:val="0"/>
                <w:numId w:val="0"/>
              </w:numPr>
              <w:wordWrap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bidi="ar-SA"/>
              </w:rPr>
              <w:t>1.</w:t>
            </w:r>
            <w:r>
              <w:rPr>
                <w:rFonts w:hint="eastAsia" w:ascii="宋体" w:hAnsi="宋体" w:eastAsia="宋体" w:cs="宋体"/>
                <w:color w:val="auto"/>
                <w:kern w:val="0"/>
                <w:sz w:val="24"/>
                <w:szCs w:val="24"/>
              </w:rPr>
              <w:t>需提供本单位承诺书（格式自定）并加盖本单位公章。</w:t>
            </w:r>
          </w:p>
          <w:p w14:paraId="1AEA6769">
            <w:pPr>
              <w:pStyle w:val="54"/>
              <w:numPr>
                <w:ilvl w:val="0"/>
                <w:numId w:val="0"/>
              </w:numPr>
              <w:wordWrap w:val="0"/>
              <w:adjustRightInd w:val="0"/>
              <w:snapToGrid w:val="0"/>
              <w:spacing w:line="360" w:lineRule="auto"/>
              <w:ind w:left="0" w:leftChars="0" w:firstLine="0" w:firstLineChars="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bidi="ar-SA"/>
              </w:rPr>
              <w:t>2.</w:t>
            </w:r>
            <w:r>
              <w:rPr>
                <w:rFonts w:hint="eastAsia" w:ascii="宋体" w:hAnsi="宋体" w:eastAsia="宋体" w:cs="宋体"/>
                <w:color w:val="auto"/>
                <w:kern w:val="0"/>
                <w:sz w:val="24"/>
                <w:szCs w:val="24"/>
              </w:rPr>
              <w:t>未提供本单位承诺书并加盖本单位公章的，按第2项标准处理。</w:t>
            </w:r>
          </w:p>
          <w:p w14:paraId="637E02E5">
            <w:pPr>
              <w:rPr>
                <w:rFonts w:hint="eastAsia" w:ascii="宋体" w:hAnsi="宋体" w:eastAsia="宋体" w:cs="宋体"/>
                <w:lang w:val="en-US" w:eastAsia="zh-CN"/>
              </w:rPr>
            </w:pPr>
            <w:r>
              <w:rPr>
                <w:rFonts w:hint="eastAsia" w:ascii="宋体" w:hAnsi="宋体" w:eastAsia="宋体" w:cs="宋体"/>
                <w:b/>
                <w:bCs/>
                <w:snapToGrid w:val="0"/>
                <w:color w:val="auto"/>
                <w:kern w:val="0"/>
                <w:sz w:val="24"/>
                <w:szCs w:val="24"/>
                <w:highlight w:val="none"/>
                <w:lang w:val="en-US" w:eastAsia="zh-CN"/>
              </w:rPr>
              <w:t>3.如联合体投标的由联合体牵头方提供。</w:t>
            </w:r>
          </w:p>
        </w:tc>
      </w:tr>
      <w:tr w14:paraId="12F41186">
        <w:tblPrEx>
          <w:tblCellMar>
            <w:top w:w="0" w:type="dxa"/>
            <w:left w:w="108" w:type="dxa"/>
            <w:bottom w:w="0" w:type="dxa"/>
            <w:right w:w="108" w:type="dxa"/>
          </w:tblCellMar>
        </w:tblPrEx>
        <w:trPr>
          <w:trHeight w:val="0" w:hRule="atLeast"/>
          <w:jc w:val="center"/>
        </w:trPr>
        <w:tc>
          <w:tcPr>
            <w:tcW w:w="836" w:type="dxa"/>
            <w:vMerge w:val="continue"/>
            <w:tcBorders>
              <w:left w:val="single" w:color="auto" w:sz="4" w:space="0"/>
              <w:bottom w:val="single" w:color="auto" w:sz="4" w:space="0"/>
              <w:right w:val="single" w:color="auto" w:sz="4" w:space="0"/>
            </w:tcBorders>
            <w:noWrap w:val="0"/>
            <w:vAlign w:val="center"/>
          </w:tcPr>
          <w:p w14:paraId="7DBD5DE3">
            <w:pPr>
              <w:adjustRightInd w:val="0"/>
              <w:snapToGrid w:val="0"/>
              <w:spacing w:line="360" w:lineRule="auto"/>
              <w:jc w:val="center"/>
              <w:rPr>
                <w:rFonts w:hint="eastAsia" w:ascii="宋体" w:hAnsi="宋体" w:eastAsia="宋体" w:cs="宋体"/>
                <w:snapToGrid w:val="0"/>
                <w:color w:val="auto"/>
                <w:kern w:val="0"/>
                <w:sz w:val="24"/>
                <w:szCs w:val="24"/>
                <w:highlight w:val="yellow"/>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61BAFF7A">
            <w:pPr>
              <w:pStyle w:val="8"/>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项目管理团队综合素质（</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CA8940D">
            <w:pPr>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（除项目负责人、技术负责人、</w:t>
            </w:r>
            <w:r>
              <w:rPr>
                <w:rFonts w:hint="eastAsia" w:ascii="宋体" w:hAnsi="宋体" w:eastAsia="宋体" w:cs="宋体"/>
                <w:color w:val="auto"/>
                <w:sz w:val="24"/>
                <w:szCs w:val="24"/>
                <w:highlight w:val="none"/>
                <w:lang w:val="en-US" w:eastAsia="zh-CN"/>
              </w:rPr>
              <w:t>安全员</w:t>
            </w:r>
            <w:r>
              <w:rPr>
                <w:rFonts w:hint="eastAsia" w:ascii="宋体" w:hAnsi="宋体" w:eastAsia="宋体" w:cs="宋体"/>
                <w:color w:val="auto"/>
                <w:sz w:val="24"/>
                <w:szCs w:val="24"/>
                <w:highlight w:val="none"/>
              </w:rPr>
              <w:t>外）具有“高压电工作业证、低压电工作业证、高处作业证、</w:t>
            </w:r>
            <w:r>
              <w:rPr>
                <w:rFonts w:hint="eastAsia" w:ascii="宋体" w:hAnsi="宋体" w:eastAsia="宋体" w:cs="宋体"/>
                <w:color w:val="auto"/>
                <w:sz w:val="24"/>
                <w:szCs w:val="24"/>
                <w:highlight w:val="none"/>
                <w:lang w:val="en-US" w:eastAsia="zh-CN"/>
              </w:rPr>
              <w:t>电气</w:t>
            </w:r>
            <w:r>
              <w:rPr>
                <w:rFonts w:hint="eastAsia" w:ascii="宋体" w:hAnsi="宋体" w:eastAsia="宋体" w:cs="宋体"/>
                <w:color w:val="auto"/>
                <w:sz w:val="24"/>
                <w:szCs w:val="24"/>
                <w:highlight w:val="none"/>
              </w:rPr>
              <w:t>试验</w:t>
            </w:r>
            <w:r>
              <w:rPr>
                <w:rFonts w:hint="eastAsia" w:ascii="宋体" w:hAnsi="宋体" w:eastAsia="宋体" w:cs="宋体"/>
                <w:color w:val="auto"/>
                <w:sz w:val="24"/>
                <w:szCs w:val="24"/>
                <w:highlight w:val="none"/>
                <w:lang w:val="en-US" w:eastAsia="zh-CN"/>
              </w:rPr>
              <w:t>作业</w:t>
            </w:r>
            <w:r>
              <w:rPr>
                <w:rFonts w:hint="eastAsia" w:ascii="宋体" w:hAnsi="宋体" w:eastAsia="宋体" w:cs="宋体"/>
                <w:color w:val="auto"/>
                <w:sz w:val="24"/>
                <w:szCs w:val="24"/>
                <w:highlight w:val="none"/>
              </w:rPr>
              <w:t>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焊接与热切割作业证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个特种作业证书</w:t>
            </w:r>
            <w:r>
              <w:rPr>
                <w:rFonts w:hint="eastAsia" w:ascii="宋体" w:hAnsi="宋体" w:eastAsia="宋体" w:cs="宋体"/>
                <w:color w:val="auto"/>
                <w:sz w:val="24"/>
                <w:szCs w:val="24"/>
                <w:highlight w:val="none"/>
                <w:lang w:val="en-US" w:eastAsia="zh-CN"/>
              </w:rPr>
              <w:t>的，持任意一种证书的人员每提供一个得1分，最高得5分。</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08484C82">
            <w:pPr>
              <w:numPr>
                <w:ilvl w:val="0"/>
                <w:numId w:val="0"/>
              </w:numPr>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须提供</w:t>
            </w:r>
            <w:r>
              <w:rPr>
                <w:rFonts w:hint="eastAsia" w:ascii="宋体" w:hAnsi="宋体" w:eastAsia="宋体" w:cs="宋体"/>
                <w:color w:val="auto"/>
                <w:sz w:val="24"/>
                <w:szCs w:val="24"/>
                <w:highlight w:val="none"/>
                <w:lang w:val="en-US" w:eastAsia="zh-CN"/>
              </w:rPr>
              <w:t>相关证书扫描件；</w:t>
            </w:r>
          </w:p>
          <w:p w14:paraId="301920DB">
            <w:pPr>
              <w:adjustRightInd w:val="0"/>
              <w:snapToGrid w:val="0"/>
              <w:spacing w:line="360" w:lineRule="auto"/>
              <w:rPr>
                <w:rFonts w:hint="eastAsia" w:ascii="宋体" w:hAnsi="宋体" w:eastAsia="宋体" w:cs="宋体"/>
                <w:b w:val="0"/>
                <w:bCs w:val="0"/>
                <w:color w:val="auto"/>
                <w:kern w:val="0"/>
                <w:sz w:val="24"/>
                <w:szCs w:val="24"/>
                <w:highlight w:val="none"/>
                <w:u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kern w:val="0"/>
                <w:sz w:val="24"/>
                <w:szCs w:val="24"/>
                <w:highlight w:val="none"/>
                <w:u w:val="none"/>
                <w:lang w:val="en-US" w:eastAsia="zh-CN"/>
              </w:rPr>
              <w:t>需提供</w:t>
            </w:r>
            <w:r>
              <w:rPr>
                <w:rFonts w:hint="eastAsia" w:ascii="宋体" w:hAnsi="宋体" w:eastAsia="宋体" w:cs="宋体"/>
                <w:b w:val="0"/>
                <w:bCs w:val="0"/>
                <w:snapToGrid w:val="0"/>
                <w:color w:val="auto"/>
                <w:kern w:val="0"/>
                <w:sz w:val="24"/>
                <w:szCs w:val="24"/>
                <w:highlight w:val="none"/>
              </w:rPr>
              <w:t>在本单位缴纳社保的证明（至少</w:t>
            </w:r>
            <w:r>
              <w:rPr>
                <w:rFonts w:hint="eastAsia" w:ascii="宋体" w:hAnsi="宋体" w:eastAsia="宋体" w:cs="宋体"/>
                <w:b w:val="0"/>
                <w:bCs w:val="0"/>
                <w:snapToGrid w:val="0"/>
                <w:color w:val="auto"/>
                <w:kern w:val="0"/>
                <w:sz w:val="24"/>
                <w:szCs w:val="24"/>
                <w:highlight w:val="none"/>
                <w:lang w:val="en-US" w:eastAsia="zh-CN"/>
              </w:rPr>
              <w:t>1</w:t>
            </w:r>
            <w:r>
              <w:rPr>
                <w:rFonts w:hint="eastAsia" w:ascii="宋体" w:hAnsi="宋体" w:eastAsia="宋体" w:cs="宋体"/>
                <w:b w:val="0"/>
                <w:bCs w:val="0"/>
                <w:snapToGrid w:val="0"/>
                <w:color w:val="auto"/>
                <w:kern w:val="0"/>
                <w:sz w:val="24"/>
                <w:szCs w:val="24"/>
                <w:highlight w:val="none"/>
              </w:rPr>
              <w:t>个月，其中必须有</w:t>
            </w:r>
            <w:r>
              <w:rPr>
                <w:rFonts w:hint="eastAsia" w:ascii="宋体" w:hAnsi="宋体" w:eastAsia="宋体" w:cs="宋体"/>
                <w:b w:val="0"/>
                <w:bCs w:val="0"/>
                <w:snapToGrid w:val="0"/>
                <w:color w:val="auto"/>
                <w:kern w:val="0"/>
                <w:sz w:val="24"/>
                <w:szCs w:val="24"/>
                <w:highlight w:val="none"/>
                <w:lang w:val="en-US" w:eastAsia="zh-CN"/>
              </w:rPr>
              <w:t>2025年12</w:t>
            </w:r>
            <w:r>
              <w:rPr>
                <w:rFonts w:hint="eastAsia" w:ascii="宋体" w:hAnsi="宋体" w:eastAsia="宋体" w:cs="宋体"/>
                <w:b w:val="0"/>
                <w:bCs w:val="0"/>
                <w:snapToGrid w:val="0"/>
                <w:color w:val="auto"/>
                <w:kern w:val="0"/>
                <w:sz w:val="24"/>
                <w:szCs w:val="24"/>
                <w:highlight w:val="none"/>
              </w:rPr>
              <w:t>月）</w:t>
            </w:r>
            <w:r>
              <w:rPr>
                <w:rFonts w:hint="eastAsia" w:ascii="宋体" w:hAnsi="宋体" w:eastAsia="宋体" w:cs="宋体"/>
                <w:b w:val="0"/>
                <w:bCs w:val="0"/>
                <w:color w:val="auto"/>
                <w:kern w:val="0"/>
                <w:sz w:val="24"/>
                <w:szCs w:val="24"/>
                <w:highlight w:val="none"/>
                <w:u w:val="none"/>
                <w:lang w:val="en-US" w:eastAsia="zh-CN"/>
              </w:rPr>
              <w:t>扫描件，如</w:t>
            </w:r>
            <w:r>
              <w:rPr>
                <w:rFonts w:hint="eastAsia" w:ascii="宋体" w:hAnsi="宋体" w:eastAsia="宋体" w:cs="宋体"/>
                <w:b w:val="0"/>
                <w:bCs w:val="0"/>
                <w:snapToGrid w:val="0"/>
                <w:color w:val="auto"/>
                <w:kern w:val="0"/>
                <w:sz w:val="24"/>
                <w:szCs w:val="24"/>
                <w:highlight w:val="none"/>
              </w:rPr>
              <w:t>为退休返聘人员无法提供社保证明的，提供退休证和劳动合同</w:t>
            </w:r>
            <w:r>
              <w:rPr>
                <w:rFonts w:hint="eastAsia" w:ascii="宋体" w:hAnsi="宋体" w:eastAsia="宋体" w:cs="宋体"/>
                <w:b w:val="0"/>
                <w:bCs w:val="0"/>
                <w:snapToGrid w:val="0"/>
                <w:color w:val="auto"/>
                <w:kern w:val="0"/>
                <w:sz w:val="24"/>
                <w:szCs w:val="24"/>
                <w:highlight w:val="none"/>
                <w:lang w:val="en-US" w:eastAsia="zh-CN"/>
              </w:rPr>
              <w:t>扫描</w:t>
            </w:r>
            <w:r>
              <w:rPr>
                <w:rFonts w:hint="eastAsia" w:ascii="宋体" w:hAnsi="宋体" w:eastAsia="宋体" w:cs="宋体"/>
                <w:b w:val="0"/>
                <w:bCs w:val="0"/>
                <w:snapToGrid w:val="0"/>
                <w:color w:val="auto"/>
                <w:kern w:val="0"/>
                <w:sz w:val="24"/>
                <w:szCs w:val="24"/>
                <w:highlight w:val="none"/>
              </w:rPr>
              <w:t>件</w:t>
            </w:r>
            <w:r>
              <w:rPr>
                <w:rFonts w:hint="eastAsia" w:ascii="宋体" w:hAnsi="宋体" w:eastAsia="宋体" w:cs="宋体"/>
                <w:b w:val="0"/>
                <w:bCs w:val="0"/>
                <w:snapToGrid w:val="0"/>
                <w:color w:val="auto"/>
                <w:kern w:val="0"/>
                <w:sz w:val="24"/>
                <w:szCs w:val="24"/>
                <w:highlight w:val="none"/>
                <w:lang w:eastAsia="zh-CN"/>
              </w:rPr>
              <w:t>。</w:t>
            </w:r>
          </w:p>
          <w:p w14:paraId="7F7C965D">
            <w:pPr>
              <w:pStyle w:val="8"/>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3.如联合体投标的由联合体牵头方提供。</w:t>
            </w:r>
          </w:p>
        </w:tc>
      </w:tr>
      <w:tr w14:paraId="418D7954">
        <w:tblPrEx>
          <w:tblCellMar>
            <w:top w:w="0" w:type="dxa"/>
            <w:left w:w="108" w:type="dxa"/>
            <w:bottom w:w="0" w:type="dxa"/>
            <w:right w:w="108" w:type="dxa"/>
          </w:tblCellMar>
        </w:tblPrEx>
        <w:trPr>
          <w:trHeight w:val="0" w:hRule="atLeast"/>
          <w:jc w:val="center"/>
        </w:trPr>
        <w:tc>
          <w:tcPr>
            <w:tcW w:w="836" w:type="dxa"/>
            <w:vMerge w:val="restart"/>
            <w:tcBorders>
              <w:top w:val="single" w:color="auto" w:sz="4" w:space="0"/>
              <w:left w:val="single" w:color="auto" w:sz="4" w:space="0"/>
              <w:right w:val="single" w:color="auto" w:sz="4" w:space="0"/>
            </w:tcBorders>
            <w:noWrap w:val="0"/>
            <w:vAlign w:val="center"/>
          </w:tcPr>
          <w:p w14:paraId="5098551C">
            <w:pPr>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设计企业</w:t>
            </w:r>
          </w:p>
          <w:p w14:paraId="744EA349">
            <w:pPr>
              <w:bidi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（25分</w:t>
            </w:r>
            <w:r>
              <w:rPr>
                <w:rFonts w:hint="eastAsia" w:ascii="宋体" w:hAnsi="宋体" w:eastAsia="宋体" w:cs="宋体"/>
                <w:snapToGrid w:val="0"/>
                <w:color w:val="auto"/>
                <w:kern w:val="0"/>
                <w:sz w:val="24"/>
                <w:szCs w:val="24"/>
                <w:highlight w:val="none"/>
              </w:rPr>
              <w:t>）</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0EA0FF3C">
            <w:pPr>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w:t>
            </w:r>
            <w:r>
              <w:rPr>
                <w:rFonts w:hint="eastAsia" w:ascii="宋体" w:hAnsi="宋体" w:eastAsia="宋体" w:cs="宋体"/>
                <w:snapToGrid w:val="0"/>
                <w:color w:val="auto"/>
                <w:kern w:val="0"/>
                <w:sz w:val="24"/>
                <w:szCs w:val="24"/>
                <w:highlight w:val="none"/>
                <w:lang w:val="en-US" w:eastAsia="zh-CN"/>
              </w:rPr>
              <w:t>设计</w:t>
            </w:r>
            <w:r>
              <w:rPr>
                <w:rFonts w:hint="eastAsia" w:ascii="宋体" w:hAnsi="宋体" w:eastAsia="宋体" w:cs="宋体"/>
                <w:snapToGrid w:val="0"/>
                <w:color w:val="auto"/>
                <w:kern w:val="0"/>
                <w:sz w:val="24"/>
                <w:szCs w:val="24"/>
                <w:highlight w:val="none"/>
              </w:rPr>
              <w:t>业绩</w:t>
            </w:r>
          </w:p>
          <w:p w14:paraId="640B9250">
            <w:pPr>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ADA810A">
            <w:pPr>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企业近年来（2022年1月1日至今）业绩情况：</w:t>
            </w:r>
          </w:p>
          <w:p w14:paraId="6B28A271">
            <w:pPr>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trike w:val="0"/>
                <w:dstrike w:val="0"/>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rPr>
              <w:t>分。</w:t>
            </w:r>
          </w:p>
          <w:p w14:paraId="6E7A8D08">
            <w:pPr>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trike w:val="0"/>
                <w:dstrike w:val="0"/>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过类似工程的，不予计分。</w:t>
            </w:r>
          </w:p>
          <w:p w14:paraId="11AC1AAA">
            <w:pPr>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 xml:space="preserve">分。 </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251D58A6">
            <w:pPr>
              <w:adjustRightInd w:val="0"/>
              <w:snapToGrid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1．类似工程指：设计</w:t>
            </w:r>
            <w:r>
              <w:rPr>
                <w:rFonts w:hint="eastAsia" w:ascii="宋体" w:hAnsi="宋体" w:eastAsia="宋体" w:cs="宋体"/>
                <w:b w:val="0"/>
                <w:bCs w:val="0"/>
                <w:snapToGrid w:val="0"/>
                <w:color w:val="auto"/>
                <w:kern w:val="0"/>
                <w:sz w:val="24"/>
                <w:szCs w:val="24"/>
                <w:highlight w:val="none"/>
                <w:lang w:val="en-US" w:eastAsia="zh-CN"/>
              </w:rPr>
              <w:t>类</w:t>
            </w:r>
            <w:r>
              <w:rPr>
                <w:rFonts w:hint="eastAsia" w:ascii="宋体" w:hAnsi="宋体" w:eastAsia="宋体" w:cs="宋体"/>
                <w:b w:val="0"/>
                <w:bCs w:val="0"/>
                <w:snapToGrid w:val="0"/>
                <w:color w:val="auto"/>
                <w:kern w:val="0"/>
                <w:sz w:val="24"/>
                <w:szCs w:val="24"/>
                <w:highlight w:val="none"/>
              </w:rPr>
              <w:t>项目</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光伏发电项目或10kV及以上输变电或配电工程</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rPr>
              <w:t>。</w:t>
            </w:r>
          </w:p>
          <w:p w14:paraId="26691EEF">
            <w:pPr>
              <w:adjustRightInd w:val="0"/>
              <w:snapToGrid w:val="0"/>
              <w:spacing w:line="360" w:lineRule="auto"/>
              <w:rPr>
                <w:rFonts w:hint="eastAsia" w:ascii="宋体" w:hAnsi="宋体" w:eastAsia="宋体" w:cs="宋体"/>
                <w:b w:val="0"/>
                <w:bCs w:val="0"/>
                <w:strike/>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2．需附有关业绩中标通知书或合同协议书</w:t>
            </w:r>
            <w:r>
              <w:rPr>
                <w:rFonts w:hint="eastAsia" w:ascii="宋体" w:hAnsi="宋体" w:eastAsia="宋体" w:cs="宋体"/>
                <w:b w:val="0"/>
                <w:bCs w:val="0"/>
                <w:color w:val="auto"/>
                <w:kern w:val="0"/>
                <w:sz w:val="24"/>
                <w:szCs w:val="24"/>
                <w:highlight w:val="none"/>
                <w:lang w:val="en-US" w:eastAsia="zh-CN"/>
              </w:rPr>
              <w:t>关键页扫描件</w:t>
            </w:r>
            <w:r>
              <w:rPr>
                <w:rFonts w:hint="eastAsia" w:ascii="宋体" w:hAnsi="宋体" w:eastAsia="宋体" w:cs="宋体"/>
                <w:b w:val="0"/>
                <w:bCs w:val="0"/>
                <w:snapToGrid w:val="0"/>
                <w:color w:val="auto"/>
                <w:kern w:val="0"/>
                <w:sz w:val="24"/>
                <w:szCs w:val="24"/>
                <w:highlight w:val="none"/>
              </w:rPr>
              <w:t>（或打印件）。</w:t>
            </w:r>
          </w:p>
          <w:p w14:paraId="50FA416A">
            <w:pPr>
              <w:pStyle w:val="5"/>
              <w:spacing w:line="360" w:lineRule="auto"/>
              <w:rPr>
                <w:rFonts w:hint="eastAsia" w:ascii="宋体" w:hAnsi="宋体" w:eastAsia="宋体" w:cs="宋体"/>
                <w:b w:val="0"/>
                <w:bCs w:val="0"/>
                <w:color w:val="auto"/>
                <w:sz w:val="24"/>
                <w:szCs w:val="24"/>
                <w:highlight w:val="none"/>
                <w:lang w:bidi="ar"/>
              </w:rPr>
            </w:pPr>
            <w:bookmarkStart w:id="175" w:name="_Toc25294"/>
            <w:r>
              <w:rPr>
                <w:rFonts w:hint="eastAsia" w:ascii="宋体" w:hAnsi="宋体" w:eastAsia="宋体" w:cs="宋体"/>
                <w:b w:val="0"/>
                <w:bCs w:val="0"/>
                <w:snapToGrid w:val="0"/>
                <w:color w:val="auto"/>
                <w:kern w:val="0"/>
                <w:sz w:val="24"/>
                <w:szCs w:val="24"/>
                <w:highlight w:val="none"/>
              </w:rPr>
              <w:t>3．</w:t>
            </w:r>
            <w:r>
              <w:rPr>
                <w:rFonts w:hint="eastAsia" w:ascii="宋体" w:hAnsi="宋体" w:eastAsia="宋体" w:cs="宋体"/>
                <w:b w:val="0"/>
                <w:bCs w:val="0"/>
                <w:color w:val="auto"/>
                <w:kern w:val="0"/>
                <w:sz w:val="24"/>
                <w:szCs w:val="24"/>
                <w:highlight w:val="none"/>
                <w:lang w:val="en-US" w:eastAsia="zh-CN" w:bidi="ar-SA"/>
              </w:rPr>
              <w:t>时间以合同签订时间为准。</w:t>
            </w:r>
            <w:bookmarkEnd w:id="175"/>
          </w:p>
          <w:p w14:paraId="592BB129">
            <w:pPr>
              <w:pStyle w:val="5"/>
              <w:spacing w:line="360" w:lineRule="auto"/>
              <w:rPr>
                <w:rFonts w:hint="eastAsia" w:ascii="宋体" w:hAnsi="宋体" w:eastAsia="宋体" w:cs="宋体"/>
                <w:b/>
                <w:bCs/>
                <w:color w:val="auto"/>
                <w:sz w:val="24"/>
                <w:szCs w:val="24"/>
                <w:highlight w:val="none"/>
                <w:lang w:val="en-US" w:eastAsia="zh-CN"/>
              </w:rPr>
            </w:pPr>
            <w:bookmarkStart w:id="176" w:name="_Toc29916"/>
            <w:r>
              <w:rPr>
                <w:rFonts w:hint="eastAsia" w:ascii="宋体" w:hAnsi="宋体" w:eastAsia="宋体" w:cs="宋体"/>
                <w:b/>
                <w:bCs/>
                <w:color w:val="auto"/>
                <w:sz w:val="24"/>
                <w:szCs w:val="24"/>
                <w:highlight w:val="none"/>
                <w:lang w:val="en-US" w:eastAsia="zh-CN" w:bidi="ar"/>
              </w:rPr>
              <w:t>4.若以</w:t>
            </w:r>
            <w:r>
              <w:rPr>
                <w:rFonts w:hint="eastAsia" w:ascii="宋体" w:hAnsi="宋体" w:eastAsia="宋体" w:cs="宋体"/>
                <w:b/>
                <w:bCs/>
                <w:color w:val="auto"/>
                <w:kern w:val="0"/>
                <w:sz w:val="24"/>
                <w:szCs w:val="24"/>
                <w:highlight w:val="none"/>
                <w:u w:val="none"/>
                <w:lang w:val="en-US" w:eastAsia="zh-CN"/>
              </w:rPr>
              <w:t>联合体投标由联合体成员方提供。</w:t>
            </w:r>
            <w:bookmarkEnd w:id="176"/>
          </w:p>
          <w:p w14:paraId="1AF4BEC1">
            <w:pPr>
              <w:adjustRightInd w:val="0"/>
              <w:snapToGrid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5</w:t>
            </w:r>
            <w:r>
              <w:rPr>
                <w:rFonts w:hint="eastAsia" w:ascii="宋体" w:hAnsi="宋体" w:eastAsia="宋体" w:cs="宋体"/>
                <w:b w:val="0"/>
                <w:bCs w:val="0"/>
                <w:snapToGrid w:val="0"/>
                <w:color w:val="auto"/>
                <w:kern w:val="0"/>
                <w:sz w:val="24"/>
                <w:szCs w:val="24"/>
                <w:highlight w:val="none"/>
              </w:rPr>
              <w:t>．任一业绩有以下情形之一的，该业绩视为无效，不予计分：</w:t>
            </w:r>
          </w:p>
          <w:p w14:paraId="43699247">
            <w:pPr>
              <w:adjustRightInd w:val="0"/>
              <w:snapToGrid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①未提供业绩证明材料扫描件的；</w:t>
            </w:r>
          </w:p>
          <w:p w14:paraId="727694A9">
            <w:pPr>
              <w:adjustRightInd w:val="0"/>
              <w:snapToGrid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②业绩不属于类似工程的；</w:t>
            </w:r>
          </w:p>
          <w:p w14:paraId="0CD4E280">
            <w:pPr>
              <w:adjustRightInd w:val="0"/>
              <w:snapToGrid w:val="0"/>
              <w:spacing w:line="36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③不是以指定身份参建的；</w:t>
            </w:r>
          </w:p>
          <w:p w14:paraId="3E2D9D35">
            <w:pPr>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④业绩时间不符合要求的</w:t>
            </w:r>
            <w:r>
              <w:rPr>
                <w:rFonts w:hint="eastAsia" w:ascii="宋体" w:hAnsi="宋体" w:eastAsia="宋体" w:cs="宋体"/>
                <w:b w:val="0"/>
                <w:bCs w:val="0"/>
                <w:snapToGrid w:val="0"/>
                <w:color w:val="auto"/>
                <w:kern w:val="0"/>
                <w:sz w:val="24"/>
                <w:szCs w:val="24"/>
                <w:highlight w:val="none"/>
                <w:lang w:eastAsia="zh-CN"/>
              </w:rPr>
              <w:t>。</w:t>
            </w:r>
          </w:p>
        </w:tc>
      </w:tr>
      <w:tr w14:paraId="2E545BDD">
        <w:tblPrEx>
          <w:tblCellMar>
            <w:top w:w="0" w:type="dxa"/>
            <w:left w:w="108" w:type="dxa"/>
            <w:bottom w:w="0" w:type="dxa"/>
            <w:right w:w="108" w:type="dxa"/>
          </w:tblCellMar>
        </w:tblPrEx>
        <w:trPr>
          <w:trHeight w:val="0" w:hRule="atLeast"/>
          <w:jc w:val="center"/>
        </w:trPr>
        <w:tc>
          <w:tcPr>
            <w:tcW w:w="836" w:type="dxa"/>
            <w:vMerge w:val="continue"/>
            <w:tcBorders>
              <w:left w:val="single" w:color="auto" w:sz="4" w:space="0"/>
              <w:bottom w:val="single" w:color="auto" w:sz="4" w:space="0"/>
              <w:right w:val="single" w:color="auto" w:sz="4" w:space="0"/>
            </w:tcBorders>
            <w:shd w:val="clear" w:color="auto" w:fill="auto"/>
            <w:noWrap w:val="0"/>
            <w:vAlign w:val="center"/>
          </w:tcPr>
          <w:p w14:paraId="7257CE3B">
            <w:pPr>
              <w:bidi w:val="0"/>
              <w:spacing w:line="360" w:lineRule="auto"/>
              <w:rPr>
                <w:rFonts w:hint="eastAsia" w:ascii="宋体" w:hAnsi="宋体" w:eastAsia="宋体" w:cs="宋体"/>
                <w:color w:val="auto"/>
                <w:kern w:val="2"/>
                <w:sz w:val="24"/>
                <w:szCs w:val="24"/>
                <w:highlight w:val="none"/>
                <w:lang w:val="en-US" w:eastAsia="zh-CN" w:bidi="ar-SA"/>
              </w:rPr>
            </w:pPr>
          </w:p>
        </w:tc>
        <w:tc>
          <w:tcPr>
            <w:tcW w:w="108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C5B77AC">
            <w:pPr>
              <w:pStyle w:val="8"/>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w:t>
            </w:r>
            <w:r>
              <w:rPr>
                <w:rFonts w:hint="eastAsia" w:ascii="宋体" w:hAnsi="宋体" w:eastAsia="宋体" w:cs="宋体"/>
                <w:snapToGrid w:val="0"/>
                <w:color w:val="auto"/>
                <w:kern w:val="0"/>
                <w:sz w:val="24"/>
                <w:szCs w:val="24"/>
                <w:highlight w:val="none"/>
                <w:lang w:val="en-US" w:eastAsia="zh-CN"/>
              </w:rPr>
              <w:t>设计类</w:t>
            </w:r>
            <w:r>
              <w:rPr>
                <w:rFonts w:hint="eastAsia" w:ascii="宋体" w:hAnsi="宋体" w:eastAsia="宋体" w:cs="宋体"/>
                <w:snapToGrid w:val="0"/>
                <w:color w:val="auto"/>
                <w:kern w:val="0"/>
                <w:sz w:val="24"/>
                <w:szCs w:val="24"/>
                <w:highlight w:val="none"/>
              </w:rPr>
              <w:t>奖项</w:t>
            </w:r>
          </w:p>
          <w:p w14:paraId="5CDC542B">
            <w:pPr>
              <w:bidi w:val="0"/>
              <w:spacing w:line="360" w:lineRule="auto"/>
              <w:rPr>
                <w:rFonts w:hint="eastAsia" w:ascii="宋体" w:hAnsi="宋体" w:eastAsia="宋体" w:cs="宋体"/>
                <w:snapToGrid w:val="0"/>
                <w:color w:val="auto"/>
                <w:kern w:val="0"/>
                <w:sz w:val="24"/>
                <w:szCs w:val="24"/>
                <w:highlight w:val="none"/>
              </w:rPr>
            </w:pPr>
            <w:r>
              <w:rPr>
                <w:rFonts w:hint="eastAsia"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15分</w:t>
            </w:r>
            <w:r>
              <w:rPr>
                <w:rFonts w:hint="eastAsia" w:hAnsi="宋体" w:eastAsia="宋体" w:cs="宋体"/>
                <w:snapToGrid w:val="0"/>
                <w:color w:val="auto"/>
                <w:kern w:val="0"/>
                <w:sz w:val="24"/>
                <w:szCs w:val="24"/>
                <w:highlight w:val="none"/>
                <w:lang w:val="en-US" w:eastAsia="zh-CN"/>
              </w:rPr>
              <w:t>）</w:t>
            </w:r>
          </w:p>
        </w:tc>
        <w:tc>
          <w:tcPr>
            <w:tcW w:w="34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63477C">
            <w:pPr>
              <w:pStyle w:val="5"/>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宋体" w:hAnsi="宋体" w:eastAsia="宋体" w:cs="宋体"/>
                <w:b w:val="0"/>
                <w:bCs/>
                <w:color w:val="auto"/>
                <w:sz w:val="24"/>
                <w:szCs w:val="24"/>
                <w:highlight w:val="none"/>
                <w:lang w:val="en-US" w:eastAsia="zh-CN"/>
              </w:rPr>
            </w:pPr>
            <w:bookmarkStart w:id="177" w:name="_Toc20142"/>
            <w:r>
              <w:rPr>
                <w:rFonts w:hint="eastAsia" w:ascii="宋体" w:hAnsi="宋体" w:eastAsia="宋体" w:cs="宋体"/>
                <w:b w:val="0"/>
                <w:bCs/>
                <w:snapToGrid w:val="0"/>
                <w:color w:val="auto"/>
                <w:kern w:val="0"/>
                <w:sz w:val="24"/>
                <w:szCs w:val="24"/>
                <w:highlight w:val="none"/>
              </w:rPr>
              <w:t>企业近年来（202</w:t>
            </w:r>
            <w:r>
              <w:rPr>
                <w:rFonts w:hint="eastAsia" w:ascii="宋体" w:hAnsi="宋体" w:eastAsia="宋体" w:cs="宋体"/>
                <w:b w:val="0"/>
                <w:bCs/>
                <w:snapToGrid w:val="0"/>
                <w:color w:val="auto"/>
                <w:kern w:val="0"/>
                <w:sz w:val="24"/>
                <w:szCs w:val="24"/>
                <w:highlight w:val="none"/>
                <w:lang w:val="en-US" w:eastAsia="zh-CN"/>
              </w:rPr>
              <w:t>2</w:t>
            </w:r>
            <w:r>
              <w:rPr>
                <w:rFonts w:hint="eastAsia" w:ascii="宋体" w:hAnsi="宋体" w:eastAsia="宋体" w:cs="宋体"/>
                <w:b w:val="0"/>
                <w:bCs/>
                <w:snapToGrid w:val="0"/>
                <w:color w:val="auto"/>
                <w:kern w:val="0"/>
                <w:sz w:val="24"/>
                <w:szCs w:val="24"/>
                <w:highlight w:val="none"/>
              </w:rPr>
              <w:t>年1月1日至今）</w:t>
            </w:r>
            <w:r>
              <w:rPr>
                <w:rFonts w:hint="eastAsia" w:ascii="宋体" w:hAnsi="宋体" w:eastAsia="宋体" w:cs="宋体"/>
                <w:b w:val="0"/>
                <w:bCs/>
                <w:color w:val="auto"/>
                <w:sz w:val="24"/>
                <w:szCs w:val="24"/>
                <w:highlight w:val="none"/>
                <w:lang w:val="en-US" w:eastAsia="zh-CN"/>
              </w:rPr>
              <w:t>，承接过的电力设计相关工程项目业绩获得奖项情况：</w:t>
            </w:r>
            <w:bookmarkEnd w:id="177"/>
          </w:p>
          <w:p w14:paraId="5394B899">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1．获得省级或以上等级奖项的，每个得</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分；</w:t>
            </w:r>
          </w:p>
          <w:p w14:paraId="2278F329">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2．获得地市级奖项的，每个得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4890EB82">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3．以上奖项均未获得的，不予计分。</w:t>
            </w:r>
          </w:p>
          <w:p w14:paraId="149D2019">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本项最高得</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分。</w:t>
            </w:r>
          </w:p>
          <w:p w14:paraId="45C095D1">
            <w:pPr>
              <w:pStyle w:val="5"/>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宋体" w:hAnsi="宋体" w:eastAsia="宋体" w:cs="宋体"/>
                <w:b/>
                <w:color w:val="auto"/>
                <w:kern w:val="2"/>
                <w:sz w:val="24"/>
                <w:szCs w:val="24"/>
                <w:highlight w:val="none"/>
                <w:lang w:val="en-US" w:eastAsia="zh-CN" w:bidi="ar-SA"/>
              </w:rPr>
            </w:pPr>
          </w:p>
        </w:tc>
        <w:tc>
          <w:tcPr>
            <w:tcW w:w="4918" w:type="dxa"/>
            <w:tcBorders>
              <w:top w:val="single" w:color="auto" w:sz="4" w:space="0"/>
              <w:left w:val="single" w:color="auto" w:sz="4" w:space="0"/>
              <w:bottom w:val="single" w:color="auto" w:sz="4" w:space="0"/>
              <w:right w:val="single" w:color="auto" w:sz="4" w:space="0"/>
            </w:tcBorders>
            <w:noWrap w:val="0"/>
            <w:vAlign w:val="center"/>
          </w:tcPr>
          <w:p w14:paraId="41DEDF56">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可累计计分，同一项目业绩只按最高获奖等级计分一次。</w:t>
            </w:r>
          </w:p>
          <w:p w14:paraId="3F710777">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同类项目指：光伏发电项目或10kV及以上输变电或配电工程项目</w:t>
            </w:r>
            <w:r>
              <w:rPr>
                <w:rFonts w:hint="eastAsia" w:ascii="宋体" w:hAnsi="宋体" w:eastAsia="宋体" w:cs="宋体"/>
                <w:snapToGrid w:val="0"/>
                <w:color w:val="auto"/>
                <w:kern w:val="0"/>
                <w:sz w:val="24"/>
                <w:szCs w:val="24"/>
                <w:highlight w:val="none"/>
                <w:lang w:val="en-US" w:eastAsia="zh-CN"/>
              </w:rPr>
              <w:t>设计</w:t>
            </w:r>
            <w:r>
              <w:rPr>
                <w:rFonts w:hint="eastAsia" w:ascii="宋体" w:hAnsi="宋体" w:eastAsia="宋体" w:cs="宋体"/>
                <w:snapToGrid w:val="0"/>
                <w:color w:val="auto"/>
                <w:kern w:val="0"/>
                <w:sz w:val="24"/>
                <w:szCs w:val="24"/>
                <w:highlight w:val="none"/>
              </w:rPr>
              <w:t>业绩。</w:t>
            </w:r>
          </w:p>
          <w:p w14:paraId="3F3B2957">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颁发机构限定以下范围：供电部门或相关行业协会颁发。</w:t>
            </w:r>
          </w:p>
          <w:p w14:paraId="50C51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rPr>
              <w:t>省部级的奖项指由省部级单位或部门（如中电建协、中电联、省部级协会或单位、中国南方电网有限责任公司、国家电网公司等）颁发的优质工程奖项。</w:t>
            </w:r>
          </w:p>
          <w:p w14:paraId="701658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5.省级、地市级行业协会的奖项指各省或直辖市或地级市的行业协会颁发的优质工程奖。</w:t>
            </w:r>
          </w:p>
          <w:p w14:paraId="051E3F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获奖需提供相关获奖证书或正式获奖文件并加盖投标人公章；正式获奖文件可以是获奖公告名单或网站查询页（或截图）；正在公示期间的奖项不予认可。如提供相关行业协会颁发的获奖证书或正式获奖文件，则须同时提供该行业协会在《全国社会组织信用信息公示平台》的查询路径和登记信息查询结果截图（协会级别以注册登记单位为准），获奖日期以证书颁发或官网发布的日期为准；未按要求提供的不得分。</w:t>
            </w:r>
          </w:p>
          <w:p w14:paraId="4891E1D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color w:val="auto"/>
                <w:kern w:val="0"/>
                <w:sz w:val="24"/>
                <w:szCs w:val="24"/>
                <w:highlight w:val="none"/>
                <w:u w:val="none"/>
                <w:lang w:val="en-US" w:eastAsia="zh-CN"/>
              </w:rPr>
              <w:t>7.如联合体投标由联合体成员方提供。</w:t>
            </w:r>
          </w:p>
        </w:tc>
      </w:tr>
      <w:tr w14:paraId="7B18E4C6">
        <w:tblPrEx>
          <w:tblCellMar>
            <w:top w:w="0" w:type="dxa"/>
            <w:left w:w="108" w:type="dxa"/>
            <w:bottom w:w="0" w:type="dxa"/>
            <w:right w:w="108" w:type="dxa"/>
          </w:tblCellMar>
        </w:tblPrEx>
        <w:trPr>
          <w:trHeight w:val="0" w:hRule="atLeast"/>
          <w:jc w:val="center"/>
        </w:trPr>
        <w:tc>
          <w:tcPr>
            <w:tcW w:w="1026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14:paraId="504AF483">
            <w:pPr>
              <w:pStyle w:val="8"/>
              <w:wordWrap w:val="0"/>
              <w:adjustRightInd w:val="0"/>
              <w:snapToGrid w:val="0"/>
              <w:spacing w:after="0" w:line="360" w:lineRule="auto"/>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u w:val="single"/>
                <w:lang w:val="en-US" w:eastAsia="zh-CN"/>
              </w:rPr>
              <w:t>3</w:t>
            </w:r>
            <w:r>
              <w:rPr>
                <w:rFonts w:hint="eastAsia" w:ascii="宋体" w:hAnsi="宋体" w:eastAsia="宋体" w:cs="宋体"/>
                <w:b/>
                <w:bCs/>
                <w:snapToGrid w:val="0"/>
                <w:color w:val="auto"/>
                <w:kern w:val="0"/>
                <w:sz w:val="24"/>
                <w:szCs w:val="24"/>
                <w:highlight w:val="none"/>
                <w:u w:val="single"/>
              </w:rPr>
              <w:t xml:space="preserve">0  </w:t>
            </w:r>
            <w:r>
              <w:rPr>
                <w:rFonts w:hint="eastAsia" w:ascii="宋体" w:hAnsi="宋体" w:eastAsia="宋体" w:cs="宋体"/>
                <w:b/>
                <w:bCs/>
                <w:snapToGrid w:val="0"/>
                <w:color w:val="auto"/>
                <w:kern w:val="0"/>
                <w:sz w:val="24"/>
                <w:szCs w:val="24"/>
                <w:highlight w:val="none"/>
              </w:rPr>
              <w:t>分。</w:t>
            </w:r>
          </w:p>
        </w:tc>
      </w:tr>
      <w:tr w14:paraId="371BA184">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41372D8D">
            <w:pPr>
              <w:pStyle w:val="8"/>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4A104DFD">
            <w:pPr>
              <w:pStyle w:val="8"/>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650F49EB">
            <w:pPr>
              <w:pStyle w:val="8"/>
              <w:wordWrap w:val="0"/>
              <w:adjustRightInd w:val="0"/>
              <w:snapToGrid w:val="0"/>
              <w:spacing w:after="0"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445505AC">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5CF0BA73">
            <w:pPr>
              <w:pStyle w:val="77"/>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施工方案</w:t>
            </w:r>
          </w:p>
          <w:p w14:paraId="5C759861">
            <w:pPr>
              <w:pStyle w:val="8"/>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70C676F">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6C9542F6">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55FF7A6E">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3BF6200A">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r>
              <w:rPr>
                <w:rFonts w:hint="eastAsia" w:ascii="宋体" w:hAnsi="宋体" w:eastAsia="宋体" w:cs="宋体"/>
                <w:snapToGrid w:val="0"/>
                <w:color w:val="auto"/>
                <w:kern w:val="0"/>
                <w:sz w:val="24"/>
                <w:szCs w:val="24"/>
                <w:highlight w:val="none"/>
                <w:lang w:val="en-US" w:eastAsia="zh-CN"/>
              </w:rPr>
              <w:t>70</w:t>
            </w:r>
            <w:r>
              <w:rPr>
                <w:rFonts w:hint="eastAsia" w:ascii="宋体" w:hAnsi="宋体" w:eastAsia="宋体" w:cs="宋体"/>
                <w:snapToGrid w:val="0"/>
                <w:color w:val="auto"/>
                <w:kern w:val="0"/>
                <w:sz w:val="24"/>
                <w:szCs w:val="24"/>
                <w:highlight w:val="none"/>
              </w:rPr>
              <w:t>%（含</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3E2C58AA">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【优】</w:t>
            </w:r>
            <w:r>
              <w:rPr>
                <w:rFonts w:hint="eastAsia" w:ascii="宋体" w:hAnsi="宋体" w:eastAsia="宋体" w:cs="宋体"/>
                <w:color w:val="auto"/>
                <w:kern w:val="2"/>
                <w:sz w:val="24"/>
                <w:szCs w:val="24"/>
                <w:highlight w:val="none"/>
                <w:lang w:val="en-US" w:eastAsia="zh-CN" w:bidi="ar-SA"/>
              </w:rPr>
              <w:t>对工程状况了解全面，对于工程特点、难点、重点问题分析全面，有详细、具体的应对措施，各分项施工工艺论述细致严谨，施工工序搭接安排合理。</w:t>
            </w:r>
          </w:p>
          <w:p w14:paraId="15D34E19">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w:t>
            </w:r>
            <w:r>
              <w:rPr>
                <w:rFonts w:hint="eastAsia" w:ascii="宋体" w:hAnsi="宋体" w:eastAsia="宋体" w:cs="宋体"/>
                <w:color w:val="auto"/>
                <w:kern w:val="2"/>
                <w:sz w:val="24"/>
                <w:szCs w:val="24"/>
                <w:highlight w:val="none"/>
                <w:lang w:val="en-US" w:eastAsia="zh-CN" w:bidi="ar-SA"/>
              </w:rPr>
              <w:t>对工程状况有</w:t>
            </w:r>
            <w:r>
              <w:rPr>
                <w:rFonts w:hint="eastAsia" w:ascii="宋体" w:hAnsi="宋体" w:eastAsia="宋体" w:cs="宋体"/>
                <w:snapToGrid w:val="0"/>
                <w:color w:val="auto"/>
                <w:kern w:val="0"/>
                <w:sz w:val="24"/>
                <w:szCs w:val="24"/>
                <w:highlight w:val="none"/>
              </w:rPr>
              <w:t>一定</w:t>
            </w:r>
            <w:r>
              <w:rPr>
                <w:rFonts w:hint="eastAsia" w:ascii="宋体" w:hAnsi="宋体" w:eastAsia="宋体" w:cs="宋体"/>
                <w:snapToGrid w:val="0"/>
                <w:color w:val="auto"/>
                <w:kern w:val="0"/>
                <w:sz w:val="24"/>
                <w:szCs w:val="24"/>
                <w:highlight w:val="none"/>
                <w:lang w:val="en-US" w:eastAsia="zh-CN"/>
              </w:rPr>
              <w:t>了解</w:t>
            </w:r>
            <w:r>
              <w:rPr>
                <w:rFonts w:hint="eastAsia" w:ascii="宋体" w:hAnsi="宋体" w:eastAsia="宋体" w:cs="宋体"/>
                <w:color w:val="auto"/>
                <w:kern w:val="2"/>
                <w:sz w:val="24"/>
                <w:szCs w:val="24"/>
                <w:highlight w:val="none"/>
                <w:lang w:val="en-US" w:eastAsia="zh-CN" w:bidi="ar-SA"/>
              </w:rPr>
              <w:t>，对于工程难点、重点问题</w:t>
            </w:r>
            <w:r>
              <w:rPr>
                <w:rFonts w:hint="eastAsia" w:ascii="宋体" w:hAnsi="宋体" w:eastAsia="宋体" w:cs="宋体"/>
                <w:snapToGrid w:val="0"/>
                <w:color w:val="auto"/>
                <w:kern w:val="0"/>
                <w:sz w:val="24"/>
                <w:szCs w:val="24"/>
                <w:highlight w:val="none"/>
              </w:rPr>
              <w:t>表述清晰、完整，措施具体有效；施工段划分呼应总体表述，划分清晰，符合规范要求。</w:t>
            </w:r>
          </w:p>
          <w:p w14:paraId="1FE66207">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【中】对项目有认识，有一定的措施但部分不具体；施工段划分较合理，符合规范要求。</w:t>
            </w:r>
          </w:p>
          <w:p w14:paraId="6710C9FE">
            <w:pPr>
              <w:pStyle w:val="8"/>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【差】对项目认识不足，表述不清晰，措施不具体；施工段划分不合理。</w:t>
            </w:r>
          </w:p>
        </w:tc>
      </w:tr>
      <w:tr w14:paraId="2B33D507">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67859F3A">
            <w:pPr>
              <w:spacing w:line="360" w:lineRule="auto"/>
              <w:jc w:val="center"/>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设计方案思路</w:t>
            </w:r>
          </w:p>
          <w:p w14:paraId="5A2E7E88">
            <w:pPr>
              <w:pStyle w:val="8"/>
              <w:wordWrap w:val="0"/>
              <w:autoSpaceDE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u w:val="single"/>
                <w:lang w:val="en-US" w:eastAsia="zh-CN"/>
              </w:rPr>
              <w:t>3</w:t>
            </w:r>
            <w:r>
              <w:rPr>
                <w:rFonts w:hint="eastAsia" w:ascii="宋体" w:hAnsi="宋体" w:eastAsia="宋体" w:cs="宋体"/>
                <w:b w:val="0"/>
                <w:bCs w:val="0"/>
                <w:color w:val="auto"/>
                <w:spacing w:val="-2"/>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0DBB491">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5A5EA40B">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22606898">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6AB63DBE">
            <w:pPr>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p w14:paraId="4C3A0A06">
            <w:pPr>
              <w:spacing w:line="360" w:lineRule="auto"/>
              <w:rPr>
                <w:rFonts w:hint="eastAsia" w:ascii="宋体" w:hAnsi="宋体" w:eastAsia="宋体" w:cs="宋体"/>
                <w:color w:val="auto"/>
                <w:sz w:val="24"/>
                <w:szCs w:val="24"/>
                <w:highlight w:val="none"/>
              </w:rPr>
            </w:pPr>
          </w:p>
          <w:p w14:paraId="3265FAA9">
            <w:pPr>
              <w:spacing w:line="360" w:lineRule="auto"/>
              <w:rPr>
                <w:rFonts w:hint="eastAsia" w:ascii="宋体" w:hAnsi="宋体" w:eastAsia="宋体" w:cs="宋体"/>
                <w:color w:val="auto"/>
                <w:sz w:val="24"/>
                <w:szCs w:val="24"/>
                <w:highlight w:val="none"/>
              </w:rPr>
            </w:pPr>
          </w:p>
          <w:p w14:paraId="54114C94">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p>
        </w:tc>
        <w:tc>
          <w:tcPr>
            <w:tcW w:w="4918" w:type="dxa"/>
            <w:tcBorders>
              <w:top w:val="single" w:color="auto" w:sz="4" w:space="0"/>
              <w:left w:val="single" w:color="auto" w:sz="4" w:space="0"/>
              <w:bottom w:val="single" w:color="auto" w:sz="4" w:space="0"/>
              <w:right w:val="single" w:color="auto" w:sz="4" w:space="0"/>
            </w:tcBorders>
            <w:noWrap w:val="0"/>
            <w:vAlign w:val="center"/>
          </w:tcPr>
          <w:p w14:paraId="77D21567">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spacing w:val="-2"/>
                <w:sz w:val="24"/>
                <w:szCs w:val="24"/>
                <w:highlight w:val="none"/>
                <w:lang w:eastAsia="zh-CN"/>
              </w:rPr>
            </w:pPr>
            <w:r>
              <w:rPr>
                <w:rFonts w:hint="eastAsia" w:ascii="宋体" w:hAnsi="宋体" w:eastAsia="宋体" w:cs="宋体"/>
                <w:b w:val="0"/>
                <w:bCs w:val="0"/>
                <w:color w:val="auto"/>
                <w:spacing w:val="-2"/>
                <w:sz w:val="24"/>
                <w:szCs w:val="24"/>
                <w:highlight w:val="none"/>
              </w:rPr>
              <w:t>【优】方案能对项目设计所涉及的相关方面问题提出设计思路、经济性及分析</w:t>
            </w:r>
            <w:r>
              <w:rPr>
                <w:rFonts w:hint="eastAsia" w:ascii="宋体" w:hAnsi="宋体" w:eastAsia="宋体" w:cs="宋体"/>
                <w:b w:val="0"/>
                <w:bCs w:val="0"/>
                <w:color w:val="auto"/>
                <w:spacing w:val="-2"/>
                <w:sz w:val="24"/>
                <w:szCs w:val="24"/>
                <w:highlight w:val="none"/>
                <w:lang w:val="en-US" w:eastAsia="zh-CN"/>
              </w:rPr>
              <w:t>全面、合理、详细</w:t>
            </w:r>
            <w:r>
              <w:rPr>
                <w:rFonts w:hint="eastAsia" w:ascii="宋体" w:hAnsi="宋体" w:eastAsia="宋体" w:cs="宋体"/>
                <w:b w:val="0"/>
                <w:bCs w:val="0"/>
                <w:color w:val="auto"/>
                <w:spacing w:val="-2"/>
                <w:sz w:val="24"/>
                <w:szCs w:val="24"/>
                <w:highlight w:val="none"/>
              </w:rPr>
              <w:t>的</w:t>
            </w:r>
            <w:r>
              <w:rPr>
                <w:rFonts w:hint="eastAsia" w:hAnsi="宋体" w:eastAsia="宋体" w:cs="宋体"/>
                <w:b w:val="0"/>
                <w:bCs w:val="0"/>
                <w:color w:val="auto"/>
                <w:spacing w:val="-2"/>
                <w:sz w:val="24"/>
                <w:szCs w:val="24"/>
                <w:highlight w:val="none"/>
                <w:lang w:eastAsia="zh-CN"/>
              </w:rPr>
              <w:t>；</w:t>
            </w:r>
          </w:p>
          <w:p w14:paraId="60EAA7C5">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w:t>
            </w:r>
            <w:r>
              <w:rPr>
                <w:rFonts w:hint="eastAsia" w:ascii="宋体" w:hAnsi="宋体" w:eastAsia="宋体" w:cs="宋体"/>
                <w:b w:val="0"/>
                <w:bCs w:val="0"/>
                <w:color w:val="auto"/>
                <w:spacing w:val="-2"/>
                <w:sz w:val="24"/>
                <w:szCs w:val="24"/>
                <w:highlight w:val="none"/>
                <w:lang w:val="en-US" w:eastAsia="zh-CN"/>
              </w:rPr>
              <w:t>良</w:t>
            </w:r>
            <w:r>
              <w:rPr>
                <w:rFonts w:hint="eastAsia" w:ascii="宋体" w:hAnsi="宋体" w:eastAsia="宋体" w:cs="宋体"/>
                <w:b w:val="0"/>
                <w:bCs w:val="0"/>
                <w:color w:val="auto"/>
                <w:spacing w:val="-2"/>
                <w:sz w:val="24"/>
                <w:szCs w:val="24"/>
                <w:highlight w:val="none"/>
              </w:rPr>
              <w:t>】方案能对项目设计所涉及的相关方面问题</w:t>
            </w:r>
          </w:p>
          <w:p w14:paraId="61A28D3C">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lang w:val="en-US" w:eastAsia="zh-CN"/>
              </w:rPr>
              <w:t>有一定了解，</w:t>
            </w:r>
            <w:r>
              <w:rPr>
                <w:rFonts w:hint="eastAsia" w:ascii="宋体" w:hAnsi="宋体" w:eastAsia="宋体" w:cs="宋体"/>
                <w:b w:val="0"/>
                <w:bCs w:val="0"/>
                <w:color w:val="auto"/>
                <w:spacing w:val="-2"/>
                <w:sz w:val="24"/>
                <w:szCs w:val="24"/>
                <w:highlight w:val="none"/>
              </w:rPr>
              <w:t>提出合理设计思路、经济性及分析</w:t>
            </w:r>
            <w:r>
              <w:rPr>
                <w:rFonts w:hint="eastAsia" w:ascii="宋体" w:hAnsi="宋体" w:eastAsia="宋体" w:cs="宋体"/>
                <w:b w:val="0"/>
                <w:bCs w:val="0"/>
                <w:color w:val="auto"/>
                <w:spacing w:val="-2"/>
                <w:sz w:val="24"/>
                <w:szCs w:val="24"/>
                <w:highlight w:val="none"/>
                <w:lang w:val="en-US" w:eastAsia="zh-CN"/>
              </w:rPr>
              <w:t>较全面</w:t>
            </w:r>
            <w:r>
              <w:rPr>
                <w:rFonts w:hint="eastAsia" w:ascii="宋体" w:hAnsi="宋体" w:eastAsia="宋体" w:cs="宋体"/>
                <w:b w:val="0"/>
                <w:bCs w:val="0"/>
                <w:color w:val="auto"/>
                <w:spacing w:val="-2"/>
                <w:sz w:val="24"/>
                <w:szCs w:val="24"/>
                <w:highlight w:val="none"/>
              </w:rPr>
              <w:t>的；</w:t>
            </w:r>
          </w:p>
          <w:p w14:paraId="35098BAF">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snapToGrid w:val="0"/>
                <w:color w:val="auto"/>
                <w:kern w:val="0"/>
                <w:sz w:val="24"/>
                <w:szCs w:val="24"/>
                <w:highlight w:val="none"/>
              </w:rPr>
              <w:t>【中】</w:t>
            </w:r>
            <w:r>
              <w:rPr>
                <w:rFonts w:hint="eastAsia" w:ascii="宋体" w:hAnsi="宋体" w:eastAsia="宋体" w:cs="宋体"/>
                <w:b w:val="0"/>
                <w:bCs w:val="0"/>
                <w:color w:val="auto"/>
                <w:spacing w:val="-2"/>
                <w:sz w:val="24"/>
                <w:szCs w:val="24"/>
                <w:highlight w:val="none"/>
              </w:rPr>
              <w:t>方案能对项目设计所涉及的相关方面问题</w:t>
            </w:r>
          </w:p>
          <w:p w14:paraId="49EDCC4E">
            <w:pPr>
              <w:keepNext w:val="0"/>
              <w:keepLines w:val="0"/>
              <w:pageBreakBefore w:val="0"/>
              <w:widowControl w:val="0"/>
              <w:kinsoku/>
              <w:wordWrap/>
              <w:overflowPunct/>
              <w:topLinePunct w:val="0"/>
              <w:autoSpaceDE/>
              <w:autoSpaceDN/>
              <w:bidi w:val="0"/>
              <w:adjustRightInd w:val="0"/>
              <w:snapToGrid w:val="0"/>
              <w:spacing w:after="0"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color w:val="auto"/>
                <w:spacing w:val="-2"/>
                <w:sz w:val="24"/>
                <w:szCs w:val="24"/>
                <w:highlight w:val="none"/>
                <w:lang w:val="en-US" w:eastAsia="zh-CN"/>
              </w:rPr>
              <w:t>有认识，</w:t>
            </w:r>
            <w:r>
              <w:rPr>
                <w:rFonts w:hint="eastAsia" w:ascii="宋体" w:hAnsi="宋体" w:eastAsia="宋体" w:cs="宋体"/>
                <w:b w:val="0"/>
                <w:bCs w:val="0"/>
                <w:color w:val="auto"/>
                <w:spacing w:val="-2"/>
                <w:sz w:val="24"/>
                <w:szCs w:val="24"/>
                <w:highlight w:val="none"/>
              </w:rPr>
              <w:t>提出设计思路、经济性及分析</w:t>
            </w:r>
            <w:r>
              <w:rPr>
                <w:rFonts w:hint="eastAsia" w:ascii="宋体" w:hAnsi="宋体" w:eastAsia="宋体" w:cs="宋体"/>
                <w:b w:val="0"/>
                <w:bCs w:val="0"/>
                <w:color w:val="auto"/>
                <w:spacing w:val="-2"/>
                <w:sz w:val="24"/>
                <w:szCs w:val="24"/>
                <w:highlight w:val="none"/>
                <w:lang w:val="en-US" w:eastAsia="zh-CN"/>
              </w:rPr>
              <w:t>较部分不具体的</w:t>
            </w:r>
            <w:r>
              <w:rPr>
                <w:rFonts w:hint="eastAsia" w:ascii="宋体" w:hAnsi="宋体" w:eastAsia="宋体" w:cs="宋体"/>
                <w:b w:val="0"/>
                <w:bCs w:val="0"/>
                <w:color w:val="auto"/>
                <w:spacing w:val="-2"/>
                <w:sz w:val="24"/>
                <w:szCs w:val="24"/>
                <w:highlight w:val="none"/>
              </w:rPr>
              <w:t>；</w:t>
            </w:r>
          </w:p>
          <w:p w14:paraId="45C622B8">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b w:val="0"/>
                <w:bCs w:val="0"/>
                <w:color w:val="auto"/>
                <w:spacing w:val="-2"/>
                <w:sz w:val="24"/>
                <w:szCs w:val="24"/>
                <w:highlight w:val="none"/>
              </w:rPr>
            </w:pPr>
            <w:r>
              <w:rPr>
                <w:rFonts w:hint="eastAsia" w:ascii="宋体" w:hAnsi="宋体" w:eastAsia="宋体" w:cs="宋体"/>
                <w:snapToGrid w:val="0"/>
                <w:color w:val="auto"/>
                <w:kern w:val="0"/>
                <w:sz w:val="24"/>
                <w:szCs w:val="24"/>
                <w:highlight w:val="none"/>
              </w:rPr>
              <w:t>【差】</w:t>
            </w:r>
            <w:r>
              <w:rPr>
                <w:rFonts w:hint="eastAsia" w:ascii="宋体" w:hAnsi="宋体" w:eastAsia="宋体" w:cs="宋体"/>
                <w:b w:val="0"/>
                <w:bCs w:val="0"/>
                <w:color w:val="auto"/>
                <w:spacing w:val="-2"/>
                <w:sz w:val="24"/>
                <w:szCs w:val="24"/>
                <w:highlight w:val="none"/>
              </w:rPr>
              <w:t>方案能对项目设计所涉及的相关方面问题</w:t>
            </w:r>
          </w:p>
          <w:p w14:paraId="48DE6C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color w:val="auto"/>
                <w:spacing w:val="-2"/>
                <w:sz w:val="24"/>
                <w:szCs w:val="24"/>
                <w:highlight w:val="none"/>
                <w:lang w:val="en-US" w:eastAsia="zh-CN"/>
              </w:rPr>
              <w:t>认识不足，</w:t>
            </w:r>
            <w:r>
              <w:rPr>
                <w:rFonts w:hint="eastAsia" w:ascii="宋体" w:hAnsi="宋体" w:eastAsia="宋体" w:cs="宋体"/>
                <w:b w:val="0"/>
                <w:bCs w:val="0"/>
                <w:color w:val="auto"/>
                <w:spacing w:val="-2"/>
                <w:sz w:val="24"/>
                <w:szCs w:val="24"/>
                <w:highlight w:val="none"/>
              </w:rPr>
              <w:t>提出</w:t>
            </w:r>
            <w:r>
              <w:rPr>
                <w:rFonts w:hint="eastAsia" w:ascii="宋体" w:hAnsi="宋体" w:eastAsia="宋体" w:cs="宋体"/>
                <w:b w:val="0"/>
                <w:bCs w:val="0"/>
                <w:color w:val="auto"/>
                <w:spacing w:val="-2"/>
                <w:sz w:val="24"/>
                <w:szCs w:val="24"/>
                <w:highlight w:val="none"/>
                <w:lang w:val="en-US" w:eastAsia="zh-CN"/>
              </w:rPr>
              <w:t>的</w:t>
            </w:r>
            <w:r>
              <w:rPr>
                <w:rFonts w:hint="eastAsia" w:ascii="宋体" w:hAnsi="宋体" w:eastAsia="宋体" w:cs="宋体"/>
                <w:b w:val="0"/>
                <w:bCs w:val="0"/>
                <w:color w:val="auto"/>
                <w:spacing w:val="-2"/>
                <w:sz w:val="24"/>
                <w:szCs w:val="24"/>
                <w:highlight w:val="none"/>
              </w:rPr>
              <w:t>设计思路不具体、经济性及分析</w:t>
            </w:r>
            <w:r>
              <w:rPr>
                <w:rFonts w:hint="eastAsia" w:ascii="宋体" w:hAnsi="宋体" w:eastAsia="宋体" w:cs="宋体"/>
                <w:b w:val="0"/>
                <w:bCs w:val="0"/>
                <w:color w:val="auto"/>
                <w:spacing w:val="-2"/>
                <w:sz w:val="24"/>
                <w:szCs w:val="24"/>
                <w:highlight w:val="none"/>
                <w:lang w:val="en-US" w:eastAsia="zh-CN"/>
              </w:rPr>
              <w:t>不合理</w:t>
            </w:r>
            <w:r>
              <w:rPr>
                <w:rFonts w:hint="eastAsia" w:ascii="宋体" w:hAnsi="宋体" w:eastAsia="宋体" w:cs="宋体"/>
                <w:b w:val="0"/>
                <w:bCs w:val="0"/>
                <w:color w:val="auto"/>
                <w:spacing w:val="-2"/>
                <w:sz w:val="24"/>
                <w:szCs w:val="24"/>
                <w:highlight w:val="none"/>
              </w:rPr>
              <w:t>的</w:t>
            </w:r>
            <w:r>
              <w:rPr>
                <w:rFonts w:hint="eastAsia" w:ascii="宋体" w:hAnsi="宋体" w:eastAsia="宋体" w:cs="宋体"/>
                <w:b w:val="0"/>
                <w:bCs w:val="0"/>
                <w:color w:val="auto"/>
                <w:spacing w:val="-2"/>
                <w:sz w:val="24"/>
                <w:szCs w:val="24"/>
                <w:highlight w:val="none"/>
                <w:lang w:eastAsia="zh-CN"/>
              </w:rPr>
              <w:t>。</w:t>
            </w:r>
          </w:p>
        </w:tc>
      </w:tr>
      <w:tr w14:paraId="2F251EDC">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688B95B3">
            <w:pPr>
              <w:pStyle w:val="8"/>
              <w:adjustRightInd w:val="0"/>
              <w:snapToGrid w:val="0"/>
              <w:spacing w:after="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设备、材料采购方案</w:t>
            </w:r>
          </w:p>
          <w:p w14:paraId="1C6DA7DA">
            <w:pPr>
              <w:pStyle w:val="22"/>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1163CC00">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1D823774">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7621A251">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6F03BEE6">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0%（含</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108151DE">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w:t>
            </w:r>
            <w:r>
              <w:rPr>
                <w:rFonts w:hint="eastAsia" w:ascii="宋体" w:hAnsi="宋体" w:eastAsia="宋体" w:cs="宋体"/>
                <w:color w:val="auto"/>
                <w:kern w:val="2"/>
                <w:sz w:val="24"/>
                <w:szCs w:val="24"/>
                <w:highlight w:val="none"/>
                <w:lang w:val="en-US" w:eastAsia="zh-CN" w:bidi="ar-SA"/>
              </w:rPr>
              <w:t>结合该工程所涉及的设备，采购方案逻辑清晰、内容全面，供货流程衔接紧密，无脱节风险，设备及材料进场与项目进度高度匹配，可精准保障项目推进，应急保障方案能针对各类突发情况制定具体应对策略，可快速有效解决问题。</w:t>
            </w:r>
          </w:p>
          <w:p w14:paraId="27E768F0">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w:t>
            </w:r>
            <w:r>
              <w:rPr>
                <w:rFonts w:hint="eastAsia" w:ascii="宋体" w:hAnsi="宋体" w:eastAsia="宋体" w:cs="宋体"/>
                <w:color w:val="auto"/>
                <w:sz w:val="24"/>
                <w:szCs w:val="24"/>
                <w:highlight w:val="none"/>
                <w:lang w:val="en-US" w:eastAsia="zh-CN"/>
              </w:rPr>
              <w:t>结合该工程所涉及的设备，采购方案内容较完整，逻辑较清晰，供货流程基本顺畅，偶有衔接延迟风险，设备及材料进场与项目进度基本匹配，轻微调整即可保障项目推进，应急保障方案能针对常见突发情况有应对策略，特殊情况应对需补充。</w:t>
            </w:r>
          </w:p>
          <w:p w14:paraId="40D537C7">
            <w:pPr>
              <w:pStyle w:val="23"/>
              <w:spacing w:line="360" w:lineRule="auto"/>
              <w:ind w:left="0" w:leftChars="0" w:firstLine="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结合该工程所涉及的设备，内容基本完整，但逻辑不清晰，关键流程缺失，供货流程存在明显衔接问题，可能影响供货效率，设备及材料进场与项目进度匹配度低，需大幅调整才能保障项目推进，应急保障方案仅列出部分突发情况，无具体应对策略，应急能力不足。</w:t>
            </w:r>
          </w:p>
          <w:p w14:paraId="4F16D0FC">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结合该工程所涉及的设备，内容混乱残缺，逻辑混乱，无实际可操作性，供货流程混乱，大概率无法按时供货，设备及材料进场与项目进度完全脱，严重阻碍项目推进，未提及任何突发情况及应对策略，无应急能力。</w:t>
            </w:r>
          </w:p>
        </w:tc>
      </w:tr>
      <w:tr w14:paraId="6F3FA0B9">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0C89E9C5">
            <w:pPr>
              <w:pStyle w:val="8"/>
              <w:adjustRightInd w:val="0"/>
              <w:snapToGrid w:val="0"/>
              <w:spacing w:after="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项目组织机构及人员配置、机械设备、劳动力投入计划</w:t>
            </w:r>
          </w:p>
          <w:p w14:paraId="059B97AA">
            <w:pPr>
              <w:pStyle w:val="22"/>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0AAC0393">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3370ED3E">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4764576D">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0B74CF81">
            <w:pPr>
              <w:pStyle w:val="8"/>
              <w:adjustRightInd w:val="0"/>
              <w:snapToGrid w:val="0"/>
              <w:spacing w:after="0"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0%（含</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1A922C28">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w:t>
            </w:r>
            <w:r>
              <w:rPr>
                <w:rFonts w:hint="eastAsia" w:ascii="宋体" w:hAnsi="宋体" w:eastAsia="宋体" w:cs="宋体"/>
                <w:snapToGrid w:val="0"/>
                <w:color w:val="auto"/>
                <w:kern w:val="0"/>
                <w:sz w:val="24"/>
                <w:szCs w:val="24"/>
                <w:highlight w:val="none"/>
                <w:lang w:val="en-US" w:eastAsia="zh-CN"/>
              </w:rPr>
              <w:t>有施工组织机构，人员配置齐全，(包括（项目经理（项目负责人）、技术负责人、安全员等人员职责及人员调配计划描述清晰完整，劳动力和机械设备投入丰富，计划详细、合理，能满足本项目工期要求的。</w:t>
            </w:r>
          </w:p>
          <w:p w14:paraId="2E93FCFA">
            <w:pPr>
              <w:pStyle w:val="23"/>
              <w:spacing w:line="360" w:lineRule="auto"/>
              <w:ind w:left="0" w:leftChars="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良</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z w:val="24"/>
                <w:szCs w:val="24"/>
                <w:highlight w:val="none"/>
              </w:rPr>
              <w:t>施工组织机构</w:t>
            </w:r>
            <w:r>
              <w:rPr>
                <w:rFonts w:hint="eastAsia" w:ascii="宋体" w:hAnsi="宋体" w:eastAsia="宋体" w:cs="宋体"/>
                <w:color w:val="auto"/>
                <w:sz w:val="24"/>
                <w:szCs w:val="24"/>
                <w:highlight w:val="none"/>
                <w:lang w:val="en-US" w:eastAsia="zh-CN"/>
              </w:rPr>
              <w:t>较</w:t>
            </w:r>
            <w:r>
              <w:rPr>
                <w:rFonts w:hint="eastAsia" w:ascii="宋体" w:hAnsi="宋体" w:eastAsia="宋体" w:cs="宋体"/>
                <w:color w:val="auto"/>
                <w:sz w:val="24"/>
                <w:szCs w:val="24"/>
                <w:highlight w:val="none"/>
              </w:rPr>
              <w:t>完整，人员配置较齐全，人员职责及人员调配计划描述较清晰，劳动力和机械设备投入较丰富，计划较详细、较合理，能满足本项目工期要求的</w:t>
            </w:r>
            <w:r>
              <w:rPr>
                <w:rFonts w:hint="eastAsia" w:ascii="宋体" w:hAnsi="宋体" w:eastAsia="宋体" w:cs="宋体"/>
                <w:color w:val="auto"/>
                <w:sz w:val="24"/>
                <w:szCs w:val="24"/>
                <w:highlight w:val="none"/>
                <w:lang w:eastAsia="zh-CN"/>
              </w:rPr>
              <w:t>。</w:t>
            </w:r>
          </w:p>
          <w:p w14:paraId="6E153008">
            <w:pPr>
              <w:spacing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中</w:t>
            </w:r>
            <w:r>
              <w:rPr>
                <w:rFonts w:hint="eastAsia" w:ascii="宋体" w:hAnsi="宋体" w:eastAsia="宋体" w:cs="宋体"/>
                <w:snapToGrid w:val="0"/>
                <w:color w:val="auto"/>
                <w:kern w:val="0"/>
                <w:sz w:val="24"/>
                <w:szCs w:val="24"/>
                <w:highlight w:val="none"/>
              </w:rPr>
              <w:t>】施工组织机构不完整，人员配置较大缺失，人员职责及人员调配计划描述不够清晰，劳动力和机械设备投入基本满足项目需求，计划详细性、合理性一般</w:t>
            </w:r>
            <w:r>
              <w:rPr>
                <w:rFonts w:hint="eastAsia" w:ascii="宋体" w:hAnsi="宋体" w:eastAsia="宋体" w:cs="宋体"/>
                <w:snapToGrid w:val="0"/>
                <w:color w:val="auto"/>
                <w:kern w:val="0"/>
                <w:sz w:val="24"/>
                <w:szCs w:val="24"/>
                <w:highlight w:val="none"/>
                <w:lang w:eastAsia="zh-CN"/>
              </w:rPr>
              <w:t>。</w:t>
            </w:r>
          </w:p>
          <w:p w14:paraId="4952A39E">
            <w:pPr>
              <w:pStyle w:val="23"/>
              <w:spacing w:line="360" w:lineRule="auto"/>
              <w:ind w:left="0" w:leftChars="0" w:firstLine="0" w:firstLineChars="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差</w:t>
            </w:r>
            <w:r>
              <w:rPr>
                <w:rFonts w:hint="eastAsia" w:ascii="宋体" w:hAnsi="宋体" w:eastAsia="宋体" w:cs="宋体"/>
                <w:snapToGrid w:val="0"/>
                <w:color w:val="auto"/>
                <w:kern w:val="0"/>
                <w:sz w:val="24"/>
                <w:szCs w:val="24"/>
                <w:highlight w:val="none"/>
              </w:rPr>
              <w:t>】未建立完整的施工组织机构，人员配置缺失严重，无人员职责及人员调配计划，未制定劳动力及设备投入计划，或计划与本项目工期要求完全脱节，无任何可行性</w:t>
            </w:r>
            <w:r>
              <w:rPr>
                <w:rFonts w:hint="eastAsia" w:ascii="宋体" w:hAnsi="宋体" w:eastAsia="宋体" w:cs="宋体"/>
                <w:snapToGrid w:val="0"/>
                <w:color w:val="auto"/>
                <w:kern w:val="0"/>
                <w:sz w:val="24"/>
                <w:szCs w:val="24"/>
                <w:highlight w:val="none"/>
                <w:lang w:eastAsia="zh-CN"/>
              </w:rPr>
              <w:t>。</w:t>
            </w:r>
          </w:p>
        </w:tc>
      </w:tr>
      <w:tr w14:paraId="3AD8BB28">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525195C0">
            <w:pPr>
              <w:widowControl/>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工期及施工</w:t>
            </w:r>
          </w:p>
          <w:p w14:paraId="0A8D282E">
            <w:pPr>
              <w:pStyle w:val="73"/>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进度计划</w:t>
            </w:r>
          </w:p>
          <w:p w14:paraId="083C52D8">
            <w:pPr>
              <w:pStyle w:val="73"/>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200CA17">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3E57B3F7">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678C395C">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3CDFB7AA">
            <w:pPr>
              <w:pStyle w:val="79"/>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0%（含</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6F1804A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z w:val="24"/>
                <w:szCs w:val="24"/>
                <w:highlight w:val="none"/>
                <w:lang w:val="en-US" w:eastAsia="zh-CN"/>
              </w:rPr>
              <w:t>优】施工进度计划满足工期要求，进度安排合理，关键路径工序编排合理。资源调配方面人力、设备、材料等资源配置充足，调配方案合理，进度保障措施能针对延误风险制定应急预案。</w:t>
            </w:r>
          </w:p>
          <w:p w14:paraId="007136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施工进度计划基本满足工期要求，进度安排基本合理，关键路径工序编排基本合理。资源调配方面人力、设备、材料等资源配置基本充足，调配方案较合理，针对常见延误风险有应对策略，责任分工较清晰，特殊情况应对需补充。</w:t>
            </w:r>
          </w:p>
          <w:p w14:paraId="7CD47E1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【中】施工进度计划大致符合工期要求，关键节点模糊，资源配置不足，调配方案不合理，针对常见延误风险仅提及部分延误风险，无具体应对策略，解决进度问题能力弱。</w:t>
            </w:r>
          </w:p>
          <w:p w14:paraId="6E2D6EFB">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【差】施工进度计划与工期要求严重不符，无明确节点，资源配置严重缺失，无合理调配方案，针对常见延误风险未提及延误风险及应对策略，完全无进度保障能力，易导致工期严重滞后。</w:t>
            </w:r>
          </w:p>
        </w:tc>
      </w:tr>
      <w:tr w14:paraId="0658DC27">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63FC5E92">
            <w:pPr>
              <w:pStyle w:val="73"/>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质量、安全、环境保护（含水土保持）目标及保障措施</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52A5A6F">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79D6CAD8">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36343F59">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78D2A3BE">
            <w:pPr>
              <w:pStyle w:val="79"/>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0C8D060F">
            <w:pPr>
              <w:pStyle w:val="8"/>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【优】质量、安全、环境保护目标明确，有针对本工程</w:t>
            </w:r>
            <w:r>
              <w:rPr>
                <w:rFonts w:hint="eastAsia" w:ascii="宋体" w:hAnsi="宋体" w:eastAsia="宋体" w:cs="宋体"/>
                <w:snapToGrid w:val="0"/>
                <w:color w:val="auto"/>
                <w:kern w:val="0"/>
                <w:sz w:val="24"/>
                <w:szCs w:val="24"/>
                <w:highlight w:val="none"/>
                <w:lang w:val="en-US" w:eastAsia="zh-CN"/>
              </w:rPr>
              <w:t>完善的</w:t>
            </w:r>
            <w:r>
              <w:rPr>
                <w:rFonts w:hint="eastAsia" w:ascii="宋体" w:hAnsi="宋体" w:eastAsia="宋体" w:cs="宋体"/>
                <w:snapToGrid w:val="0"/>
                <w:color w:val="auto"/>
                <w:kern w:val="0"/>
                <w:sz w:val="24"/>
                <w:szCs w:val="24"/>
                <w:highlight w:val="none"/>
              </w:rPr>
              <w:t>各项保障体系及专项措施，对容易出现的质量、安全及环境事件有完善的应急预案</w:t>
            </w:r>
            <w:r>
              <w:rPr>
                <w:rStyle w:val="80"/>
                <w:rFonts w:hint="eastAsia" w:ascii="宋体" w:hAnsi="宋体" w:eastAsia="宋体" w:cs="宋体"/>
                <w:color w:val="auto"/>
                <w:sz w:val="24"/>
                <w:szCs w:val="24"/>
                <w:highlight w:val="none"/>
              </w:rPr>
              <w:t>。</w:t>
            </w:r>
          </w:p>
          <w:p w14:paraId="091BDC36">
            <w:pPr>
              <w:pStyle w:val="8"/>
              <w:adjustRightInd w:val="0"/>
              <w:snapToGrid w:val="0"/>
              <w:spacing w:after="0"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【良】质量、安全、环境保护目标较明确，有针对本工程各项保障体系及专项措施较完善，对常见质量、安全及环境事件有应急预案，内容较完善，仅特殊事件处置细节需细化。</w:t>
            </w:r>
          </w:p>
          <w:p w14:paraId="47ADC202">
            <w:pPr>
              <w:pStyle w:val="8"/>
              <w:adjustRightInd w:val="0"/>
              <w:snapToGrid w:val="0"/>
              <w:spacing w:after="0"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【中】质量、安全、环境保护目标表述模糊，针对本工程的保障体系不健全，专项措施零散，仅简单提及部分质量、安全及环境事件，无完整应急预案，缺乏具体处置流程</w:t>
            </w:r>
            <w:r>
              <w:rPr>
                <w:rFonts w:hint="eastAsia" w:ascii="宋体" w:hAnsi="宋体" w:eastAsia="宋体" w:cs="宋体"/>
                <w:snapToGrid w:val="0"/>
                <w:color w:val="auto"/>
                <w:kern w:val="0"/>
                <w:sz w:val="24"/>
                <w:szCs w:val="24"/>
                <w:highlight w:val="none"/>
                <w:lang w:eastAsia="zh-CN"/>
              </w:rPr>
              <w:t>。</w:t>
            </w:r>
          </w:p>
          <w:p w14:paraId="7C68393E">
            <w:pPr>
              <w:pStyle w:val="79"/>
              <w:adjustRightInd w:val="0"/>
              <w:snapToGrid w:val="0"/>
              <w:spacing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【差】未明确质量、安全、环境保护目标，目标与工程实际严重脱节，无针对本工程的保障体系，未制定专项措施、安全及环境事件，未提及任何质量、安全及环境事件应急预案，突发情况无处置依据</w:t>
            </w:r>
            <w:r>
              <w:rPr>
                <w:rFonts w:hint="eastAsia" w:ascii="宋体" w:hAnsi="宋体" w:eastAsia="宋体" w:cs="宋体"/>
                <w:snapToGrid w:val="0"/>
                <w:color w:val="auto"/>
                <w:kern w:val="0"/>
                <w:sz w:val="24"/>
                <w:szCs w:val="24"/>
                <w:highlight w:val="none"/>
                <w:lang w:eastAsia="zh-CN"/>
              </w:rPr>
              <w:t>。</w:t>
            </w:r>
          </w:p>
        </w:tc>
      </w:tr>
      <w:tr w14:paraId="21C019E5">
        <w:tblPrEx>
          <w:tblCellMar>
            <w:top w:w="0" w:type="dxa"/>
            <w:left w:w="108" w:type="dxa"/>
            <w:bottom w:w="0" w:type="dxa"/>
            <w:right w:w="108" w:type="dxa"/>
          </w:tblCellMar>
        </w:tblPrEx>
        <w:trPr>
          <w:trHeight w:val="0" w:hRule="atLeast"/>
          <w:jc w:val="center"/>
        </w:trPr>
        <w:tc>
          <w:tcPr>
            <w:tcW w:w="1919" w:type="dxa"/>
            <w:gridSpan w:val="3"/>
            <w:tcBorders>
              <w:top w:val="single" w:color="auto" w:sz="4" w:space="0"/>
              <w:left w:val="single" w:color="auto" w:sz="4" w:space="0"/>
              <w:bottom w:val="single" w:color="auto" w:sz="4" w:space="0"/>
              <w:right w:val="single" w:color="auto" w:sz="4" w:space="0"/>
            </w:tcBorders>
            <w:noWrap w:val="0"/>
            <w:vAlign w:val="center"/>
          </w:tcPr>
          <w:p w14:paraId="4581507C">
            <w:pPr>
              <w:pStyle w:val="73"/>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技术文件的总体评价</w:t>
            </w:r>
          </w:p>
          <w:p w14:paraId="71CAD214">
            <w:pPr>
              <w:pStyle w:val="73"/>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751B2062">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06F9E731">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09CFC9F4">
            <w:pPr>
              <w:pStyle w:val="78"/>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1171697B">
            <w:pPr>
              <w:pStyle w:val="79"/>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918" w:type="dxa"/>
            <w:tcBorders>
              <w:top w:val="single" w:color="auto" w:sz="4" w:space="0"/>
              <w:left w:val="single" w:color="auto" w:sz="4" w:space="0"/>
              <w:bottom w:val="single" w:color="auto" w:sz="4" w:space="0"/>
              <w:right w:val="single" w:color="auto" w:sz="4" w:space="0"/>
            </w:tcBorders>
            <w:noWrap w:val="0"/>
            <w:vAlign w:val="center"/>
          </w:tcPr>
          <w:p w14:paraId="59EF5234">
            <w:pPr>
              <w:widowControl/>
              <w:adjustRightInd w:val="0"/>
              <w:snapToGrid w:val="0"/>
              <w:spacing w:line="36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snapToGrid w:val="0"/>
                <w:color w:val="auto"/>
                <w:kern w:val="0"/>
                <w:sz w:val="24"/>
                <w:szCs w:val="24"/>
                <w:highlight w:val="none"/>
              </w:rPr>
              <w:t>【优】</w:t>
            </w:r>
            <w:r>
              <w:rPr>
                <w:rFonts w:hint="eastAsia" w:ascii="宋体" w:hAnsi="宋体" w:eastAsia="宋体" w:cs="宋体"/>
                <w:color w:val="auto"/>
                <w:kern w:val="0"/>
                <w:sz w:val="24"/>
                <w:szCs w:val="24"/>
                <w:highlight w:val="none"/>
                <w:lang w:bidi="ar"/>
              </w:rPr>
              <w:t>投标文件编制科学，结构、内容的严密性高，叙述严谨，文字精炼、，投标文件响应程度高，编制认真、详尽、无漏项。</w:t>
            </w:r>
          </w:p>
          <w:p w14:paraId="2C544256">
            <w:pPr>
              <w:pStyle w:val="79"/>
              <w:adjustRightInd w:val="0"/>
              <w:snapToGrid w:val="0"/>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【良】投标文件响应程度较高，编制</w:t>
            </w:r>
            <w:r>
              <w:rPr>
                <w:rFonts w:hint="eastAsia" w:ascii="宋体" w:hAnsi="宋体" w:eastAsia="宋体" w:cs="宋体"/>
                <w:snapToGrid w:val="0"/>
                <w:color w:val="auto"/>
                <w:kern w:val="0"/>
                <w:sz w:val="24"/>
                <w:szCs w:val="24"/>
                <w:highlight w:val="none"/>
              </w:rPr>
              <w:t>较详细</w:t>
            </w:r>
            <w:r>
              <w:rPr>
                <w:rFonts w:hint="eastAsia" w:ascii="宋体" w:hAnsi="宋体" w:eastAsia="宋体" w:cs="宋体"/>
                <w:color w:val="auto"/>
                <w:kern w:val="0"/>
                <w:sz w:val="24"/>
                <w:szCs w:val="24"/>
                <w:highlight w:val="none"/>
                <w:lang w:bidi="ar"/>
              </w:rPr>
              <w:t>。</w:t>
            </w:r>
          </w:p>
          <w:p w14:paraId="5A4784DE">
            <w:pPr>
              <w:pStyle w:val="79"/>
              <w:adjustRightInd w:val="0"/>
              <w:snapToGrid w:val="0"/>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【中】投标文件响应程度一般，编制</w:t>
            </w:r>
            <w:r>
              <w:rPr>
                <w:rFonts w:hint="eastAsia" w:ascii="宋体" w:hAnsi="宋体" w:eastAsia="宋体" w:cs="宋体"/>
                <w:snapToGrid w:val="0"/>
                <w:color w:val="auto"/>
                <w:kern w:val="0"/>
                <w:sz w:val="24"/>
                <w:szCs w:val="24"/>
                <w:highlight w:val="none"/>
              </w:rPr>
              <w:t>不够详细</w:t>
            </w:r>
            <w:r>
              <w:rPr>
                <w:rFonts w:hint="eastAsia" w:ascii="宋体" w:hAnsi="宋体" w:eastAsia="宋体" w:cs="宋体"/>
                <w:color w:val="auto"/>
                <w:kern w:val="0"/>
                <w:sz w:val="24"/>
                <w:szCs w:val="24"/>
                <w:highlight w:val="none"/>
                <w:lang w:bidi="ar"/>
              </w:rPr>
              <w:t>。</w:t>
            </w:r>
          </w:p>
          <w:p w14:paraId="641115BC">
            <w:pPr>
              <w:pStyle w:val="79"/>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lang w:bidi="ar"/>
              </w:rPr>
              <w:t>【差】投标文件响应程度较低，编制内容简单。</w:t>
            </w:r>
          </w:p>
        </w:tc>
      </w:tr>
      <w:tr w14:paraId="6EA11EF8">
        <w:tblPrEx>
          <w:tblCellMar>
            <w:top w:w="0" w:type="dxa"/>
            <w:left w:w="108" w:type="dxa"/>
            <w:bottom w:w="0" w:type="dxa"/>
            <w:right w:w="108" w:type="dxa"/>
          </w:tblCellMar>
        </w:tblPrEx>
        <w:trPr>
          <w:trHeight w:val="0" w:hRule="atLeast"/>
          <w:jc w:val="center"/>
        </w:trPr>
        <w:tc>
          <w:tcPr>
            <w:tcW w:w="1026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14:paraId="1DB31FA5">
            <w:pPr>
              <w:pStyle w:val="79"/>
              <w:wordWrap w:val="0"/>
              <w:adjustRightInd w:val="0"/>
              <w:snapToGrid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u w:val="single"/>
                <w:lang w:val="en-US" w:eastAsia="zh-CN"/>
              </w:rPr>
              <w:t>20</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rPr>
              <w:t>分。</w:t>
            </w:r>
          </w:p>
        </w:tc>
      </w:tr>
      <w:tr w14:paraId="070074EE">
        <w:tblPrEx>
          <w:tblCellMar>
            <w:top w:w="0" w:type="dxa"/>
            <w:left w:w="108" w:type="dxa"/>
            <w:bottom w:w="0" w:type="dxa"/>
            <w:right w:w="108" w:type="dxa"/>
          </w:tblCellMar>
        </w:tblPrEx>
        <w:trPr>
          <w:trHeight w:val="0"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4036C5E0">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9012" w:type="dxa"/>
            <w:gridSpan w:val="3"/>
            <w:tcBorders>
              <w:top w:val="single" w:color="auto" w:sz="4" w:space="0"/>
              <w:left w:val="single" w:color="auto" w:sz="4" w:space="0"/>
              <w:bottom w:val="single" w:color="auto" w:sz="4" w:space="0"/>
              <w:right w:val="single" w:color="auto" w:sz="4" w:space="0"/>
            </w:tcBorders>
            <w:noWrap w:val="0"/>
            <w:vAlign w:val="center"/>
          </w:tcPr>
          <w:p w14:paraId="5BF590CD">
            <w:pPr>
              <w:pStyle w:val="8"/>
              <w:wordWrap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69DCDA63">
        <w:tblPrEx>
          <w:tblCellMar>
            <w:top w:w="0" w:type="dxa"/>
            <w:left w:w="108" w:type="dxa"/>
            <w:bottom w:w="0" w:type="dxa"/>
            <w:right w:w="108" w:type="dxa"/>
          </w:tblCellMar>
        </w:tblPrEx>
        <w:trPr>
          <w:trHeight w:val="0"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467BAFE8">
            <w:pPr>
              <w:pStyle w:val="73"/>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9012" w:type="dxa"/>
            <w:gridSpan w:val="3"/>
            <w:tcBorders>
              <w:top w:val="single" w:color="auto" w:sz="4" w:space="0"/>
              <w:left w:val="single" w:color="auto" w:sz="4" w:space="0"/>
              <w:bottom w:val="single" w:color="auto" w:sz="4" w:space="0"/>
              <w:right w:val="single" w:color="auto" w:sz="4" w:space="0"/>
            </w:tcBorders>
            <w:noWrap w:val="0"/>
            <w:vAlign w:val="center"/>
          </w:tcPr>
          <w:p w14:paraId="2D19C818">
            <w:pPr>
              <w:numPr>
                <w:ilvl w:val="0"/>
                <w:numId w:val="2"/>
              </w:num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确定</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下浮系数n。具体号码对应的下浮系数详见下表：</w:t>
            </w:r>
          </w:p>
          <w:tbl>
            <w:tblPr>
              <w:tblStyle w:val="25"/>
              <w:tblW w:w="7835" w:type="dxa"/>
              <w:jc w:val="center"/>
              <w:tblLayout w:type="fixed"/>
              <w:tblCellMar>
                <w:top w:w="0" w:type="dxa"/>
                <w:left w:w="108" w:type="dxa"/>
                <w:bottom w:w="0" w:type="dxa"/>
                <w:right w:w="108" w:type="dxa"/>
              </w:tblCellMar>
            </w:tblPr>
            <w:tblGrid>
              <w:gridCol w:w="1661"/>
              <w:gridCol w:w="836"/>
              <w:gridCol w:w="873"/>
              <w:gridCol w:w="909"/>
              <w:gridCol w:w="892"/>
              <w:gridCol w:w="928"/>
              <w:gridCol w:w="872"/>
              <w:gridCol w:w="864"/>
            </w:tblGrid>
            <w:tr w14:paraId="5A0E0D7E">
              <w:tblPrEx>
                <w:tblCellMar>
                  <w:top w:w="0" w:type="dxa"/>
                  <w:left w:w="108" w:type="dxa"/>
                  <w:bottom w:w="0" w:type="dxa"/>
                  <w:right w:w="108" w:type="dxa"/>
                </w:tblCellMar>
              </w:tblPrEx>
              <w:trPr>
                <w:trHeight w:val="436"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56FC5399">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5BC3136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9B42A4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582E33B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65F20B2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235737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46F500D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8CE578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r>
            <w:tr w14:paraId="5FA848FA">
              <w:tblPrEx>
                <w:tblCellMar>
                  <w:top w:w="0" w:type="dxa"/>
                  <w:left w:w="108" w:type="dxa"/>
                  <w:bottom w:w="0" w:type="dxa"/>
                  <w:right w:w="108" w:type="dxa"/>
                </w:tblCellMar>
              </w:tblPrEx>
              <w:trPr>
                <w:trHeight w:val="436"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62B352BA">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81C1C9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75FD9C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4C83020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432E8F5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4D83A3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32B1048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7F7E9C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0F7FCCA0">
              <w:tblPrEx>
                <w:tblCellMar>
                  <w:top w:w="0" w:type="dxa"/>
                  <w:left w:w="108" w:type="dxa"/>
                  <w:bottom w:w="0" w:type="dxa"/>
                  <w:right w:w="108" w:type="dxa"/>
                </w:tblCellMar>
              </w:tblPrEx>
              <w:trPr>
                <w:trHeight w:val="436"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1DC711B1">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51C87F1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37C87A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01F4D61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0EE6521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0B95AF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114DCA7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C8CCCD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r>
            <w:tr w14:paraId="78D46628">
              <w:tblPrEx>
                <w:tblCellMar>
                  <w:top w:w="0" w:type="dxa"/>
                  <w:left w:w="108" w:type="dxa"/>
                  <w:bottom w:w="0" w:type="dxa"/>
                  <w:right w:w="108" w:type="dxa"/>
                </w:tblCellMar>
              </w:tblPrEx>
              <w:trPr>
                <w:trHeight w:val="436"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065B7493">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C0EBB7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78E11A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56C5C94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5E321F9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48F82C0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042740F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5B943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17075A9">
              <w:tblPrEx>
                <w:tblCellMar>
                  <w:top w:w="0" w:type="dxa"/>
                  <w:left w:w="108" w:type="dxa"/>
                  <w:bottom w:w="0" w:type="dxa"/>
                  <w:right w:w="108" w:type="dxa"/>
                </w:tblCellMar>
              </w:tblPrEx>
              <w:trPr>
                <w:trHeight w:val="436"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3BB40DCB">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3B206E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DFAE99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0339B77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74F8E80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2A0E44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789121D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2151F5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r>
            <w:tr w14:paraId="76C8B2DE">
              <w:tblPrEx>
                <w:tblCellMar>
                  <w:top w:w="0" w:type="dxa"/>
                  <w:left w:w="108" w:type="dxa"/>
                  <w:bottom w:w="0" w:type="dxa"/>
                  <w:right w:w="108" w:type="dxa"/>
                </w:tblCellMar>
              </w:tblPrEx>
              <w:trPr>
                <w:trHeight w:val="445" w:hRule="atLeast"/>
                <w:jc w:val="center"/>
              </w:trPr>
              <w:tc>
                <w:tcPr>
                  <w:tcW w:w="1661" w:type="dxa"/>
                  <w:tcBorders>
                    <w:top w:val="single" w:color="000000" w:sz="4" w:space="0"/>
                    <w:left w:val="single" w:color="000000" w:sz="4" w:space="0"/>
                    <w:bottom w:val="single" w:color="000000" w:sz="4" w:space="0"/>
                    <w:right w:val="single" w:color="000000" w:sz="4" w:space="0"/>
                  </w:tcBorders>
                  <w:noWrap w:val="0"/>
                  <w:vAlign w:val="center"/>
                </w:tcPr>
                <w:p w14:paraId="25BC8318">
                  <w:pPr>
                    <w:keepNext w:val="0"/>
                    <w:keepLines w:val="0"/>
                    <w:widowControl w:val="0"/>
                    <w:suppressLineNumbers w:val="0"/>
                    <w:adjustRightInd w:val="0"/>
                    <w:spacing w:before="0" w:beforeAutospacing="0" w:after="0" w:afterAutospacing="0" w:line="360" w:lineRule="auto"/>
                    <w:ind w:left="0" w:leftChars="0" w:right="0" w:rightChars="0"/>
                    <w:jc w:val="center"/>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20D0A5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B605A4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702BD4F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5AE8756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1AA2A2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2F676CF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994C17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484241CD">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14:paraId="5D312A84">
        <w:tblPrEx>
          <w:tblCellMar>
            <w:top w:w="0" w:type="dxa"/>
            <w:left w:w="108" w:type="dxa"/>
            <w:bottom w:w="0" w:type="dxa"/>
            <w:right w:w="108" w:type="dxa"/>
          </w:tblCellMar>
        </w:tblPrEx>
        <w:trPr>
          <w:trHeight w:val="0" w:hRule="atLeast"/>
          <w:jc w:val="center"/>
        </w:trPr>
        <w:tc>
          <w:tcPr>
            <w:tcW w:w="1250" w:type="dxa"/>
            <w:gridSpan w:val="2"/>
            <w:tcBorders>
              <w:top w:val="single" w:color="auto" w:sz="4" w:space="0"/>
              <w:left w:val="single" w:color="auto" w:sz="4" w:space="0"/>
              <w:bottom w:val="single" w:color="auto" w:sz="4" w:space="0"/>
              <w:right w:val="single" w:color="auto" w:sz="4" w:space="0"/>
            </w:tcBorders>
            <w:noWrap w:val="0"/>
            <w:vAlign w:val="center"/>
          </w:tcPr>
          <w:p w14:paraId="5B3C5F28">
            <w:pPr>
              <w:pStyle w:val="73"/>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36AAE70F">
            <w:pPr>
              <w:pStyle w:val="73"/>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得分N</w:t>
            </w:r>
          </w:p>
        </w:tc>
        <w:tc>
          <w:tcPr>
            <w:tcW w:w="9012" w:type="dxa"/>
            <w:gridSpan w:val="3"/>
            <w:tcBorders>
              <w:top w:val="single" w:color="auto" w:sz="4" w:space="0"/>
              <w:left w:val="single" w:color="auto" w:sz="4" w:space="0"/>
              <w:bottom w:val="single" w:color="auto" w:sz="4" w:space="0"/>
              <w:right w:val="single" w:color="auto" w:sz="4" w:space="0"/>
            </w:tcBorders>
            <w:noWrap w:val="0"/>
            <w:vAlign w:val="center"/>
          </w:tcPr>
          <w:p w14:paraId="16D10B17">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0F192F6C">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Di－D | ÷D）×100×E</w:t>
            </w:r>
          </w:p>
          <w:p w14:paraId="64D71629">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6CCE97DB">
      <w:pPr>
        <w:spacing w:line="440" w:lineRule="exact"/>
        <w:ind w:firstLine="482" w:firstLineChars="200"/>
        <w:rPr>
          <w:rFonts w:hint="eastAsia" w:ascii="宋体" w:hAnsi="宋体" w:eastAsia="宋体" w:cs="宋体"/>
          <w:b/>
          <w:bCs/>
          <w:color w:val="auto"/>
          <w:szCs w:val="24"/>
          <w:highlight w:val="none"/>
          <w:u w:val="double"/>
        </w:rPr>
      </w:pPr>
      <w:r>
        <w:rPr>
          <w:rFonts w:hint="eastAsia" w:ascii="宋体" w:hAnsi="宋体" w:eastAsia="宋体" w:cs="宋体"/>
          <w:b/>
          <w:bCs/>
          <w:color w:val="auto"/>
          <w:szCs w:val="24"/>
          <w:highlight w:val="none"/>
          <w:lang w:val="en-US" w:eastAsia="zh-CN"/>
        </w:rPr>
        <w:t>注：</w:t>
      </w:r>
      <w:r>
        <w:rPr>
          <w:rFonts w:hint="eastAsia" w:ascii="宋体" w:hAnsi="宋体" w:eastAsia="宋体" w:cs="宋体"/>
          <w:b/>
          <w:bCs/>
          <w:color w:val="auto"/>
          <w:szCs w:val="24"/>
          <w:highlight w:val="none"/>
          <w:u w:val="double"/>
        </w:rPr>
        <w:t>评分如出现小数点，则保留小数点后两位，第三位四舍五入。</w:t>
      </w:r>
    </w:p>
    <w:p w14:paraId="4EF7B89F">
      <w:pPr>
        <w:wordWrap w:val="0"/>
        <w:adjustRightInd w:val="0"/>
        <w:snapToGrid w:val="0"/>
        <w:spacing w:line="48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 xml:space="preserve">15.5.2 </w:t>
      </w:r>
      <w:r>
        <w:rPr>
          <w:rFonts w:hint="eastAsia" w:ascii="宋体" w:hAnsi="宋体" w:eastAsia="宋体" w:cs="宋体"/>
          <w:snapToGrid w:val="0"/>
          <w:color w:val="auto"/>
          <w:kern w:val="0"/>
          <w:szCs w:val="24"/>
          <w:highlight w:val="none"/>
        </w:rPr>
        <w:t>否决投标说明</w:t>
      </w:r>
    </w:p>
    <w:p w14:paraId="6FE0CC73">
      <w:pPr>
        <w:wordWrap w:val="0"/>
        <w:adjustRightInd w:val="0"/>
        <w:snapToGrid w:val="0"/>
        <w:spacing w:line="480" w:lineRule="exact"/>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详细评审阶段否决投标的全部条件，在本章第四节“否决投标条件”第4条中集中列示。投标人有其中所列任何一种情形的，由评标委员会否决其投标。经详细评审后，有效投标人数量不足3个时，招标人应依法重新组织招标。</w:t>
      </w:r>
    </w:p>
    <w:p w14:paraId="333242A7">
      <w:pPr>
        <w:wordWrap w:val="0"/>
        <w:adjustRightInd w:val="0"/>
        <w:snapToGrid w:val="0"/>
        <w:spacing w:line="480" w:lineRule="exact"/>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76C8EBE8">
      <w:pPr>
        <w:pStyle w:val="4"/>
        <w:wordWrap w:val="0"/>
        <w:snapToGrid w:val="0"/>
        <w:spacing w:line="480" w:lineRule="exact"/>
        <w:ind w:firstLine="480"/>
        <w:jc w:val="both"/>
        <w:rPr>
          <w:rFonts w:hint="eastAsia" w:ascii="宋体" w:hAnsi="宋体" w:eastAsia="宋体" w:cs="宋体"/>
          <w:b/>
          <w:snapToGrid w:val="0"/>
          <w:color w:val="auto"/>
          <w:highlight w:val="none"/>
        </w:rPr>
      </w:pPr>
      <w:bookmarkStart w:id="178" w:name="_Toc9013"/>
      <w:bookmarkStart w:id="179" w:name="_Toc24866"/>
      <w:r>
        <w:rPr>
          <w:rFonts w:hint="eastAsia" w:ascii="宋体" w:hAnsi="宋体" w:eastAsia="宋体" w:cs="宋体"/>
          <w:b/>
          <w:snapToGrid w:val="0"/>
          <w:color w:val="auto"/>
          <w:highlight w:val="none"/>
        </w:rPr>
        <w:t>16．中标候选人公示</w:t>
      </w:r>
      <w:bookmarkEnd w:id="178"/>
      <w:bookmarkEnd w:id="179"/>
    </w:p>
    <w:p w14:paraId="2644EF3C">
      <w:pPr>
        <w:wordWrap w:val="0"/>
        <w:adjustRightInd w:val="0"/>
        <w:snapToGrid w:val="0"/>
        <w:spacing w:line="48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16.1</w:t>
      </w:r>
      <w:r>
        <w:rPr>
          <w:rFonts w:hint="eastAsia" w:ascii="宋体" w:hAnsi="宋体" w:eastAsia="宋体" w:cs="宋体"/>
          <w:bCs/>
          <w:snapToGrid w:val="0"/>
          <w:color w:val="auto"/>
          <w:kern w:val="0"/>
          <w:highlight w:val="none"/>
        </w:rPr>
        <w:t xml:space="preserve"> </w:t>
      </w:r>
      <w:r>
        <w:rPr>
          <w:rFonts w:hint="eastAsia" w:ascii="宋体" w:hAnsi="宋体" w:eastAsia="宋体" w:cs="宋体"/>
          <w:snapToGrid w:val="0"/>
          <w:color w:val="auto"/>
          <w:kern w:val="0"/>
          <w:highlight w:val="none"/>
        </w:rPr>
        <w:t>招标人自收到评标委员会提交的书面评标报告和中标候选人名单之日起3日内，将评标结果（即中标候选人名单）、中标候选人投标文件（商务</w:t>
      </w:r>
      <w:r>
        <w:rPr>
          <w:rFonts w:hint="eastAsia" w:ascii="宋体" w:hAnsi="宋体" w:eastAsia="宋体" w:cs="宋体"/>
          <w:snapToGrid w:val="0"/>
          <w:color w:val="auto"/>
          <w:kern w:val="0"/>
          <w:highlight w:val="none"/>
          <w:lang w:val="en-US" w:eastAsia="zh-CN"/>
        </w:rPr>
        <w:t>部分</w:t>
      </w:r>
      <w:r>
        <w:rPr>
          <w:rFonts w:hint="eastAsia" w:ascii="宋体" w:hAnsi="宋体" w:eastAsia="宋体" w:cs="宋体"/>
          <w:snapToGrid w:val="0"/>
          <w:color w:val="auto"/>
          <w:kern w:val="0"/>
          <w:highlight w:val="none"/>
        </w:rPr>
        <w:t>）、评标过程（评标专家姓名用代码标记）一并在广东省招标投标监管网（https://zbtb.gd.gov.cn/#/index）及</w:t>
      </w:r>
      <w:r>
        <w:rPr>
          <w:rFonts w:hint="eastAsia" w:ascii="宋体" w:hAnsi="宋体" w:eastAsia="宋体" w:cs="宋体"/>
          <w:snapToGrid w:val="0"/>
          <w:color w:val="auto"/>
          <w:kern w:val="0"/>
          <w:szCs w:val="24"/>
          <w:highlight w:val="none"/>
        </w:rPr>
        <w:t>全国公共资源交易平台（广东省·韶关市）</w:t>
      </w:r>
      <w:r>
        <w:rPr>
          <w:rFonts w:hint="eastAsia" w:ascii="宋体" w:hAnsi="宋体" w:eastAsia="宋体" w:cs="宋体"/>
          <w:snapToGrid w:val="0"/>
          <w:color w:val="auto"/>
          <w:kern w:val="0"/>
          <w:highlight w:val="none"/>
        </w:rPr>
        <w:t>（https://ygp.gdzwfw.gov.cn/ggzy-portal/#/440200/index）进行公示，公示期不得少于3天。</w:t>
      </w:r>
    </w:p>
    <w:p w14:paraId="5C6790E8">
      <w:pPr>
        <w:wordWrap w:val="0"/>
        <w:adjustRightInd w:val="0"/>
        <w:snapToGrid w:val="0"/>
        <w:spacing w:line="48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16.2</w:t>
      </w:r>
      <w:r>
        <w:rPr>
          <w:rFonts w:hint="eastAsia" w:ascii="宋体" w:hAnsi="宋体" w:eastAsia="宋体" w:cs="宋体"/>
          <w:snapToGrid w:val="0"/>
          <w:color w:val="auto"/>
          <w:kern w:val="0"/>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5E4C0891">
      <w:pPr>
        <w:spacing w:line="440" w:lineRule="exact"/>
        <w:ind w:firstLine="482" w:firstLineChars="200"/>
        <w:rPr>
          <w:rFonts w:hint="eastAsia" w:ascii="宋体" w:hAnsi="宋体" w:eastAsia="宋体" w:cs="宋体"/>
          <w:color w:val="auto"/>
          <w:spacing w:val="10"/>
          <w:kern w:val="0"/>
          <w:szCs w:val="24"/>
          <w:highlight w:val="none"/>
        </w:rPr>
      </w:pPr>
      <w:r>
        <w:rPr>
          <w:rFonts w:hint="eastAsia" w:ascii="宋体" w:hAnsi="宋体" w:eastAsia="宋体" w:cs="宋体"/>
          <w:b/>
          <w:bCs/>
          <w:snapToGrid w:val="0"/>
          <w:color w:val="auto"/>
          <w:kern w:val="0"/>
          <w:highlight w:val="none"/>
        </w:rPr>
        <w:t>16.3</w:t>
      </w:r>
      <w:r>
        <w:rPr>
          <w:rFonts w:hint="eastAsia" w:ascii="宋体" w:hAnsi="宋体" w:eastAsia="宋体" w:cs="宋体"/>
          <w:snapToGrid w:val="0"/>
          <w:color w:val="auto"/>
          <w:kern w:val="0"/>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7F06E1CE">
      <w:pPr>
        <w:wordWrap w:val="0"/>
        <w:adjustRightInd w:val="0"/>
        <w:snapToGrid w:val="0"/>
        <w:spacing w:line="440" w:lineRule="exact"/>
        <w:rPr>
          <w:rFonts w:hint="eastAsia" w:ascii="宋体" w:hAnsi="宋体" w:eastAsia="宋体" w:cs="宋体"/>
          <w:b/>
          <w:bCs/>
          <w:snapToGrid w:val="0"/>
          <w:color w:val="auto"/>
          <w:kern w:val="0"/>
          <w:szCs w:val="24"/>
          <w:highlight w:val="none"/>
        </w:rPr>
      </w:pPr>
      <w:bookmarkStart w:id="180" w:name="_Hlt69669771"/>
      <w:bookmarkEnd w:id="180"/>
      <w:bookmarkStart w:id="181" w:name="_Hlt112206772"/>
      <w:bookmarkEnd w:id="181"/>
      <w:bookmarkStart w:id="182" w:name="_Toc9083"/>
      <w:bookmarkStart w:id="183" w:name="_Toc16203"/>
      <w:bookmarkStart w:id="184" w:name="_Hlt69698765"/>
      <w:bookmarkStart w:id="185" w:name="_Toc11519"/>
      <w:bookmarkStart w:id="186" w:name="_Toc24184"/>
      <w:bookmarkStart w:id="187" w:name="_Toc16649"/>
      <w:bookmarkStart w:id="188" w:name="_Toc16300"/>
      <w:bookmarkStart w:id="189" w:name="_Toc21045"/>
      <w:bookmarkStart w:id="190" w:name="_Hlt69698713"/>
      <w:bookmarkStart w:id="191" w:name="_Toc13416"/>
    </w:p>
    <w:p w14:paraId="71FC0B49">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18FE5FC3">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3DC9C5B9">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3881046D">
      <w:pPr>
        <w:rPr>
          <w:rFonts w:hint="eastAsia" w:ascii="宋体" w:hAnsi="宋体" w:eastAsia="宋体" w:cs="宋体"/>
          <w:b/>
          <w:bCs/>
          <w:color w:val="auto"/>
          <w:highlight w:val="none"/>
        </w:rPr>
      </w:pPr>
      <w:bookmarkStart w:id="192" w:name="_Toc22493"/>
      <w:r>
        <w:rPr>
          <w:rFonts w:hint="eastAsia" w:ascii="宋体" w:hAnsi="宋体" w:eastAsia="宋体" w:cs="宋体"/>
          <w:b/>
          <w:bCs/>
          <w:color w:val="auto"/>
          <w:highlight w:val="none"/>
        </w:rPr>
        <w:br w:type="page"/>
      </w:r>
    </w:p>
    <w:p w14:paraId="34586B3C">
      <w:pPr>
        <w:pStyle w:val="3"/>
        <w:spacing w:line="480" w:lineRule="exact"/>
        <w:rPr>
          <w:rFonts w:hint="eastAsia" w:ascii="宋体" w:hAnsi="宋体" w:eastAsia="宋体" w:cs="宋体"/>
          <w:b/>
          <w:bCs/>
          <w:color w:val="auto"/>
          <w:highlight w:val="none"/>
        </w:rPr>
      </w:pPr>
      <w:bookmarkStart w:id="193" w:name="_Toc2521"/>
      <w:r>
        <w:rPr>
          <w:rFonts w:hint="eastAsia" w:ascii="宋体" w:hAnsi="宋体" w:eastAsia="宋体" w:cs="宋体"/>
          <w:b/>
          <w:bCs/>
          <w:color w:val="auto"/>
          <w:highlight w:val="none"/>
        </w:rPr>
        <w:t>第四节 否决投标条件</w:t>
      </w:r>
      <w:bookmarkEnd w:id="192"/>
      <w:bookmarkEnd w:id="193"/>
    </w:p>
    <w:p w14:paraId="24A5122B">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highlight w:val="none"/>
        </w:rPr>
        <w:t>投标人未有列入本节情形的，评标时一律不得否决其投标。</w:t>
      </w:r>
      <w:r>
        <w:rPr>
          <w:rFonts w:hint="eastAsia" w:ascii="宋体" w:hAnsi="宋体" w:eastAsia="宋体" w:cs="宋体"/>
          <w:snapToGrid w:val="0"/>
          <w:color w:val="auto"/>
          <w:kern w:val="0"/>
          <w:highlight w:val="none"/>
        </w:rPr>
        <w:t>本节所称“规定”均指招标文件的规定。</w:t>
      </w:r>
    </w:p>
    <w:p w14:paraId="79456D48">
      <w:pPr>
        <w:pStyle w:val="4"/>
        <w:pageBreakBefore w:val="0"/>
        <w:widowControl w:val="0"/>
        <w:kinsoku/>
        <w:wordWrap w:val="0"/>
        <w:overflowPunct/>
        <w:topLinePunct w:val="0"/>
        <w:autoSpaceDE/>
        <w:autoSpaceDN/>
        <w:bidi w:val="0"/>
        <w:snapToGrid w:val="0"/>
        <w:spacing w:line="344" w:lineRule="auto"/>
        <w:ind w:firstLine="482" w:firstLineChars="200"/>
        <w:jc w:val="both"/>
        <w:textAlignment w:val="auto"/>
        <w:rPr>
          <w:rFonts w:hint="eastAsia" w:ascii="宋体" w:hAnsi="宋体" w:eastAsia="宋体" w:cs="宋体"/>
          <w:b/>
          <w:snapToGrid w:val="0"/>
          <w:color w:val="auto"/>
          <w:highlight w:val="none"/>
        </w:rPr>
      </w:pPr>
      <w:bookmarkStart w:id="194" w:name="_Toc29026"/>
      <w:bookmarkStart w:id="195" w:name="_Toc19120"/>
      <w:r>
        <w:rPr>
          <w:rFonts w:hint="eastAsia" w:ascii="宋体" w:hAnsi="宋体" w:eastAsia="宋体" w:cs="宋体"/>
          <w:b/>
          <w:snapToGrid w:val="0"/>
          <w:color w:val="auto"/>
          <w:highlight w:val="none"/>
        </w:rPr>
        <w:t>1．资格评审环节</w:t>
      </w:r>
      <w:bookmarkEnd w:id="194"/>
      <w:bookmarkEnd w:id="195"/>
    </w:p>
    <w:p w14:paraId="32AD7EC1">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投标人有下列情形之一的，评标委员会应否决其投标。被否决的投标人，不进入形式评审环节。</w:t>
      </w:r>
    </w:p>
    <w:p w14:paraId="5AEC1781">
      <w:pPr>
        <w:keepNext w:val="0"/>
        <w:keepLines w:val="0"/>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（1）有本章第三节第4.4条“禁止投标条款”规定的任何一种情形；</w:t>
      </w:r>
    </w:p>
    <w:p w14:paraId="028A6E27">
      <w:pPr>
        <w:keepNext w:val="0"/>
        <w:keepLines w:val="0"/>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（2）投标人资质不符合规定的；</w:t>
      </w:r>
    </w:p>
    <w:p w14:paraId="6F960E5F">
      <w:pPr>
        <w:keepNext w:val="0"/>
        <w:keepLines w:val="0"/>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3629B749">
      <w:pPr>
        <w:keepNext w:val="0"/>
        <w:keepLines w:val="0"/>
        <w:pageBreakBefore w:val="0"/>
        <w:widowControl w:val="0"/>
        <w:kinsoku/>
        <w:wordWrap w:val="0"/>
        <w:overflowPunct/>
        <w:topLinePunct w:val="0"/>
        <w:autoSpaceDE/>
        <w:autoSpaceDN/>
        <w:bidi w:val="0"/>
        <w:adjustRightInd w:val="0"/>
        <w:snapToGrid w:val="0"/>
        <w:spacing w:line="344"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5FFC8A46">
      <w:pPr>
        <w:keepNext w:val="0"/>
        <w:keepLines w:val="0"/>
        <w:pageBreakBefore w:val="0"/>
        <w:widowControl w:val="0"/>
        <w:kinsoku/>
        <w:wordWrap w:val="0"/>
        <w:overflowPunct/>
        <w:topLinePunct w:val="0"/>
        <w:autoSpaceDE/>
        <w:autoSpaceDN/>
        <w:bidi w:val="0"/>
        <w:adjustRightInd w:val="0"/>
        <w:snapToGrid w:val="0"/>
        <w:spacing w:line="344"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w:t>
      </w:r>
    </w:p>
    <w:p w14:paraId="7340F5D7">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（4）拟派项目经理、项目技术负责人、专职安全员、设计负责人的条件不符合规定的；拟派专职安全员数量不符合规定的；</w:t>
      </w:r>
    </w:p>
    <w:p w14:paraId="1729AF9A">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项目经理简历表》中拟派项目经理与《开标一览表》不一致的；建造师的注册证书不是住建部门颁发的；建造师的注册单位与投标人不一致的；建造师注册证书不在使用有效期内的；擅自修改、遗漏《项目经理任职声明》实质性内容的；</w:t>
      </w:r>
    </w:p>
    <w:p w14:paraId="29B12044">
      <w:pPr>
        <w:pageBreakBefore w:val="0"/>
        <w:widowControl w:val="0"/>
        <w:kinsoku/>
        <w:wordWrap w:val="0"/>
        <w:overflowPunct/>
        <w:topLinePunct w:val="0"/>
        <w:autoSpaceDE/>
        <w:autoSpaceDN/>
        <w:bidi w:val="0"/>
        <w:adjustRightInd w:val="0"/>
        <w:snapToGrid w:val="0"/>
        <w:spacing w:line="344"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注：投标人已经工商变更，但其员工执业资格注册证书的注册单位名称未完成变更的，不得否决其投标。</w:t>
      </w:r>
    </w:p>
    <w:p w14:paraId="174F4282">
      <w:pPr>
        <w:pageBreakBefore w:val="0"/>
        <w:widowControl w:val="0"/>
        <w:numPr>
          <w:ilvl w:val="0"/>
          <w:numId w:val="0"/>
        </w:numPr>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lang w:val="en-US" w:eastAsia="zh-CN" w:bidi="ar-SA"/>
        </w:rPr>
        <w:t>（6）</w:t>
      </w:r>
      <w:r>
        <w:rPr>
          <w:rFonts w:hint="eastAsia" w:ascii="宋体" w:hAnsi="宋体" w:eastAsia="宋体" w:cs="宋体"/>
          <w:snapToGrid w:val="0"/>
          <w:color w:val="auto"/>
          <w:kern w:val="0"/>
          <w:highlight w:val="none"/>
        </w:rPr>
        <w:t>联合体投标，未提交《联合体协议书》的；擅自修改、遗漏《联合体协议书》实质性内容的；联合体成员的数量、资质不符合规定的；联合体成员同时以自己名义单独投标或者参加其他联合体投标的；</w:t>
      </w:r>
    </w:p>
    <w:p w14:paraId="7F9F13D3">
      <w:pPr>
        <w:pageBreakBefore w:val="0"/>
        <w:widowControl w:val="0"/>
        <w:numPr>
          <w:ilvl w:val="0"/>
          <w:numId w:val="0"/>
        </w:numPr>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lang w:val="en-US" w:eastAsia="zh-CN" w:bidi="ar-SA"/>
        </w:rPr>
        <w:t>（7）</w:t>
      </w:r>
      <w:r>
        <w:rPr>
          <w:rFonts w:hint="eastAsia" w:ascii="宋体" w:hAnsi="宋体" w:eastAsia="宋体" w:cs="宋体"/>
          <w:snapToGrid w:val="0"/>
          <w:color w:val="auto"/>
          <w:kern w:val="0"/>
          <w:highlight w:val="none"/>
        </w:rPr>
        <w:t>投标人为外省企业，但未提供“进粤企业和人员诚信信息登记平台”企业信息情况打印页或网页截图的。</w:t>
      </w:r>
    </w:p>
    <w:p w14:paraId="79D91914">
      <w:pPr>
        <w:pStyle w:val="4"/>
        <w:pageBreakBefore w:val="0"/>
        <w:widowControl w:val="0"/>
        <w:kinsoku/>
        <w:wordWrap w:val="0"/>
        <w:overflowPunct/>
        <w:topLinePunct w:val="0"/>
        <w:autoSpaceDE/>
        <w:autoSpaceDN/>
        <w:bidi w:val="0"/>
        <w:snapToGrid w:val="0"/>
        <w:spacing w:line="344" w:lineRule="auto"/>
        <w:ind w:firstLine="482" w:firstLineChars="200"/>
        <w:jc w:val="both"/>
        <w:textAlignment w:val="auto"/>
        <w:rPr>
          <w:rFonts w:hint="eastAsia" w:ascii="宋体" w:hAnsi="宋体" w:eastAsia="宋体" w:cs="宋体"/>
          <w:b/>
          <w:snapToGrid w:val="0"/>
          <w:color w:val="auto"/>
          <w:highlight w:val="none"/>
        </w:rPr>
      </w:pPr>
      <w:bookmarkStart w:id="196" w:name="_Toc1426"/>
      <w:bookmarkStart w:id="197" w:name="_Toc26342"/>
      <w:r>
        <w:rPr>
          <w:rFonts w:hint="eastAsia" w:ascii="宋体" w:hAnsi="宋体" w:eastAsia="宋体" w:cs="宋体"/>
          <w:b/>
          <w:snapToGrid w:val="0"/>
          <w:color w:val="auto"/>
          <w:highlight w:val="none"/>
        </w:rPr>
        <w:t>2．形式评审环节</w:t>
      </w:r>
      <w:bookmarkEnd w:id="196"/>
      <w:bookmarkEnd w:id="197"/>
    </w:p>
    <w:p w14:paraId="4CA88FE4">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投标人有下列情形之一的，评标委员会应否决其投标。被否决的投标人，不进入响应性评审环节。</w:t>
      </w:r>
    </w:p>
    <w:p w14:paraId="1A2943C0">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）本章第三节第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”的组成内容（包括该组成内容的所附资料）中，任何一项有缺漏的；</w:t>
      </w:r>
    </w:p>
    <w:p w14:paraId="48355BCF">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ascii="宋体" w:hAnsi="宋体" w:eastAsia="宋体" w:cs="宋体"/>
          <w:color w:val="auto"/>
          <w:highlight w:val="none"/>
        </w:rPr>
        <w:t>关键字迹模糊、无法辨认，且该种过错将导致评标委员会无法判断投标文件是否响应招标文件实质性要求的；有涂改、行间插字或删除，但未加盖单位章或由投标人的法定代表人或其委托代理人签字确认的；</w:t>
      </w:r>
    </w:p>
    <w:p w14:paraId="2132765D">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）投标文件未按规定签字、盖章的。</w:t>
      </w:r>
    </w:p>
    <w:p w14:paraId="0E303A16">
      <w:pPr>
        <w:pStyle w:val="4"/>
        <w:pageBreakBefore w:val="0"/>
        <w:widowControl w:val="0"/>
        <w:kinsoku/>
        <w:wordWrap w:val="0"/>
        <w:overflowPunct/>
        <w:topLinePunct w:val="0"/>
        <w:autoSpaceDE/>
        <w:autoSpaceDN/>
        <w:bidi w:val="0"/>
        <w:snapToGrid w:val="0"/>
        <w:spacing w:line="344" w:lineRule="auto"/>
        <w:ind w:firstLine="482" w:firstLineChars="200"/>
        <w:jc w:val="both"/>
        <w:textAlignment w:val="auto"/>
        <w:rPr>
          <w:rFonts w:hint="eastAsia" w:ascii="宋体" w:hAnsi="宋体" w:eastAsia="宋体" w:cs="宋体"/>
          <w:b/>
          <w:snapToGrid w:val="0"/>
          <w:color w:val="auto"/>
          <w:highlight w:val="none"/>
        </w:rPr>
      </w:pPr>
      <w:bookmarkStart w:id="198" w:name="_Toc2473"/>
      <w:bookmarkStart w:id="199" w:name="_Toc20119"/>
      <w:r>
        <w:rPr>
          <w:rFonts w:hint="eastAsia" w:ascii="宋体" w:hAnsi="宋体" w:eastAsia="宋体" w:cs="宋体"/>
          <w:b/>
          <w:snapToGrid w:val="0"/>
          <w:color w:val="auto"/>
          <w:highlight w:val="none"/>
        </w:rPr>
        <w:t>3．响应性评审环节</w:t>
      </w:r>
      <w:bookmarkEnd w:id="198"/>
      <w:bookmarkEnd w:id="199"/>
    </w:p>
    <w:p w14:paraId="659479C8">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投标人有下列情形之一的，评标委员会应否决其投标。被否决的投标人，不进入详细评审阶段。</w:t>
      </w:r>
    </w:p>
    <w:p w14:paraId="20B5563D">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（1）承诺的投标有效期短于规定的；质量标准低于规定的；工期超出规定的；擅自修改、遗漏《投标函》《各项承诺一览表》实质性内容的；</w:t>
      </w:r>
    </w:p>
    <w:p w14:paraId="516F5F5A">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ascii="宋体" w:hAnsi="宋体" w:eastAsia="宋体" w:cs="宋体"/>
          <w:color w:val="auto"/>
          <w:kern w:val="0"/>
          <w:highlight w:val="none"/>
        </w:rPr>
        <w:t>出现两个或两个以上投标总价的（同一个投标总价大、小写不一致的除外）；投标总价超出</w:t>
      </w:r>
      <w:r>
        <w:rPr>
          <w:rFonts w:hint="eastAsia" w:ascii="宋体" w:hAnsi="宋体" w:eastAsia="宋体" w:cs="宋体"/>
          <w:b/>
          <w:color w:val="auto"/>
          <w:highlight w:val="none"/>
        </w:rPr>
        <w:t>最高投标限价</w:t>
      </w:r>
      <w:r>
        <w:rPr>
          <w:rFonts w:hint="eastAsia" w:ascii="宋体" w:hAnsi="宋体" w:eastAsia="宋体" w:cs="宋体"/>
          <w:color w:val="auto"/>
          <w:kern w:val="0"/>
          <w:highlight w:val="none"/>
        </w:rPr>
        <w:t>的；</w:t>
      </w:r>
    </w:p>
    <w:p w14:paraId="36B14C87">
      <w:pPr>
        <w:pStyle w:val="4"/>
        <w:pageBreakBefore w:val="0"/>
        <w:widowControl w:val="0"/>
        <w:kinsoku/>
        <w:wordWrap w:val="0"/>
        <w:overflowPunct/>
        <w:topLinePunct w:val="0"/>
        <w:autoSpaceDE/>
        <w:autoSpaceDN/>
        <w:bidi w:val="0"/>
        <w:snapToGrid w:val="0"/>
        <w:spacing w:line="344" w:lineRule="auto"/>
        <w:ind w:firstLine="482" w:firstLineChars="200"/>
        <w:jc w:val="both"/>
        <w:textAlignment w:val="auto"/>
        <w:rPr>
          <w:rFonts w:hint="eastAsia" w:ascii="宋体" w:hAnsi="宋体" w:eastAsia="宋体" w:cs="宋体"/>
          <w:b/>
          <w:snapToGrid w:val="0"/>
          <w:color w:val="auto"/>
          <w:highlight w:val="none"/>
        </w:rPr>
      </w:pPr>
      <w:bookmarkStart w:id="200" w:name="_Toc6240"/>
      <w:bookmarkStart w:id="201" w:name="_Toc21372"/>
      <w:r>
        <w:rPr>
          <w:rFonts w:hint="eastAsia" w:ascii="宋体" w:hAnsi="宋体" w:eastAsia="宋体" w:cs="宋体"/>
          <w:b/>
          <w:snapToGrid w:val="0"/>
          <w:color w:val="auto"/>
          <w:highlight w:val="none"/>
        </w:rPr>
        <w:t>4．其他</w:t>
      </w:r>
      <w:bookmarkEnd w:id="200"/>
      <w:bookmarkEnd w:id="201"/>
    </w:p>
    <w:p w14:paraId="3A3DCD58">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2"/>
          <w:highlight w:val="none"/>
        </w:rPr>
      </w:pPr>
      <w:r>
        <w:rPr>
          <w:rFonts w:hint="eastAsia" w:ascii="宋体" w:hAnsi="宋体" w:eastAsia="宋体" w:cs="宋体"/>
          <w:snapToGrid w:val="0"/>
          <w:color w:val="auto"/>
          <w:kern w:val="0"/>
          <w:highlight w:val="none"/>
        </w:rPr>
        <w:t>在任何评标环节（或阶段），投标人有下列情形之一的，评标委员会应否决其投标。</w:t>
      </w:r>
      <w:r>
        <w:rPr>
          <w:rFonts w:hint="eastAsia" w:ascii="宋体" w:hAnsi="宋体" w:eastAsia="宋体" w:cs="宋体"/>
          <w:snapToGrid w:val="0"/>
          <w:color w:val="auto"/>
          <w:kern w:val="0"/>
          <w:szCs w:val="22"/>
          <w:highlight w:val="none"/>
        </w:rPr>
        <w:t>被否决的投标人，不进入下一环节（或阶段）。</w:t>
      </w:r>
    </w:p>
    <w:p w14:paraId="590B4371">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（1）不按评标委员会要求澄清、说明或补正的；</w:t>
      </w:r>
    </w:p>
    <w:p w14:paraId="2331CEFE">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（2）有下列情形之一，被评标委员会认定属于串通投标的：</w:t>
      </w:r>
    </w:p>
    <w:p w14:paraId="77B10596">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①不同投标人的投标文件两处以上（含两处）错、漏一致；</w:t>
      </w:r>
    </w:p>
    <w:p w14:paraId="614C81A4">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②不同投标人的投标总价相近且各分项报价、综合单价分析表内容混乱不能相互对应、乱调乱压或乱抬的，而在询标时没有合理的解释或者不能提供计算依据和报价依据；</w:t>
      </w:r>
    </w:p>
    <w:p w14:paraId="38D264D0">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③不同投标人的投标各项报价存在异常一致或者呈规律性变化；</w:t>
      </w:r>
    </w:p>
    <w:p w14:paraId="29495606">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④不同投标人的投标文件由同一单位或者同一个人编制；</w:t>
      </w:r>
    </w:p>
    <w:p w14:paraId="0190B4F0">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⑤不同投标人的投标文件中投标资料（包括电子资料）相互混装或项目班子成员出现同一人；</w:t>
      </w:r>
    </w:p>
    <w:p w14:paraId="74834053">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⑥不同投标人的投标文件由同一电脑编制或同一台附属设备打印，或投标报价用同一个预算编制软件密码锁制作或出自同一电子文档；</w:t>
      </w:r>
    </w:p>
    <w:p w14:paraId="3241E0FE">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⑦不同投标人的投标保证由同一企业或同一账户资金缴纳；</w:t>
      </w:r>
    </w:p>
    <w:p w14:paraId="26EE0652">
      <w:pPr>
        <w:pageBreakBefore w:val="0"/>
        <w:widowControl w:val="0"/>
        <w:kinsoku/>
        <w:wordWrap w:val="0"/>
        <w:overflowPunct/>
        <w:topLinePunct w:val="0"/>
        <w:autoSpaceDE/>
        <w:autoSpaceDN/>
        <w:bidi w:val="0"/>
        <w:adjustRightInd w:val="0"/>
        <w:snapToGrid w:val="0"/>
        <w:spacing w:line="344" w:lineRule="auto"/>
        <w:ind w:firstLine="480" w:firstLineChars="200"/>
        <w:textAlignment w:val="auto"/>
        <w:rPr>
          <w:rFonts w:hint="eastAsia" w:ascii="宋体" w:hAnsi="宋体" w:eastAsia="宋体" w:cs="宋体"/>
          <w:snapToGrid w:val="0"/>
          <w:color w:val="auto"/>
          <w:kern w:val="0"/>
          <w:szCs w:val="24"/>
          <w:highlight w:val="none"/>
        </w:rPr>
        <w:sectPr>
          <w:footerReference r:id="rId5" w:type="default"/>
          <w:endnotePr>
            <w:numFmt w:val="decimal"/>
          </w:endnotePr>
          <w:pgSz w:w="11906" w:h="16838"/>
          <w:pgMar w:top="1134" w:right="1134" w:bottom="1134" w:left="1134" w:header="567" w:footer="567" w:gutter="0"/>
          <w:pgNumType w:fmt="decimal" w:start="1"/>
          <w:cols w:space="720" w:num="1"/>
          <w:docGrid w:linePitch="327" w:charSpace="0"/>
        </w:sectPr>
      </w:pPr>
      <w:r>
        <w:rPr>
          <w:rFonts w:hint="eastAsia" w:ascii="宋体" w:hAnsi="宋体" w:eastAsia="宋体" w:cs="宋体"/>
          <w:snapToGrid w:val="0"/>
          <w:color w:val="auto"/>
          <w:kern w:val="0"/>
          <w:highlight w:val="none"/>
        </w:rPr>
        <w:t>⑧不同投标人委托同一个人或注册在同一家企业的注册人员或同一家企业为其投标提供投标咨询、商务报价、技术咨询（招标工程本身要求采用专有技术的除外）等服务。</w:t>
      </w:r>
    </w:p>
    <w:bookmarkEnd w:id="1"/>
    <w:bookmarkEnd w:id="182"/>
    <w:bookmarkEnd w:id="183"/>
    <w:bookmarkEnd w:id="184"/>
    <w:bookmarkEnd w:id="185"/>
    <w:bookmarkEnd w:id="186"/>
    <w:bookmarkEnd w:id="187"/>
    <w:bookmarkEnd w:id="188"/>
    <w:bookmarkEnd w:id="189"/>
    <w:bookmarkEnd w:id="190"/>
    <w:bookmarkEnd w:id="191"/>
    <w:p w14:paraId="20664224">
      <w:pPr>
        <w:pStyle w:val="4"/>
        <w:bidi w:val="0"/>
        <w:jc w:val="center"/>
        <w:rPr>
          <w:rFonts w:hint="eastAsia" w:ascii="宋体" w:hAnsi="宋体" w:eastAsia="宋体" w:cs="宋体"/>
          <w:sz w:val="28"/>
          <w:szCs w:val="21"/>
          <w:lang w:val="en-US" w:eastAsia="zh-CN"/>
        </w:rPr>
      </w:pPr>
      <w:bookmarkStart w:id="202" w:name="_Toc10409"/>
      <w:bookmarkStart w:id="203" w:name="_Toc12219"/>
      <w:bookmarkStart w:id="204" w:name="_Toc23993"/>
      <w:bookmarkStart w:id="205" w:name="_Toc466640610"/>
      <w:r>
        <w:rPr>
          <w:rFonts w:hint="eastAsia" w:ascii="宋体" w:hAnsi="宋体" w:eastAsia="宋体" w:cs="宋体"/>
          <w:sz w:val="28"/>
          <w:szCs w:val="21"/>
          <w:lang w:val="en-US" w:eastAsia="zh-CN"/>
        </w:rPr>
        <w:t>第二章 中标人须知</w:t>
      </w:r>
      <w:bookmarkEnd w:id="202"/>
      <w:bookmarkEnd w:id="203"/>
      <w:bookmarkEnd w:id="204"/>
    </w:p>
    <w:p w14:paraId="2AEBE00C">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1．中标通知书</w:t>
      </w:r>
    </w:p>
    <w:p w14:paraId="68539EF3">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F19362B">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2．中标结果公示</w:t>
      </w:r>
    </w:p>
    <w:p w14:paraId="66735647">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https://www.gdzwfw.gov.cn/ztbjg-portal/#/index</w:t>
      </w:r>
      <w:r>
        <w:rPr>
          <w:rFonts w:hint="eastAsia" w:ascii="宋体" w:hAnsi="宋体" w:eastAsia="宋体" w:cs="宋体"/>
          <w:snapToGrid w:val="0"/>
          <w:color w:val="auto"/>
          <w:kern w:val="0"/>
          <w:sz w:val="24"/>
          <w:szCs w:val="24"/>
          <w:highlight w:val="none"/>
        </w:rPr>
        <w:t>）、广东省公共资源交易平台（韶关市）（https://ygp.gdzwfw.gov.cn/ggzy-portal/#/440200/index）及</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p>
    <w:p w14:paraId="2CF63CC7">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3．履约保证</w:t>
      </w:r>
    </w:p>
    <w:p w14:paraId="4280C05B">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rPr>
        <w:t>%的履约保证</w:t>
      </w:r>
      <w:r>
        <w:rPr>
          <w:rFonts w:hint="eastAsia" w:ascii="宋体" w:hAnsi="宋体" w:eastAsia="宋体" w:cs="宋体"/>
          <w:snapToGrid w:val="0"/>
          <w:color w:val="auto"/>
          <w:kern w:val="0"/>
          <w:sz w:val="24"/>
          <w:szCs w:val="24"/>
          <w:highlight w:val="none"/>
          <w:lang w:eastAsia="zh-CN"/>
        </w:rPr>
        <w:t>，招标人同时向中标人提供工程款支付担保</w:t>
      </w:r>
      <w:r>
        <w:rPr>
          <w:rFonts w:hint="eastAsia" w:ascii="宋体" w:hAnsi="宋体" w:eastAsia="宋体" w:cs="宋体"/>
          <w:snapToGrid w:val="0"/>
          <w:color w:val="auto"/>
          <w:kern w:val="0"/>
          <w:sz w:val="24"/>
          <w:szCs w:val="24"/>
          <w:highlight w:val="none"/>
        </w:rPr>
        <w:t>。联合体投标的，由联合体牵头人缴纳。</w:t>
      </w:r>
    </w:p>
    <w:p w14:paraId="440C392D">
      <w:pPr>
        <w:pageBreakBefore w:val="0"/>
        <w:kinsoku/>
        <w:wordWrap w:val="0"/>
        <w:overflowPunct/>
        <w:topLinePunct w:val="0"/>
        <w:autoSpaceDE/>
        <w:autoSpaceDN/>
        <w:bidi w:val="0"/>
        <w:adjustRightInd w:val="0"/>
        <w:snapToGrid w:val="0"/>
        <w:spacing w:line="360" w:lineRule="auto"/>
        <w:ind w:left="0" w:leftChars="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履约保证的形式包括履约保证金、履约保证担保、履约保证保险三种，由中标人自主选择。</w:t>
      </w:r>
    </w:p>
    <w:p w14:paraId="032306BC">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（1）采用履约保证金的，中标人须从其法人开户银行的账号将履约保证金划至招标人账户，并详细注明项目名称及用途。</w:t>
      </w:r>
    </w:p>
    <w:p w14:paraId="25C06076">
      <w:pPr>
        <w:pageBreakBefore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履约保证担保或履约保证保险的，中标人应提交有效的银行保函或保险合同（或保险单）原件，银行保函或保险合同（或保险单）的有效期应当自合同生效之日起至项目通过竣工验收之日后28天止。如果中标人无法获得具体截止日期，银行保函或保险合同（或保险单）中应当有“变更工程竣工日期的，保证期间按照变更后的竣工日期做相应调整”或类似约定的条款。</w:t>
      </w:r>
    </w:p>
    <w:p w14:paraId="49E961E5">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4"/>
          <w:szCs w:val="24"/>
          <w:highlight w:val="none"/>
        </w:rPr>
        <w:t>并由招标人通报建设行政管理部门。如采用</w:t>
      </w:r>
      <w:r>
        <w:rPr>
          <w:rFonts w:hint="eastAsia" w:ascii="宋体" w:hAnsi="宋体" w:eastAsia="宋体" w:cs="宋体"/>
          <w:snapToGrid w:val="0"/>
          <w:color w:val="auto"/>
          <w:kern w:val="0"/>
          <w:sz w:val="24"/>
          <w:szCs w:val="24"/>
          <w:highlight w:val="none"/>
          <w:lang w:eastAsia="zh-CN"/>
        </w:rPr>
        <w:t>商业保函、银行保函或保险合同</w:t>
      </w:r>
      <w:r>
        <w:rPr>
          <w:rFonts w:hint="eastAsia" w:ascii="宋体" w:hAnsi="宋体" w:eastAsia="宋体" w:cs="宋体"/>
          <w:snapToGrid w:val="0"/>
          <w:color w:val="auto"/>
          <w:kern w:val="0"/>
          <w:sz w:val="24"/>
          <w:szCs w:val="24"/>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4"/>
          <w:szCs w:val="24"/>
          <w:highlight w:val="none"/>
          <w:lang w:eastAsia="zh-CN"/>
        </w:rPr>
        <w:t>商业保函、银行保函或保险合同。</w:t>
      </w:r>
    </w:p>
    <w:p w14:paraId="0D39D92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在工程实施过程中，如果承包人（即招标阶段的中标人，下同）由于自身的资金、技术、质量、非不可抗力等原因给发包人（即招标阶段的招标人，下同）造成经济损失，扣除相应履约保证。</w:t>
      </w:r>
    </w:p>
    <w:p w14:paraId="7354C84E">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432CF707">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4．合同订立</w:t>
      </w:r>
    </w:p>
    <w:p w14:paraId="1FF5AD8D">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4.1</w:t>
      </w:r>
      <w:r>
        <w:rPr>
          <w:rFonts w:hint="eastAsia" w:ascii="宋体" w:hAnsi="宋体" w:eastAsia="宋体" w:cs="宋体"/>
          <w:snapToGrid w:val="0"/>
          <w:color w:val="auto"/>
          <w:kern w:val="0"/>
          <w:sz w:val="24"/>
          <w:szCs w:val="24"/>
          <w:highlight w:val="none"/>
        </w:rPr>
        <w:t xml:space="preserve"> 招标人应当自中标通知书发出之日起</w:t>
      </w:r>
      <w:r>
        <w:rPr>
          <w:rFonts w:hint="eastAsia" w:ascii="宋体" w:hAnsi="宋体" w:eastAsia="宋体" w:cs="宋体"/>
          <w:snapToGrid w:val="0"/>
          <w:color w:val="auto"/>
          <w:kern w:val="0"/>
          <w:sz w:val="24"/>
          <w:szCs w:val="24"/>
          <w:highlight w:val="none"/>
          <w:u w:val="single"/>
        </w:rPr>
        <w:t>30</w:t>
      </w:r>
      <w:r>
        <w:rPr>
          <w:rFonts w:hint="eastAsia" w:ascii="宋体" w:hAnsi="宋体" w:eastAsia="宋体" w:cs="宋体"/>
          <w:snapToGrid w:val="0"/>
          <w:color w:val="auto"/>
          <w:kern w:val="0"/>
          <w:sz w:val="24"/>
          <w:szCs w:val="24"/>
          <w:highlight w:val="none"/>
        </w:rPr>
        <w:t>日内，按照招标文件、中标人的投标文件与中标人订立书面合同。</w:t>
      </w:r>
    </w:p>
    <w:p w14:paraId="3C3FFDE0">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w:t>
      </w:r>
      <w:r>
        <w:rPr>
          <w:rFonts w:hint="eastAsia" w:ascii="宋体" w:hAnsi="宋体" w:eastAsia="宋体" w:cs="宋体"/>
          <w:snapToGrid w:val="0"/>
          <w:color w:val="auto"/>
          <w:kern w:val="0"/>
          <w:sz w:val="24"/>
          <w:szCs w:val="24"/>
          <w:highlight w:val="none"/>
        </w:rPr>
        <w:t xml:space="preserve"> 不正常报价的梳理和确认</w:t>
      </w:r>
    </w:p>
    <w:p w14:paraId="26C144BF">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合同订立期间，招标人应对中标人的投标报价进行全面分析和整理，从而发现并提取其中可能存在的算术性错误、错漏项、不平衡报价等不正常报价，并修正其中的算术性错误。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sz w:val="24"/>
          <w:szCs w:val="24"/>
          <w:highlight w:val="none"/>
        </w:rPr>
        <w:t>招标人不具备以上能力的，可</w:t>
      </w:r>
      <w:r>
        <w:rPr>
          <w:rFonts w:hint="eastAsia" w:ascii="宋体" w:hAnsi="宋体" w:eastAsia="宋体" w:cs="宋体"/>
          <w:snapToGrid w:val="0"/>
          <w:color w:val="auto"/>
          <w:kern w:val="0"/>
          <w:sz w:val="24"/>
          <w:szCs w:val="24"/>
          <w:highlight w:val="none"/>
          <w:lang w:val="en-US" w:eastAsia="zh-CN"/>
        </w:rPr>
        <w:t>委托</w:t>
      </w:r>
      <w:r>
        <w:rPr>
          <w:rFonts w:hint="eastAsia" w:ascii="宋体" w:hAnsi="宋体" w:eastAsia="宋体" w:cs="宋体"/>
          <w:snapToGrid w:val="0"/>
          <w:color w:val="auto"/>
          <w:kern w:val="0"/>
          <w:sz w:val="24"/>
          <w:szCs w:val="24"/>
          <w:highlight w:val="none"/>
        </w:rPr>
        <w:t>造价咨询单位实施。</w:t>
      </w:r>
    </w:p>
    <w:p w14:paraId="0BEDC591">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4.2.2</w:t>
      </w:r>
      <w:r>
        <w:rPr>
          <w:rFonts w:hint="eastAsia" w:ascii="宋体" w:hAnsi="宋体" w:eastAsia="宋体" w:cs="宋体"/>
          <w:snapToGrid w:val="0"/>
          <w:color w:val="auto"/>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5C72C816">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4.3 </w:t>
      </w:r>
      <w:r>
        <w:rPr>
          <w:rFonts w:hint="eastAsia" w:ascii="宋体" w:hAnsi="宋体" w:eastAsia="宋体" w:cs="宋体"/>
          <w:snapToGrid w:val="0"/>
          <w:color w:val="auto"/>
          <w:kern w:val="0"/>
          <w:sz w:val="24"/>
          <w:szCs w:val="24"/>
          <w:highlight w:val="none"/>
        </w:rPr>
        <w:t>本招标工程合同计价方式为：</w:t>
      </w:r>
      <w:r>
        <w:rPr>
          <w:rFonts w:hint="eastAsia" w:ascii="宋体" w:hAnsi="宋体" w:eastAsia="宋体" w:cs="宋体"/>
          <w:b w:val="0"/>
          <w:bCs w:val="0"/>
          <w:snapToGrid w:val="0"/>
          <w:color w:val="auto"/>
          <w:kern w:val="0"/>
          <w:sz w:val="24"/>
          <w:szCs w:val="24"/>
          <w:highlight w:val="none"/>
          <w:u w:val="single"/>
          <w:lang w:val="en-US" w:eastAsia="zh-CN"/>
        </w:rPr>
        <w:t>单</w:t>
      </w:r>
      <w:r>
        <w:rPr>
          <w:rFonts w:hint="eastAsia" w:ascii="宋体" w:hAnsi="宋体" w:eastAsia="宋体" w:cs="宋体"/>
          <w:b w:val="0"/>
          <w:bCs w:val="0"/>
          <w:snapToGrid w:val="0"/>
          <w:color w:val="auto"/>
          <w:kern w:val="0"/>
          <w:sz w:val="24"/>
          <w:szCs w:val="24"/>
          <w:highlight w:val="none"/>
          <w:u w:val="single"/>
        </w:rPr>
        <w:t>价合同</w:t>
      </w:r>
      <w:r>
        <w:rPr>
          <w:rFonts w:hint="eastAsia" w:ascii="宋体" w:hAnsi="宋体" w:eastAsia="宋体" w:cs="宋体"/>
          <w:b w:val="0"/>
          <w:bCs w:val="0"/>
          <w:snapToGrid w:val="0"/>
          <w:color w:val="auto"/>
          <w:kern w:val="0"/>
          <w:sz w:val="24"/>
          <w:szCs w:val="24"/>
          <w:highlight w:val="none"/>
        </w:rPr>
        <w:t>。</w:t>
      </w:r>
    </w:p>
    <w:p w14:paraId="631B15AA">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10DCC616">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4.5</w:t>
      </w:r>
      <w:r>
        <w:rPr>
          <w:rFonts w:hint="eastAsia" w:ascii="宋体" w:hAnsi="宋体" w:eastAsia="宋体" w:cs="宋体"/>
          <w:snapToGrid w:val="0"/>
          <w:color w:val="auto"/>
          <w:kern w:val="0"/>
          <w:sz w:val="24"/>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34429117">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4.6</w:t>
      </w:r>
      <w:r>
        <w:rPr>
          <w:rFonts w:hint="eastAsia" w:ascii="宋体" w:hAnsi="宋体" w:eastAsia="宋体" w:cs="宋体"/>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3FACCC6">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5．放弃中标的处理</w:t>
      </w:r>
    </w:p>
    <w:p w14:paraId="346D0FC6">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中标人</w:t>
      </w:r>
      <w:r>
        <w:rPr>
          <w:rFonts w:hint="eastAsia" w:ascii="宋体" w:hAnsi="宋体" w:eastAsia="宋体" w:cs="宋体"/>
          <w:snapToGrid w:val="0"/>
          <w:color w:val="auto"/>
          <w:sz w:val="24"/>
          <w:szCs w:val="24"/>
          <w:highlight w:val="none"/>
        </w:rPr>
        <w:t>无正当理由放弃中标的，</w:t>
      </w:r>
      <w:r>
        <w:rPr>
          <w:rFonts w:hint="eastAsia" w:ascii="宋体" w:hAnsi="宋体" w:eastAsia="宋体" w:cs="宋体"/>
          <w:snapToGrid w:val="0"/>
          <w:color w:val="auto"/>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4"/>
          <w:szCs w:val="24"/>
          <w:highlight w:val="none"/>
        </w:rPr>
        <w:t>因此种情况造成招标人重新招标的</w:t>
      </w:r>
      <w:r>
        <w:rPr>
          <w:rFonts w:hint="eastAsia" w:ascii="宋体" w:hAnsi="宋体" w:eastAsia="宋体" w:cs="宋体"/>
          <w:snapToGrid w:val="0"/>
          <w:color w:val="auto"/>
          <w:kern w:val="0"/>
          <w:sz w:val="24"/>
          <w:szCs w:val="24"/>
          <w:highlight w:val="none"/>
        </w:rPr>
        <w:t>，招标人可不接受该弃标人再次投标。同时，招标人应将该弃标人的失信行为向行政监督部门报告。</w:t>
      </w:r>
    </w:p>
    <w:p w14:paraId="2ABC0CB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100B64A4">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6．专业工程分包</w:t>
      </w:r>
    </w:p>
    <w:p w14:paraId="44E5352E">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65038B74">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7．工人工资支付专用账户</w:t>
      </w:r>
    </w:p>
    <w:p w14:paraId="4955FB8A">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03590955">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7.2</w:t>
      </w:r>
      <w:r>
        <w:rPr>
          <w:rFonts w:hint="eastAsia" w:ascii="宋体" w:hAnsi="宋体" w:eastAsia="宋体" w:cs="宋体"/>
          <w:snapToGrid w:val="0"/>
          <w:color w:val="auto"/>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737E2DB7">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078C90F2">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8．诚信登记</w:t>
      </w:r>
    </w:p>
    <w:p w14:paraId="70B25CF4">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承包人应在项目所在地住建管理部门办理诚信登记，发包人将严格按住建管理部门诚信登记管理办法对承包人履约情况进行考核。</w:t>
      </w:r>
    </w:p>
    <w:p w14:paraId="335CC4D6">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9．工期进度</w:t>
      </w:r>
    </w:p>
    <w:p w14:paraId="036D1007">
      <w:pPr>
        <w:pStyle w:val="21"/>
        <w:keepNext w:val="0"/>
        <w:keepLines w:val="0"/>
        <w:pageBreakBefore w:val="0"/>
        <w:widowControl/>
        <w:suppressLineNumbers w:val="0"/>
        <w:kinsoku/>
        <w:overflowPunct/>
        <w:topLinePunct w:val="0"/>
        <w:autoSpaceDE/>
        <w:autoSpaceDN/>
        <w:bidi w:val="0"/>
        <w:spacing w:before="0" w:beforeAutospacing="0" w:afterAutospacing="0" w:line="360" w:lineRule="auto"/>
        <w:ind w:left="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9.1</w:t>
      </w:r>
      <w:r>
        <w:rPr>
          <w:rFonts w:hint="eastAsia" w:ascii="宋体" w:hAnsi="宋体" w:eastAsia="宋体" w:cs="宋体"/>
          <w:color w:val="auto"/>
          <w:sz w:val="24"/>
          <w:szCs w:val="24"/>
          <w:highlight w:val="none"/>
          <w:lang w:val="en-US" w:eastAsia="zh-CN"/>
        </w:rPr>
        <w:t>本项目设计、施工工期：60日历天【其中：设计工期20日历天、施工工期40日历天】</w:t>
      </w:r>
    </w:p>
    <w:p w14:paraId="734E157E">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施工工期从承包人收到监理单位签发的开工令之日起计，至竣工验收合格之日止。</w:t>
      </w:r>
    </w:p>
    <w:p w14:paraId="6AC5F808">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9.3</w:t>
      </w:r>
      <w:r>
        <w:rPr>
          <w:rFonts w:hint="eastAsia" w:ascii="宋体" w:hAnsi="宋体" w:eastAsia="宋体" w:cs="宋体"/>
          <w:snapToGrid w:val="0"/>
          <w:color w:val="auto"/>
          <w:kern w:val="0"/>
          <w:sz w:val="24"/>
          <w:szCs w:val="24"/>
          <w:highlight w:val="none"/>
        </w:rPr>
        <w:t xml:space="preserve"> 由于承包人原因，没有按期完成设计工作的，承包人须在逾期第壹天起每天按设计费合同价款的</w:t>
      </w:r>
      <w:r>
        <w:rPr>
          <w:rFonts w:hint="eastAsia" w:ascii="宋体" w:hAnsi="宋体" w:eastAsia="宋体" w:cs="宋体"/>
          <w:snapToGrid w:val="0"/>
          <w:color w:val="auto"/>
          <w:kern w:val="0"/>
          <w:sz w:val="24"/>
          <w:szCs w:val="24"/>
          <w:highlight w:val="none"/>
          <w:u w:val="single"/>
        </w:rPr>
        <w:t>1%</w:t>
      </w:r>
      <w:r>
        <w:rPr>
          <w:rFonts w:hint="eastAsia" w:ascii="宋体" w:hAnsi="宋体" w:eastAsia="宋体" w:cs="宋体"/>
          <w:snapToGrid w:val="0"/>
          <w:color w:val="auto"/>
          <w:kern w:val="0"/>
          <w:sz w:val="24"/>
          <w:szCs w:val="24"/>
          <w:highlight w:val="none"/>
        </w:rPr>
        <w:t>向招标人返纳逾期违约金；由于承包人原因，工程没有按期竣工并通过验收时</w:t>
      </w:r>
      <w:r>
        <w:rPr>
          <w:rFonts w:hint="eastAsia" w:ascii="宋体" w:hAnsi="宋体" w:eastAsia="宋体" w:cs="宋体"/>
          <w:snapToGrid w:val="0"/>
          <w:color w:val="auto"/>
          <w:kern w:val="0"/>
          <w:sz w:val="24"/>
          <w:szCs w:val="24"/>
          <w:highlight w:val="none"/>
          <w:lang w:eastAsia="zh-CN"/>
        </w:rPr>
        <w:t>（工期自监理单位签发的开工令日期起算）</w:t>
      </w:r>
      <w:r>
        <w:rPr>
          <w:rFonts w:hint="eastAsia" w:ascii="宋体" w:hAnsi="宋体" w:eastAsia="宋体" w:cs="宋体"/>
          <w:snapToGrid w:val="0"/>
          <w:color w:val="auto"/>
          <w:kern w:val="0"/>
          <w:sz w:val="24"/>
          <w:szCs w:val="24"/>
          <w:highlight w:val="none"/>
        </w:rPr>
        <w:t>，承包人须在逾期第壹天起每天按合同价款的</w:t>
      </w:r>
      <w:r>
        <w:rPr>
          <w:rFonts w:hint="eastAsia" w:ascii="宋体"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向招标人返纳逾期竣工违约金。逾期竣工违约金的最高限额为</w:t>
      </w:r>
      <w:r>
        <w:rPr>
          <w:rFonts w:hint="eastAsia" w:ascii="宋体" w:hAnsi="宋体" w:eastAsia="宋体" w:cs="宋体"/>
          <w:snapToGrid w:val="0"/>
          <w:color w:val="auto"/>
          <w:kern w:val="0"/>
          <w:sz w:val="24"/>
          <w:szCs w:val="24"/>
          <w:highlight w:val="none"/>
          <w:u w:val="single"/>
        </w:rPr>
        <w:t>合同价款的</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w:t>
      </w:r>
    </w:p>
    <w:p w14:paraId="48B98F8D">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10．项目管理机构</w:t>
      </w:r>
    </w:p>
    <w:p w14:paraId="6A53B8A2">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w:t>
      </w:r>
      <w:r>
        <w:rPr>
          <w:rFonts w:hint="eastAsia" w:ascii="宋体" w:hAnsi="宋体" w:eastAsia="宋体" w:cs="宋体"/>
          <w:snapToGrid w:val="0"/>
          <w:color w:val="auto"/>
          <w:kern w:val="0"/>
          <w:sz w:val="24"/>
          <w:szCs w:val="24"/>
          <w:highlight w:val="none"/>
        </w:rPr>
        <w:t xml:space="preserve"> 承包人派驻的项目管理班子成员必须为其投标文件确定的人员，否则发包人有权终止合同。</w:t>
      </w:r>
    </w:p>
    <w:p w14:paraId="619E51C9">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w:t>
      </w:r>
      <w:r>
        <w:rPr>
          <w:rFonts w:hint="eastAsia" w:ascii="宋体" w:hAnsi="宋体" w:eastAsia="宋体" w:cs="宋体"/>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4710396">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11．现场管理</w:t>
      </w:r>
    </w:p>
    <w:p w14:paraId="679B1F8B">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6F88A5EA">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65B3BDDE">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为保证施工现场的环境卫生，承包人在本招标工程施工过程中，所有的车辆必须按发包人规定的行车路线行驶。</w:t>
      </w:r>
    </w:p>
    <w:p w14:paraId="01348D70">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12．监督实施</w:t>
      </w:r>
    </w:p>
    <w:p w14:paraId="3740849F">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4176347">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13．主材的采购和使用</w:t>
      </w:r>
    </w:p>
    <w:p w14:paraId="52183FE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3E9BDBE4">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14．竣工资料移交</w:t>
      </w:r>
    </w:p>
    <w:p w14:paraId="3446DEBF">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工程竣工验收时，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lang w:val="en-US" w:eastAsia="zh-CN"/>
        </w:rPr>
        <w:t>贰</w:t>
      </w:r>
      <w:r>
        <w:rPr>
          <w:rFonts w:hint="eastAsia" w:ascii="宋体" w:hAnsi="宋体" w:eastAsia="宋体" w:cs="宋体"/>
          <w:bCs/>
          <w:snapToGrid w:val="0"/>
          <w:color w:val="auto"/>
          <w:kern w:val="0"/>
          <w:sz w:val="24"/>
          <w:szCs w:val="24"/>
          <w:highlight w:val="none"/>
        </w:rPr>
        <w:t>份。</w:t>
      </w:r>
    </w:p>
    <w:p w14:paraId="3CC51B33">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15．质量保证</w:t>
      </w:r>
    </w:p>
    <w:p w14:paraId="785999FA">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本招标工程</w:t>
      </w:r>
      <w:r>
        <w:rPr>
          <w:rFonts w:hint="eastAsia" w:ascii="宋体" w:hAnsi="宋体" w:eastAsia="宋体" w:cs="宋体"/>
          <w:bCs/>
          <w:snapToGrid w:val="0"/>
          <w:color w:val="auto"/>
          <w:kern w:val="0"/>
          <w:sz w:val="24"/>
          <w:szCs w:val="24"/>
          <w:highlight w:val="none"/>
        </w:rPr>
        <w:t>缺陷责任期为</w:t>
      </w:r>
      <w:r>
        <w:rPr>
          <w:rFonts w:hint="eastAsia" w:ascii="宋体" w:hAnsi="宋体" w:eastAsia="宋体" w:cs="宋体"/>
          <w:bCs/>
          <w:snapToGrid w:val="0"/>
          <w:color w:val="auto"/>
          <w:kern w:val="0"/>
          <w:sz w:val="24"/>
          <w:szCs w:val="24"/>
          <w:highlight w:val="none"/>
          <w:u w:val="single"/>
          <w:lang w:val="en-US" w:eastAsia="zh-CN"/>
        </w:rPr>
        <w:t>1</w:t>
      </w:r>
      <w:r>
        <w:rPr>
          <w:rFonts w:hint="eastAsia" w:ascii="宋体" w:hAnsi="宋体" w:eastAsia="宋体" w:cs="宋体"/>
          <w:bCs/>
          <w:snapToGrid w:val="0"/>
          <w:color w:val="auto"/>
          <w:kern w:val="0"/>
          <w:sz w:val="24"/>
          <w:szCs w:val="24"/>
          <w:highlight w:val="none"/>
        </w:rPr>
        <w:t>年（自通过竣工验收之日起计），在此期间预留金额为结算价</w:t>
      </w:r>
      <w:r>
        <w:rPr>
          <w:rFonts w:hint="eastAsia" w:ascii="宋体" w:hAnsi="宋体" w:eastAsia="宋体" w:cs="宋体"/>
          <w:bCs/>
          <w:snapToGrid w:val="0"/>
          <w:color w:val="auto"/>
          <w:kern w:val="0"/>
          <w:sz w:val="24"/>
          <w:szCs w:val="24"/>
          <w:highlight w:val="none"/>
          <w:u w:val="single"/>
        </w:rPr>
        <w:t xml:space="preserve"> 3% </w:t>
      </w:r>
      <w:r>
        <w:rPr>
          <w:rFonts w:hint="eastAsia" w:ascii="宋体" w:hAnsi="宋体" w:eastAsia="宋体" w:cs="宋体"/>
          <w:bCs/>
          <w:snapToGrid w:val="0"/>
          <w:color w:val="auto"/>
          <w:kern w:val="0"/>
          <w:sz w:val="24"/>
          <w:szCs w:val="24"/>
          <w:highlight w:val="none"/>
        </w:rPr>
        <w:t>的质量保证。</w:t>
      </w:r>
    </w:p>
    <w:p w14:paraId="1F108509">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质量保证的形式包括质量保证金、质量保证担保、质量保证保险三种，由承包人自主选择。</w:t>
      </w:r>
    </w:p>
    <w:p w14:paraId="57264212">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（1）采用质量保证金形式的，在结清审定总造价时一次性扣留相应金额作为质量保证金。</w:t>
      </w:r>
    </w:p>
    <w:p w14:paraId="63F712E0">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2D61DA1">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15.3</w:t>
      </w:r>
      <w:r>
        <w:rPr>
          <w:rFonts w:hint="eastAsia" w:ascii="宋体" w:hAnsi="宋体" w:eastAsia="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4785697B">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由他人原因造成的缺陷，发包人负责组织维修，承包人不承担费用，且发包人不得从质量保证中扣除费用。</w:t>
      </w:r>
    </w:p>
    <w:p w14:paraId="1C5C5004">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bCs/>
          <w:snapToGrid w:val="0"/>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B72DCF8">
      <w:pPr>
        <w:pageBreakBefore w:val="0"/>
        <w:kinsoku/>
        <w:wordWrap w:val="0"/>
        <w:overflowPunct/>
        <w:topLinePunct w:val="0"/>
        <w:autoSpaceDE/>
        <w:autoSpaceDN/>
        <w:bidi w:val="0"/>
        <w:adjustRightInd w:val="0"/>
        <w:snapToGrid w:val="0"/>
        <w:spacing w:line="360" w:lineRule="auto"/>
        <w:ind w:firstLine="482" w:firstLineChars="200"/>
        <w:textAlignment w:val="auto"/>
        <w:outlineLvl w:val="2"/>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w:t>
      </w:r>
      <w:r>
        <w:rPr>
          <w:rFonts w:hint="eastAsia" w:ascii="宋体" w:hAnsi="宋体" w:eastAsia="宋体" w:cs="宋体"/>
          <w:b/>
          <w:snapToGrid w:val="0"/>
          <w:color w:val="auto"/>
          <w:kern w:val="0"/>
          <w:sz w:val="24"/>
          <w:szCs w:val="24"/>
          <w:highlight w:val="none"/>
        </w:rPr>
        <w:t>．不良行为处理</w:t>
      </w:r>
    </w:p>
    <w:p w14:paraId="3512499E">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402A4E95">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（1）转包、违法分包或违反投标承诺分包工程的；</w:t>
      </w:r>
    </w:p>
    <w:p w14:paraId="466645CC">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2EEB3EF5">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（3）投标文件确定的大型机械设备没有进入施工现场的；</w:t>
      </w:r>
    </w:p>
    <w:p w14:paraId="70C493E9">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（4）与建设单位、监理单位串通，签认虚假工程量或工程造价的；</w:t>
      </w:r>
    </w:p>
    <w:p w14:paraId="52C3D37A">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（5）项目经理施工现场管理不到位的；</w:t>
      </w:r>
    </w:p>
    <w:p w14:paraId="7F9E30F7">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（6）项目经理在非本人资格证书注册单位从事工程项目施工管理的；</w:t>
      </w:r>
    </w:p>
    <w:p w14:paraId="28CDAFF3">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（7）项目经理同时承担超过一项工程项目的；</w:t>
      </w:r>
    </w:p>
    <w:p w14:paraId="7B77F9FF">
      <w:pPr>
        <w:pStyle w:val="55"/>
        <w:pageBreakBefore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（8）违反有关法律、法规、规章规定的其它行为。</w:t>
      </w:r>
    </w:p>
    <w:p w14:paraId="11AF66EA">
      <w:pPr>
        <w:pStyle w:val="55"/>
        <w:pageBreakBefore w:val="0"/>
        <w:kinsoku/>
        <w:wordWrap w:val="0"/>
        <w:overflowPunct/>
        <w:topLinePunct w:val="0"/>
        <w:autoSpaceDE/>
        <w:autoSpaceDN/>
        <w:bidi w:val="0"/>
        <w:adjustRightInd w:val="0"/>
        <w:snapToGrid w:val="0"/>
        <w:spacing w:line="360" w:lineRule="auto"/>
        <w:ind w:firstLine="482" w:firstLineChars="200"/>
        <w:jc w:val="left"/>
        <w:textAlignment w:val="auto"/>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w:t>
      </w:r>
      <w:r>
        <w:rPr>
          <w:rFonts w:hint="eastAsia" w:ascii="宋体" w:hAnsi="宋体" w:eastAsia="宋体" w:cs="宋体"/>
          <w:b/>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rPr>
        <w:t>信用评价条款内容</w:t>
      </w:r>
    </w:p>
    <w:p w14:paraId="5315201B">
      <w:pPr>
        <w:pStyle w:val="57"/>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bookmarkStart w:id="206" w:name="_Toc30736"/>
      <w:bookmarkStart w:id="207" w:name="_Toc14079368"/>
    </w:p>
    <w:p w14:paraId="319CF72D">
      <w:pPr>
        <w:pStyle w:val="4"/>
        <w:pageBreakBefore w:val="0"/>
        <w:kinsoku/>
        <w:wordWrap w:val="0"/>
        <w:overflowPunct/>
        <w:topLinePunct w:val="0"/>
        <w:autoSpaceDE/>
        <w:autoSpaceDN/>
        <w:bidi w:val="0"/>
        <w:snapToGrid w:val="0"/>
        <w:spacing w:line="360" w:lineRule="auto"/>
        <w:ind w:firstLine="482" w:firstLineChars="200"/>
        <w:textAlignment w:val="auto"/>
        <w:rPr>
          <w:rFonts w:hint="eastAsia" w:ascii="宋体" w:hAnsi="宋体" w:eastAsia="宋体" w:cs="宋体"/>
          <w:bCs/>
          <w:snapToGrid w:val="0"/>
          <w:color w:val="auto"/>
          <w:sz w:val="24"/>
          <w:szCs w:val="24"/>
          <w:highlight w:val="none"/>
        </w:rPr>
      </w:pPr>
      <w:bookmarkStart w:id="208" w:name="_Toc8662"/>
      <w:bookmarkStart w:id="209" w:name="_Toc11642"/>
      <w:bookmarkStart w:id="210" w:name="_Toc2332"/>
      <w:bookmarkStart w:id="211" w:name="_Toc39136346"/>
      <w:bookmarkStart w:id="212" w:name="_Toc20256"/>
      <w:bookmarkStart w:id="213" w:name="_Toc31737"/>
      <w:bookmarkStart w:id="214" w:name="_Toc31280"/>
      <w:bookmarkStart w:id="215" w:name="_Toc27448"/>
      <w:bookmarkStart w:id="216" w:name="_Toc28557"/>
      <w:r>
        <w:rPr>
          <w:rFonts w:hint="eastAsia" w:ascii="宋体" w:hAnsi="宋体" w:eastAsia="宋体" w:cs="宋体"/>
          <w:bCs/>
          <w:snapToGrid w:val="0"/>
          <w:color w:val="auto"/>
          <w:sz w:val="24"/>
          <w:szCs w:val="24"/>
          <w:highlight w:val="none"/>
        </w:rPr>
        <w:t>18．其他事项</w:t>
      </w:r>
      <w:bookmarkEnd w:id="206"/>
      <w:bookmarkEnd w:id="207"/>
      <w:bookmarkEnd w:id="208"/>
      <w:bookmarkEnd w:id="209"/>
      <w:bookmarkEnd w:id="210"/>
      <w:bookmarkEnd w:id="211"/>
      <w:bookmarkEnd w:id="212"/>
      <w:bookmarkEnd w:id="213"/>
      <w:bookmarkEnd w:id="214"/>
      <w:bookmarkEnd w:id="215"/>
      <w:bookmarkEnd w:id="216"/>
    </w:p>
    <w:p w14:paraId="2BCA38C9">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w:t>
      </w:r>
      <w:r>
        <w:rPr>
          <w:rFonts w:hint="eastAsia" w:ascii="宋体" w:hAnsi="宋体" w:eastAsia="宋体" w:cs="宋体"/>
          <w:color w:val="auto"/>
          <w:sz w:val="24"/>
          <w:szCs w:val="24"/>
          <w:highlight w:val="none"/>
          <w:shd w:val="clear" w:color="auto" w:fill="FFFFFF"/>
        </w:rPr>
        <w:t>中标人须为招标人提供现场管理的交通便利（开工至质保期满）。中标人不得以任何理由提出任何费用及补偿要求。</w:t>
      </w:r>
    </w:p>
    <w:p w14:paraId="1730F109">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18.2</w:t>
      </w:r>
      <w:r>
        <w:rPr>
          <w:rFonts w:hint="eastAsia" w:ascii="宋体" w:hAnsi="宋体" w:eastAsia="宋体" w:cs="宋体"/>
          <w:color w:val="auto"/>
          <w:sz w:val="24"/>
          <w:szCs w:val="24"/>
          <w:highlight w:val="none"/>
          <w:shd w:val="clear" w:color="auto" w:fill="FFFFFF"/>
        </w:rPr>
        <w:t>中标人须为招标人提供现场办公管理的便利。按工程需要配置办公室、会议室及办公家具、生活设施，配备满足工作需要的办公设备（电脑、打印机、复印机、传真机、办公用品等）。中标人不得以任何理由提出任何费用及补偿要求。</w:t>
      </w:r>
    </w:p>
    <w:p w14:paraId="2F06296E">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18.3</w:t>
      </w:r>
      <w:r>
        <w:rPr>
          <w:rFonts w:hint="eastAsia" w:ascii="宋体" w:hAnsi="宋体" w:eastAsia="宋体" w:cs="宋体"/>
          <w:color w:val="auto"/>
          <w:sz w:val="24"/>
          <w:szCs w:val="24"/>
          <w:highlight w:val="none"/>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2A3BC77B">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18.4</w:t>
      </w:r>
      <w:r>
        <w:rPr>
          <w:rFonts w:hint="eastAsia" w:ascii="宋体" w:hAnsi="宋体" w:eastAsia="宋体" w:cs="宋体"/>
          <w:color w:val="auto"/>
          <w:sz w:val="24"/>
          <w:szCs w:val="24"/>
          <w:highlight w:val="none"/>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582CE672">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18.5</w:t>
      </w:r>
      <w:r>
        <w:rPr>
          <w:rFonts w:hint="eastAsia" w:ascii="宋体" w:hAnsi="宋体" w:eastAsia="宋体" w:cs="宋体"/>
          <w:color w:val="auto"/>
          <w:sz w:val="24"/>
          <w:szCs w:val="24"/>
          <w:highlight w:val="none"/>
          <w:shd w:val="clear" w:color="auto" w:fill="FFFFFF"/>
        </w:rPr>
        <w:t>为保证施工现场的环境卫生，中标人在本工程施工过程中，所有的车辆必须按招标人规定的行车路线行驶。并负责施工现场及受施工影响周边道路的卫生。</w:t>
      </w:r>
    </w:p>
    <w:p w14:paraId="3E983995">
      <w:pPr>
        <w:pStyle w:val="7"/>
        <w:pageBreakBefore w:val="0"/>
        <w:kinsoku/>
        <w:overflowPunct/>
        <w:topLinePunct w:val="0"/>
        <w:autoSpaceDE/>
        <w:autoSpaceDN/>
        <w:bidi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18.6</w:t>
      </w:r>
      <w:r>
        <w:rPr>
          <w:rFonts w:hint="eastAsia" w:ascii="宋体" w:hAnsi="宋体" w:eastAsia="宋体" w:cs="宋体"/>
          <w:color w:val="auto"/>
          <w:sz w:val="24"/>
          <w:szCs w:val="24"/>
          <w:highlight w:val="none"/>
          <w:shd w:val="clear" w:color="auto" w:fill="FFFFFF"/>
        </w:rPr>
        <w:t>中标人应按招标人确认后的主要</w:t>
      </w:r>
      <w:r>
        <w:rPr>
          <w:rFonts w:hint="eastAsia" w:ascii="宋体" w:hAnsi="宋体" w:eastAsia="宋体" w:cs="宋体"/>
          <w:color w:val="auto"/>
          <w:sz w:val="24"/>
          <w:szCs w:val="24"/>
          <w:highlight w:val="none"/>
          <w:shd w:val="clear" w:color="auto" w:fill="FFFFFF"/>
          <w:lang w:val="en-US" w:eastAsia="zh-CN"/>
        </w:rPr>
        <w:t>设备</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指光伏板、逆变器、箱变</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的规格、颜色要求采购。如变更规格或颜色，必须经招标人同意，并报有关审核部门重新核定单价后方可采购，并相应调整工程造价。主要材料必须先提供样板给招标人确定其规格、颜色、等级等，然后方可使用。</w:t>
      </w:r>
    </w:p>
    <w:p w14:paraId="3AED78DF">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18.7</w:t>
      </w:r>
      <w:r>
        <w:rPr>
          <w:rFonts w:hint="eastAsia" w:ascii="宋体" w:hAnsi="宋体" w:eastAsia="宋体" w:cs="宋体"/>
          <w:color w:val="auto"/>
          <w:sz w:val="24"/>
          <w:szCs w:val="24"/>
          <w:highlight w:val="none"/>
          <w:shd w:val="clear" w:color="auto" w:fill="FFFFFF"/>
        </w:rPr>
        <w:t>中标人须按工程所在地关于建筑渣土管理和扬尘治理等有关规定执行。</w:t>
      </w:r>
    </w:p>
    <w:p w14:paraId="0F9E34CB">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18.8</w:t>
      </w:r>
      <w:r>
        <w:rPr>
          <w:rFonts w:hint="eastAsia" w:ascii="宋体" w:hAnsi="宋体" w:eastAsia="宋体" w:cs="宋体"/>
          <w:color w:val="auto"/>
          <w:sz w:val="24"/>
          <w:szCs w:val="24"/>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7D04016A">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244E4EE9">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18.9</w:t>
      </w:r>
      <w:r>
        <w:rPr>
          <w:rFonts w:hint="eastAsia" w:ascii="宋体" w:hAnsi="宋体" w:eastAsia="宋体" w:cs="宋体"/>
          <w:color w:val="auto"/>
          <w:sz w:val="24"/>
          <w:szCs w:val="24"/>
          <w:highlight w:val="none"/>
          <w:shd w:val="clear" w:color="auto" w:fill="FFFFFF"/>
        </w:rPr>
        <w:t>若设计超过了限额标准，中标人必须无条件优化，直至达到限额要求为止，设计及施工工期不予以顺延，招标人不再支付由此而增加的设计费。</w:t>
      </w:r>
    </w:p>
    <w:p w14:paraId="300E2518">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18.10</w:t>
      </w:r>
      <w:r>
        <w:rPr>
          <w:rFonts w:hint="eastAsia" w:ascii="宋体" w:hAnsi="宋体" w:eastAsia="宋体" w:cs="宋体"/>
          <w:color w:val="auto"/>
          <w:sz w:val="24"/>
          <w:szCs w:val="24"/>
          <w:highlight w:val="none"/>
          <w:shd w:val="clear" w:color="auto" w:fill="FFFFFF"/>
        </w:rPr>
        <w:t>施工图设计通过招标人确，若由于审查过程中提出的设计修改或变更，中标人必须无条件进行修改或优化设计，招标人不再支付由此而增加的设计费用。</w:t>
      </w:r>
    </w:p>
    <w:p w14:paraId="6BB8ECBC">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18.11</w:t>
      </w:r>
      <w:r>
        <w:rPr>
          <w:rFonts w:hint="eastAsia" w:ascii="宋体" w:hAnsi="宋体" w:eastAsia="宋体" w:cs="宋体"/>
          <w:color w:val="auto"/>
          <w:sz w:val="24"/>
          <w:szCs w:val="24"/>
          <w:highlight w:val="none"/>
          <w:shd w:val="clear" w:color="auto" w:fill="FFFFFF"/>
        </w:rPr>
        <w:t>增加工程造价在施工14天前中标人必须提供详细的报价书（含工程项目名称、变更部位、理由、预计造价等）给监理单位核实并报招标人或有关审核部门核定后，方可施工。</w:t>
      </w:r>
    </w:p>
    <w:p w14:paraId="1CE98781">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18.12</w:t>
      </w:r>
      <w:r>
        <w:rPr>
          <w:rFonts w:hint="eastAsia" w:ascii="宋体" w:hAnsi="宋体" w:eastAsia="宋体" w:cs="宋体"/>
          <w:color w:val="auto"/>
          <w:sz w:val="24"/>
          <w:szCs w:val="24"/>
          <w:highlight w:val="none"/>
          <w:shd w:val="clear" w:color="auto" w:fill="FFFFFF"/>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施工图设计工作须经招标人审核通过后方可进行下一步设计。</w:t>
      </w:r>
    </w:p>
    <w:p w14:paraId="4BADF2F8">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w:t>
      </w:r>
      <w:r>
        <w:rPr>
          <w:rFonts w:hint="eastAsia" w:ascii="宋体" w:hAnsi="宋体" w:eastAsia="宋体" w:cs="宋体"/>
          <w:color w:val="auto"/>
          <w:sz w:val="24"/>
          <w:szCs w:val="24"/>
          <w:highlight w:val="none"/>
          <w:shd w:val="clear" w:color="auto" w:fill="FFFFFF"/>
        </w:rPr>
        <w:t>依据《关于进一步明确EPC建设工程财政投资评审工作有关事项的通知》（韶财建【2018】6号）文件，本项目有关具体事项如下：</w:t>
      </w:r>
    </w:p>
    <w:p w14:paraId="0D481EDE">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18.13.1</w:t>
      </w:r>
      <w:r>
        <w:rPr>
          <w:rFonts w:hint="eastAsia" w:ascii="宋体" w:hAnsi="宋体" w:eastAsia="宋体" w:cs="宋体"/>
          <w:color w:val="auto"/>
          <w:sz w:val="24"/>
          <w:szCs w:val="24"/>
          <w:highlight w:val="none"/>
          <w:shd w:val="clear" w:color="auto" w:fill="FFFFFF"/>
        </w:rPr>
        <w:t>承包人应按合同专用条款约定时间提交施工图设计文件、图纸及相关资料后按节点要求上报施工图工程量清单、预算。</w:t>
      </w:r>
    </w:p>
    <w:p w14:paraId="12388E30">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18.13.2</w:t>
      </w:r>
      <w:r>
        <w:rPr>
          <w:rFonts w:hint="eastAsia" w:ascii="宋体" w:hAnsi="宋体" w:eastAsia="宋体" w:cs="宋体"/>
          <w:color w:val="auto"/>
          <w:sz w:val="24"/>
          <w:szCs w:val="24"/>
          <w:highlight w:val="none"/>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4EB94452">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18.13.3</w:t>
      </w:r>
      <w:r>
        <w:rPr>
          <w:rFonts w:hint="eastAsia" w:ascii="宋体" w:hAnsi="宋体" w:eastAsia="宋体" w:cs="宋体"/>
          <w:color w:val="auto"/>
          <w:sz w:val="24"/>
          <w:szCs w:val="24"/>
          <w:highlight w:val="none"/>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承包人因勘察不全面导致施工破坏地下管线的由承包人承担全部损失及责任。</w:t>
      </w:r>
    </w:p>
    <w:p w14:paraId="7B9F17B1">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18.13.4</w:t>
      </w:r>
      <w:r>
        <w:rPr>
          <w:rFonts w:hint="eastAsia" w:ascii="宋体" w:hAnsi="宋体" w:eastAsia="宋体" w:cs="宋体"/>
          <w:color w:val="auto"/>
          <w:sz w:val="24"/>
          <w:szCs w:val="24"/>
          <w:highlight w:val="none"/>
          <w:shd w:val="clear" w:color="auto" w:fill="FFFFFF"/>
        </w:rPr>
        <w:t>承包人不得在设计文件中或以口头暗示方式指定工程物资供货商或者制造厂，只有唯一厂家除外；承包人应通过招标等竞争性方式选择供货商或制造厂。</w:t>
      </w:r>
    </w:p>
    <w:p w14:paraId="6C0B38A9">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18.13.5</w:t>
      </w:r>
      <w:r>
        <w:rPr>
          <w:rFonts w:hint="eastAsia" w:ascii="宋体" w:hAnsi="宋体" w:eastAsia="宋体" w:cs="宋体"/>
          <w:color w:val="auto"/>
          <w:sz w:val="24"/>
          <w:szCs w:val="24"/>
          <w:highlight w:val="none"/>
          <w:shd w:val="clear" w:color="auto" w:fill="FFFFFF"/>
        </w:rPr>
        <w:t>主要设备以及专业工程结算报审要求</w:t>
      </w:r>
    </w:p>
    <w:p w14:paraId="23EE1DAB">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主要设备以及专业工程等在工程预算中以“暂估价”形式包括在总承包范围内进行单列的，实施时确定规格型号、参数及档次、询价确价须经过有关承包人充分协商一致并形成书面材料；设备采购额达到依法招标条件的，应按国家相关规定采用招标方式确定设备供货商或制造厂和价格；结算时需提供采购(招标)文件、合同、等依据，专业工程需提供图纸等相关完整资料。</w:t>
      </w:r>
    </w:p>
    <w:p w14:paraId="17AE053D">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18.13.6</w:t>
      </w:r>
      <w:r>
        <w:rPr>
          <w:rFonts w:hint="eastAsia" w:ascii="宋体" w:hAnsi="宋体" w:eastAsia="宋体" w:cs="宋体"/>
          <w:color w:val="auto"/>
          <w:sz w:val="24"/>
          <w:szCs w:val="24"/>
          <w:highlight w:val="none"/>
          <w:shd w:val="clear" w:color="auto" w:fill="FFFFFF"/>
        </w:rPr>
        <w:t>承包人不得为了用完设计限额额度，擅自扩大建设规模、增加建设内容、提高建设标准的行为，因此导致造价增加由承包人负责及承担费用。</w:t>
      </w:r>
    </w:p>
    <w:p w14:paraId="5F269B95">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18.14</w:t>
      </w:r>
      <w:r>
        <w:rPr>
          <w:rFonts w:hint="eastAsia" w:ascii="宋体" w:hAnsi="宋体" w:eastAsia="宋体" w:cs="宋体"/>
          <w:color w:val="auto"/>
          <w:sz w:val="24"/>
          <w:szCs w:val="24"/>
          <w:highlight w:val="none"/>
          <w:shd w:val="clear" w:color="auto" w:fill="FFFFFF"/>
        </w:rPr>
        <w:t>工程质量保修期按《中华人民共和国建筑法》、《建设工程质量管理条例》等相关规定实施。</w:t>
      </w:r>
    </w:p>
    <w:p w14:paraId="1597AEC8">
      <w:pPr>
        <w:pStyle w:val="57"/>
        <w:pageBreakBefore w:val="0"/>
        <w:kinsoku/>
        <w:overflowPunct/>
        <w:topLinePunct w:val="0"/>
        <w:autoSpaceDE/>
        <w:autoSpaceDN/>
        <w:bidi w:val="0"/>
        <w:snapToGrid w:val="0"/>
        <w:spacing w:line="360" w:lineRule="auto"/>
        <w:ind w:firstLine="482"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18.15</w:t>
      </w:r>
      <w:r>
        <w:rPr>
          <w:rFonts w:hint="eastAsia" w:ascii="宋体" w:hAnsi="宋体" w:eastAsia="宋体" w:cs="宋体"/>
          <w:color w:val="auto"/>
          <w:sz w:val="24"/>
          <w:szCs w:val="24"/>
          <w:highlight w:val="none"/>
          <w:shd w:val="clear" w:color="auto" w:fill="FFFFFF"/>
        </w:rPr>
        <w:t>（一）用人单位应当在建设项目动工前，在建设项目所在地商业银行设立工人工资支付专用账户。</w:t>
      </w:r>
    </w:p>
    <w:p w14:paraId="31F7BE13">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（二）用人单位应当在用工之日起15日内为每一位工人办理个人银行账户。</w:t>
      </w:r>
    </w:p>
    <w:p w14:paraId="68272CC8">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0E08B17F">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6C676FD6">
      <w:pPr>
        <w:pStyle w:val="57"/>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4EF0D737">
      <w:pPr>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shd w:val="clear" w:color="auto" w:fill="FFFFFF"/>
        </w:rPr>
        <w:t>8.16</w:t>
      </w:r>
      <w:r>
        <w:rPr>
          <w:rFonts w:hint="eastAsia" w:ascii="宋体" w:hAnsi="宋体" w:eastAsia="宋体" w:cs="宋体"/>
          <w:color w:val="auto"/>
          <w:sz w:val="24"/>
          <w:szCs w:val="24"/>
          <w:highlight w:val="none"/>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4D59790B">
      <w:pPr>
        <w:pageBreakBefore w:val="0"/>
        <w:kinsoku/>
        <w:overflowPunct/>
        <w:topLinePunct w:val="0"/>
        <w:autoSpaceDE/>
        <w:autoSpaceDN/>
        <w:bidi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班子成员不得擅自变更，项目管理班子成员因有粤建市〔2009〕8号第九条所述情形之一确属不能履行职责需要变更的，施工或监理单位应向建设行政主管部门填报《建设工程项目管理班子变更情况报告表》并附上有关证明文件，经建设行政主管部门审核同意方可变更。更换后的项目经理与中标单位的投标文件所确定的项目负责人或总监理工程师的主要条件一致。</w:t>
      </w:r>
    </w:p>
    <w:p w14:paraId="644093A2">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若中标单位有下列行为之一的，除依照有关法律、法规进行处罚外，将通过市建设与房地产信息网站予以及时曝光，并作为今后该单位参与投标的评分扣分依据直至取消投标资格。</w:t>
      </w:r>
    </w:p>
    <w:p w14:paraId="38D11B6A">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转包、违法分包或违反投标承诺分包工程的；   </w:t>
      </w:r>
    </w:p>
    <w:p w14:paraId="70DB0A9B">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非原参加投标中标的项目经理负责组织施工或在实施过程违反粤建市〔2009〕8号第九条规定更换项目经理的、项目的其他主要管理人员与中标文件确定的人员不相符的；</w:t>
      </w:r>
    </w:p>
    <w:p w14:paraId="6B74E82E">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投标文件确定的大型机械设备没有进入施工现场的；</w:t>
      </w:r>
    </w:p>
    <w:p w14:paraId="6F1BF16F">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建设、监理、施工等单位串通，签认虚假工程量或工程造价的；</w:t>
      </w:r>
    </w:p>
    <w:p w14:paraId="6BFA9E62">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施工现场管理不到位的；</w:t>
      </w:r>
    </w:p>
    <w:p w14:paraId="41E96D55">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非本人资格证书登记所在的单位从事工程项目施工管理的；</w:t>
      </w:r>
    </w:p>
    <w:p w14:paraId="486E7E59">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项目经理同时承担超过一项工程项目的；</w:t>
      </w:r>
    </w:p>
    <w:p w14:paraId="4D743697">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违反有关法律、法规、规章规定的其它行为。</w:t>
      </w:r>
    </w:p>
    <w:p w14:paraId="499F6BAA">
      <w:pPr>
        <w:pStyle w:val="55"/>
        <w:pageBreakBefore w:val="0"/>
        <w:widowControl/>
        <w:kinsoku/>
        <w:overflowPunct/>
        <w:topLinePunct w:val="0"/>
        <w:autoSpaceDE/>
        <w:autoSpaceDN/>
        <w:bidi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18.17</w:t>
      </w:r>
      <w:r>
        <w:rPr>
          <w:rFonts w:hint="eastAsia" w:ascii="宋体" w:hAnsi="宋体" w:eastAsia="宋体" w:cs="宋体"/>
          <w:color w:val="auto"/>
          <w:sz w:val="24"/>
          <w:szCs w:val="24"/>
          <w:highlight w:val="none"/>
          <w:lang w:val="zh-CN"/>
        </w:rPr>
        <w:t>中标单位必须做好临时道路（含进场道路）的建设与维护及周边环境的保护工作。如临时道路及设施达不到安全文明施工标准的，由招标人组织安排施工队进行维修，实际完成结算由监理单位审定。</w:t>
      </w:r>
    </w:p>
    <w:p w14:paraId="2D48540A">
      <w:pPr>
        <w:pStyle w:val="55"/>
        <w:pageBreakBefore w:val="0"/>
        <w:widowControl/>
        <w:kinsoku/>
        <w:overflowPunct/>
        <w:topLinePunct w:val="0"/>
        <w:autoSpaceDE/>
        <w:autoSpaceDN/>
        <w:bidi w:val="0"/>
        <w:snapToGrid w:val="0"/>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18.</w:t>
      </w:r>
      <w:r>
        <w:rPr>
          <w:rFonts w:hint="eastAsia" w:ascii="宋体" w:hAnsi="宋体" w:eastAsia="宋体" w:cs="宋体"/>
          <w:b/>
          <w:color w:val="auto"/>
          <w:sz w:val="24"/>
          <w:szCs w:val="24"/>
          <w:highlight w:val="none"/>
          <w:lang w:val="en-US" w:eastAsia="zh-CN"/>
        </w:rPr>
        <w:t>18</w:t>
      </w:r>
      <w:r>
        <w:rPr>
          <w:rFonts w:hint="eastAsia" w:ascii="宋体" w:hAnsi="宋体" w:eastAsia="宋体" w:cs="宋体"/>
          <w:b/>
          <w:color w:val="auto"/>
          <w:sz w:val="24"/>
          <w:szCs w:val="24"/>
          <w:highlight w:val="none"/>
        </w:rPr>
        <w:t>中标人违约行为及违约责任条款</w:t>
      </w:r>
    </w:p>
    <w:p w14:paraId="517CE5A9">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（一）工程移交延误违约</w:t>
      </w:r>
    </w:p>
    <w:p w14:paraId="1A6807D6">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于设计原因造成设计资料质量不合格，不能满足技术要求或使工期延误的，中标人除应按招标人要求期限返工外，其返工的设计费、施工费用均由中标人承担，并根据受损失程度向招标人支付相应赔偿金。</w:t>
      </w:r>
    </w:p>
    <w:p w14:paraId="559E2086">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（2）因中标人的原因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未按招标人或监理单位开工令要求时间开工的，每迟延开工1 天，应向招标人支付违约金5000 元；迟延开工超过20 天的，招标人有权根据实际情况单方面解除合同。</w:t>
      </w:r>
    </w:p>
    <w:p w14:paraId="5C433F67">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（3）因中标人的原因造成工期延误</w:t>
      </w:r>
      <w:r>
        <w:rPr>
          <w:rFonts w:hint="eastAsia" w:ascii="宋体" w:hAnsi="宋体" w:eastAsia="宋体" w:cs="宋体"/>
          <w:snapToGrid w:val="0"/>
          <w:color w:val="auto"/>
          <w:kern w:val="0"/>
          <w:sz w:val="24"/>
          <w:szCs w:val="24"/>
          <w:highlight w:val="none"/>
          <w:lang w:eastAsia="zh-CN"/>
        </w:rPr>
        <w:t>（工期自监理单位签发的开工令日期起算）</w:t>
      </w:r>
      <w:r>
        <w:rPr>
          <w:rFonts w:hint="eastAsia" w:ascii="宋体" w:hAnsi="宋体" w:eastAsia="宋体" w:cs="宋体"/>
          <w:color w:val="auto"/>
          <w:sz w:val="24"/>
          <w:szCs w:val="24"/>
          <w:highlight w:val="none"/>
        </w:rPr>
        <w:t>，从延误的第一天起按合同价</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‰向招标人支付违约金，支付违约金上限为工程合同价款的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3AA404C7">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人必须按期完成主要工序的施工任务，若属中标人原因逾期达10天未完成主要节点的施工任务时，除按第（1）项约定承担违约责任外，招标人可要求撤换项目负责人，中标人应予以执行，并在总工期不调整的前提下自行消化节点工期的延误。逾期1天，罚款</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000元，逾期30 天未完成主要节点的施工任务时，属中标人进度严重违约行为，招标人可单方面终止合同，将中标人作不良纪录报建设行政主管部门备案。并由中标人承担相应的进度严重违约责任。</w:t>
      </w:r>
    </w:p>
    <w:p w14:paraId="32574E91">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（5）中标人承担的进度严重违约责任为：如果中标人出现进度严重违约事件，则须无条件接受招标人终止合同，并在接到终止合同通知书之日起5 个日历天内（招标人应予以配合），在监理工程师的监督下退场完毕。退场完毕后由监理工程师出具《退出完结证明书》，并据此进行相关结算。中标人按履约担保金额支付违约金。给招标人造成的损失超过履约担保金额的部分，中标人还应承担赔偿责任。</w:t>
      </w:r>
    </w:p>
    <w:p w14:paraId="1FD6CD29">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施工过程中（竣工验收前），中标人必须按招标人、监理人的要求及时为专业工程（电信、电力管线、电力走廊、煤气、道路绿化、路灯、交通设施、给水等）提供工作面及为专业工程穿插施工所需各项配合工作给予方便，中标人应在施工方案中充分考虑专业工程穿插施工所需的穿插工作面及工期，由于中标人未能给予专业工程穿插施工，造成总施工工期的延误，施工工期不予顺延，中标人承担由于工期延误所产生的损失。</w:t>
      </w:r>
    </w:p>
    <w:p w14:paraId="4F731543">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（7）中标人违反合同专用条款的约定和招标人的规定，逾期完成竣工档案的整理、移交、送审备案工作的，每逾期1 天，中标人支付违约金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000 元。</w:t>
      </w:r>
    </w:p>
    <w:p w14:paraId="5046A84B">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（二）安全、文明施工要求及违约处理：</w:t>
      </w:r>
    </w:p>
    <w:p w14:paraId="3E3F99BF">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必须按本合同的约定编制施工组织设计（施工方案、包括安全文明施工措施），经过监理人和招标人审核确认后按其施工，不得随意更改。如果根据实际情况确需修改，则需经工程师及招标人审批同意。</w:t>
      </w:r>
    </w:p>
    <w:p w14:paraId="4D62D625">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应严格遵守国家、省、市及有关防火、爆破和施工安全以及文明施工、深夜施工、环卫和城市管理等规定，建立规章制度和防护措施，并组织施工。在相关部门的检查中，中标人施工场地被评为不合格工地或被通报批评或下发停工整改通知的或者被新闻媒体曝光的，每发生一次，中标人支付</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000 元违约金，如招标人因此被相关部门处罚的，罚金由中标人承担。</w:t>
      </w:r>
    </w:p>
    <w:p w14:paraId="76C2353C">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（3）如果中标人未按招投标文件、本合同、《广东省建设厅建筑工程安全防护、文明施工措施费用管理办法》、招标人要求做好绿色施工安全防护相关措施，未在限期内完成整改的，每延期一天，中标人支付</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000元违约金。</w:t>
      </w:r>
    </w:p>
    <w:p w14:paraId="2D40BF71">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本工程余泥渣土清运施工和建筑垃圾排放运输时，中标人必须严格执行当地相关管理规定的标准和要求，办齐排放有关证照，雇请有合格准运证车辆和具备资质的运输企业，设立专职人员管理余泥渣土、建筑垃圾的运输工作，并对分包单位依法排放余泥渣土、建筑垃圾进行监管。中标人因违反本款约定所造成的一切责任后果全部由中标人承担。经招标人或相关部门检查发现中标人未执行本款约定的，每发现一次，中标人支付</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000 元违约金。同时，招标人将根据中标人违反余泥渣土运输管理有关规定而造成的不良后果的严重程度，上报建设行政主管部门进行处理。</w:t>
      </w:r>
    </w:p>
    <w:p w14:paraId="622C8A35">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人必须按合同约定的“绿色施工安全防护措施费”足额投入，否则发包人有权自行实施，承包人无条件接受并承担相关费用并接受处罚。招标人根据中标人提供的绿色施工安全防护投入明细经监理单位审核后在合同约定的“绿色施工安全防护措施费”金额内按实结算。</w:t>
      </w:r>
    </w:p>
    <w:p w14:paraId="268CBA72">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（三）工程质量方面的违约责任：</w:t>
      </w:r>
    </w:p>
    <w:p w14:paraId="62213FD0">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必须保证用于本合同工程所有的材料设备的品牌、型号、规格、质量等符合本合同及招投标文件的要求，严禁假冒伪劣产品，严禁以次充好，严禁未经招标人批准即以其他产品（包括中标人的产品）顶替本合同及招投标文件中规定的产品。中标人在施工中偷工减料、使用不合格的建筑材料、建筑构配件或设备、不按照工程设计图纸、施工技术标准施工，或者未对建筑材料、建筑构配件、设备、商品混凝土进行检验，或者未对涉及结构安全的试块、试件以及有关材料取样送检的，应负责无偿修理或返工，并应支付合同价款千分之三的违约金给招标人。</w:t>
      </w:r>
    </w:p>
    <w:p w14:paraId="46DCB5F3">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（2）设计人对设计资料及文件出现的遗漏或错误负责修改或补充。由于设计错误造成工程质量事故损失，设计人负责采取补救措施。</w:t>
      </w:r>
    </w:p>
    <w:p w14:paraId="570FF953">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（3）由于设计人原因造成设计成果资料质量不合格，不能满足技术要求时设计人应按招标人要求期限返工，其返工设计费用由设计人承担。</w:t>
      </w:r>
    </w:p>
    <w:p w14:paraId="6E23E827">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（4）如工程在竣工验收达不到合格标准，招标人不予支付工程款，直至中标人返工至合格后方予以支付，并按合同价款的</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向招标人返纳质量违约金。</w:t>
      </w:r>
    </w:p>
    <w:p w14:paraId="2A137230">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（四）关于农民工工资支付的违约责任：</w:t>
      </w:r>
    </w:p>
    <w:p w14:paraId="7F91C88A">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中标人拖欠农民工工资，被农民工投诉属实的，中标人必须在3 天内发放拖欠的款项。若继续拖延被投诉2 次及以上，经查实，中标人除应立即支付拖欠款项外，还应支付10000 元违约金给招标人。因中标人拖欠农民工工资，导致农民工采取停工、集聚围阻招标人办公地点甚至政府办公部门等过激行动的，中标人应支付20000 元违约金，并立即采取切实有效措施予以整改；拒不采取切实有效措施整改的，或整改效果不明显的，招标人可用中标人工程款垫付。若中标人在本工程内发生无故拖欠农民工工资现象，将被作不良记录，上报建设行政主管部门。</w:t>
      </w:r>
    </w:p>
    <w:p w14:paraId="417DC712">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（五）项目管理机构人员、机械设备、劳动力到位方面的违约责任：</w:t>
      </w:r>
    </w:p>
    <w:p w14:paraId="074751DD">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必须保证投标文件中确定的项目负责人及其项目技术负责人、主要施工管理人员能及时地、始终地参与本工程施工管理，在未征得招标人书面同意之前不得更换。如果擅自更换项目负责人或项目技术负责人，中标人每更换一人次，需支付10000 元违约金给招标人，如果擅自更换主要施工管理人员，每更换一人次，中标人需支付5000 元违约金给招标人。</w:t>
      </w:r>
    </w:p>
    <w:p w14:paraId="227D43C2">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（2）如果中标人未按监理单位确认后的施工组织设计中的机械设备投入计划投入机械设备，经监理工程师或招标人代表检查发现的，将书面告知限期整改。</w:t>
      </w:r>
    </w:p>
    <w:p w14:paraId="686E8D86">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（3）如果中标人未按监理单位确认后的施工组织设计中的人力投入计划投入，经监理工程师和招标人代表检查发现的，每发现一次，中标人支付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000 元违约金给招标人。</w:t>
      </w:r>
    </w:p>
    <w:p w14:paraId="2A5A6EF0">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如果检查发现中标人超过三次未按承诺投入的人力、机械、物力组织施工，招标人将作为不良纪录报建设行政主管部门备案。如果检查发现中标人没有按施工组织设计的进度安排推进工程建设，使主要工序的工期延误超过10 天，没有按招标人的意见撤换现场负责人；或者按招标人的意见撤换现场负责人后，仍然无法有效控制工程进度，招标人将发出书面警告，警告发出后15 天内，主要工序的工期延误仍然超过10 天，招标人将作为不良纪录报建设行政主管部门备案。对此，中标人不得有异议。</w:t>
      </w:r>
    </w:p>
    <w:p w14:paraId="48671140">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（5）中标人的项目负责人、技术负责人、安全负责人、质量负责人等必须常驻施工现场，且须无条件参加每周的工地例会以及双方约定的其它重要会议，如有缺席，则每人每缺席一次，中标人需支付</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000 元人民币违约金。</w:t>
      </w:r>
    </w:p>
    <w:p w14:paraId="1E32C261">
      <w:pPr>
        <w:pStyle w:val="55"/>
        <w:pageBreakBefore w:val="0"/>
        <w:widowControl/>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（6）设计代表必须常驻施工现场，且须无条件参加每周的工地例会以及双方约定的其它重要会议，如有缺席，则每人每缺席一次，中标人需支付</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00 元人民币违约金。</w:t>
      </w:r>
    </w:p>
    <w:p w14:paraId="6CDD78C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中标人需综合考虑现场因素，不得以不完全了解现场情况为理由，提出额外付款或延长工期等要求（除征地拆迁及管线搬迁造成停工，招标人按规定调整工期）。对此类要求，招标人不作任何考虑及答复。</w:t>
      </w:r>
    </w:p>
    <w:p w14:paraId="14A86EB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530EE9C">
      <w:pPr>
        <w:pStyle w:val="37"/>
        <w:keepNext/>
        <w:keepLines/>
        <w:tabs>
          <w:tab w:val="left" w:pos="885"/>
        </w:tabs>
        <w:spacing w:line="400" w:lineRule="exact"/>
        <w:jc w:val="center"/>
        <w:rPr>
          <w:rFonts w:hint="eastAsia" w:ascii="宋体" w:hAnsi="宋体" w:eastAsia="宋体" w:cs="宋体"/>
          <w:b/>
          <w:color w:val="auto"/>
          <w:kern w:val="44"/>
          <w:sz w:val="28"/>
          <w:szCs w:val="28"/>
          <w:highlight w:val="none"/>
          <w:lang w:val="en-US" w:eastAsia="zh-CN" w:bidi="ar-SA"/>
        </w:rPr>
      </w:pPr>
      <w:bookmarkStart w:id="217" w:name="_Toc23277"/>
      <w:r>
        <w:rPr>
          <w:rFonts w:hint="eastAsia" w:ascii="宋体" w:hAnsi="宋体" w:eastAsia="宋体" w:cs="宋体"/>
          <w:b/>
          <w:color w:val="auto"/>
          <w:kern w:val="44"/>
          <w:sz w:val="28"/>
          <w:szCs w:val="28"/>
          <w:highlight w:val="none"/>
          <w:lang w:val="en-US" w:eastAsia="zh-CN" w:bidi="ar-SA"/>
        </w:rPr>
        <w:t>第三章 拟签订合同的主要条款</w:t>
      </w:r>
      <w:bookmarkEnd w:id="217"/>
    </w:p>
    <w:p w14:paraId="262EED02">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kern w:val="2"/>
          <w:highlight w:val="none"/>
        </w:rPr>
      </w:pPr>
      <w:bookmarkStart w:id="218" w:name="_Toc6561"/>
      <w:r>
        <w:rPr>
          <w:rFonts w:hint="eastAsia" w:ascii="宋体" w:hAnsi="宋体" w:eastAsia="宋体" w:cs="宋体"/>
          <w:b/>
          <w:color w:val="auto"/>
          <w:kern w:val="2"/>
          <w:highlight w:val="none"/>
        </w:rPr>
        <w:t>1 工程承包方式</w:t>
      </w:r>
      <w:bookmarkEnd w:id="218"/>
    </w:p>
    <w:p w14:paraId="249F910A">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承包人按中标价以总承包方式在规定的期限内对设计、施工（包工包料、包质量、包机械、包绿色安全文明施工、包工期等）进行总承包，不允许转包和违法分包，如承包人无相应专业资质，确需分包须与发包人协商并得到发包人和监理人同意并报工程主管部门备案。</w:t>
      </w:r>
    </w:p>
    <w:p w14:paraId="6D7E69FC">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1.1.1 包工包料：材料符合招标文件要求</w:t>
      </w:r>
      <w:r>
        <w:rPr>
          <w:rFonts w:hint="eastAsia" w:ascii="宋体" w:hAnsi="宋体" w:eastAsia="宋体" w:cs="宋体"/>
          <w:snapToGrid w:val="0"/>
          <w:color w:val="auto"/>
          <w:kern w:val="0"/>
          <w:highlight w:val="none"/>
        </w:rPr>
        <w:t>及合同的相关约定</w:t>
      </w:r>
      <w:r>
        <w:rPr>
          <w:rFonts w:hint="eastAsia" w:ascii="宋体" w:hAnsi="宋体" w:eastAsia="宋体" w:cs="宋体"/>
          <w:color w:val="auto"/>
          <w:highlight w:val="none"/>
        </w:rPr>
        <w:t>，报验使用；办理用工保险。</w:t>
      </w:r>
    </w:p>
    <w:p w14:paraId="31C63FE1">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1.1.2 包质量：符合招标文件要求</w:t>
      </w:r>
      <w:r>
        <w:rPr>
          <w:rFonts w:hint="eastAsia" w:ascii="宋体" w:hAnsi="宋体" w:eastAsia="宋体" w:cs="宋体"/>
          <w:color w:val="auto"/>
          <w:szCs w:val="24"/>
          <w:highlight w:val="none"/>
        </w:rPr>
        <w:t>及合同有关质量的相关约定</w:t>
      </w:r>
      <w:r>
        <w:rPr>
          <w:rFonts w:hint="eastAsia" w:ascii="宋体" w:hAnsi="宋体" w:eastAsia="宋体" w:cs="宋体"/>
          <w:color w:val="auto"/>
          <w:highlight w:val="none"/>
        </w:rPr>
        <w:t>。</w:t>
      </w:r>
    </w:p>
    <w:p w14:paraId="450625DF">
      <w:pPr>
        <w:pageBreakBefore w:val="0"/>
        <w:kinsoku/>
        <w:wordWrap w:val="0"/>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Cs w:val="22"/>
          <w:highlight w:val="none"/>
        </w:rPr>
      </w:pPr>
      <w:r>
        <w:rPr>
          <w:rFonts w:hint="eastAsia" w:ascii="宋体" w:hAnsi="宋体" w:eastAsia="宋体" w:cs="宋体"/>
          <w:color w:val="auto"/>
          <w:szCs w:val="22"/>
          <w:highlight w:val="none"/>
        </w:rPr>
        <w:t>1.1.3 包安全包文明施工：符合国家及省、市的相关规定及招标文件、合同的相关约定要求。</w:t>
      </w:r>
    </w:p>
    <w:p w14:paraId="7C314495">
      <w:pPr>
        <w:pStyle w:val="36"/>
        <w:pageBreakBefore w:val="0"/>
        <w:kinsoku/>
        <w:overflowPunct/>
        <w:topLinePunct w:val="0"/>
        <w:bidi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1.1.4 包工期：本工程项目施工必须在规定的期限内完成。</w:t>
      </w:r>
    </w:p>
    <w:p w14:paraId="13786C71">
      <w:pPr>
        <w:pStyle w:val="53"/>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highlight w:val="none"/>
        </w:rPr>
      </w:pPr>
      <w:bookmarkStart w:id="219" w:name="_Toc5904"/>
      <w:r>
        <w:rPr>
          <w:rFonts w:hint="eastAsia" w:ascii="宋体" w:hAnsi="宋体" w:eastAsia="宋体" w:cs="宋体"/>
          <w:b/>
          <w:color w:val="auto"/>
          <w:highlight w:val="none"/>
        </w:rPr>
        <w:t>2 施工图工程量清单预算的编制原则</w:t>
      </w:r>
      <w:bookmarkEnd w:id="219"/>
    </w:p>
    <w:p w14:paraId="2867DC4F">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szCs w:val="24"/>
          <w:highlight w:val="none"/>
        </w:rPr>
      </w:pPr>
      <w:r>
        <w:rPr>
          <w:rFonts w:hint="eastAsia" w:ascii="宋体" w:hAnsi="宋体" w:eastAsia="宋体" w:cs="宋体"/>
          <w:color w:val="auto"/>
          <w:kern w:val="0"/>
          <w:highlight w:val="none"/>
        </w:rPr>
        <w:t>2.</w:t>
      </w:r>
      <w:r>
        <w:rPr>
          <w:rFonts w:hint="eastAsia" w:ascii="宋体" w:hAnsi="宋体" w:eastAsia="宋体" w:cs="宋体"/>
          <w:color w:val="auto"/>
          <w:kern w:val="0"/>
          <w:highlight w:val="none"/>
          <w:lang w:val="en-US" w:eastAsia="zh-CN"/>
        </w:rPr>
        <w:t>1</w:t>
      </w:r>
      <w:r>
        <w:rPr>
          <w:rFonts w:hint="eastAsia" w:ascii="宋体" w:hAnsi="宋体" w:eastAsia="宋体" w:cs="宋体"/>
          <w:color w:val="auto"/>
          <w:szCs w:val="24"/>
          <w:highlight w:val="none"/>
        </w:rPr>
        <w:t xml:space="preserve"> 施工图工程量清单预算价的编制：承包人根据招标文件初步设计等相关的文件完成本项目的设计工作，承包人设计的施工图经发包人确认后由发包人委托有资质的审图公司审查，施工图经审查合格后，由承包人编制的施工图工程量清单预算</w:t>
      </w:r>
      <w:r>
        <w:rPr>
          <w:rFonts w:hint="eastAsia" w:ascii="宋体" w:hAnsi="宋体" w:eastAsia="宋体" w:cs="宋体"/>
          <w:color w:val="auto"/>
          <w:kern w:val="0"/>
          <w:szCs w:val="24"/>
          <w:highlight w:val="none"/>
        </w:rPr>
        <w:t>需经过发包人委托的第三方</w:t>
      </w:r>
      <w:r>
        <w:rPr>
          <w:rFonts w:hint="eastAsia" w:ascii="宋体" w:hAnsi="宋体" w:eastAsia="宋体" w:cs="宋体"/>
          <w:color w:val="auto"/>
          <w:szCs w:val="24"/>
          <w:highlight w:val="none"/>
        </w:rPr>
        <w:t>造价咨询单位审核</w:t>
      </w:r>
      <w:r>
        <w:rPr>
          <w:rFonts w:hint="eastAsia" w:ascii="宋体" w:hAnsi="宋体" w:eastAsia="宋体" w:cs="宋体"/>
          <w:color w:val="auto"/>
          <w:kern w:val="0"/>
          <w:szCs w:val="24"/>
          <w:highlight w:val="none"/>
        </w:rPr>
        <w:t>通过后，并报</w:t>
      </w:r>
      <w:r>
        <w:rPr>
          <w:rFonts w:hint="eastAsia" w:ascii="宋体" w:hAnsi="宋体" w:eastAsia="宋体" w:cs="宋体"/>
          <w:color w:val="auto"/>
          <w:szCs w:val="24"/>
          <w:highlight w:val="none"/>
          <w:lang w:val="en-US" w:eastAsia="zh-CN"/>
        </w:rPr>
        <w:t>始兴县</w:t>
      </w:r>
      <w:r>
        <w:rPr>
          <w:rFonts w:hint="eastAsia" w:ascii="宋体" w:hAnsi="宋体" w:eastAsia="宋体" w:cs="宋体"/>
          <w:color w:val="auto"/>
          <w:szCs w:val="24"/>
          <w:highlight w:val="none"/>
        </w:rPr>
        <w:t>财政局投资评审中心</w:t>
      </w:r>
      <w:r>
        <w:rPr>
          <w:rFonts w:hint="eastAsia" w:ascii="宋体" w:hAnsi="宋体" w:eastAsia="宋体" w:cs="宋体"/>
          <w:color w:val="auto"/>
          <w:kern w:val="0"/>
          <w:szCs w:val="24"/>
          <w:highlight w:val="none"/>
        </w:rPr>
        <w:t>审核</w:t>
      </w:r>
      <w:r>
        <w:rPr>
          <w:rFonts w:hint="eastAsia" w:ascii="宋体" w:hAnsi="宋体" w:eastAsia="宋体" w:cs="宋体"/>
          <w:color w:val="auto"/>
          <w:szCs w:val="24"/>
          <w:highlight w:val="none"/>
        </w:rPr>
        <w:t>。施工图工程量清单预算的编制依据为：（1）</w:t>
      </w:r>
      <w:r>
        <w:rPr>
          <w:rFonts w:hint="eastAsia" w:ascii="宋体" w:hAnsi="宋体" w:eastAsia="宋体" w:cs="宋体"/>
          <w:color w:val="auto"/>
          <w:szCs w:val="24"/>
          <w:highlight w:val="none"/>
          <w:lang w:eastAsia="zh-CN"/>
        </w:rPr>
        <w:t>《建设工程工程量清单计价标准》（GB/T50500-2024）</w:t>
      </w:r>
      <w:r>
        <w:rPr>
          <w:rFonts w:hint="eastAsia" w:ascii="宋体" w:hAnsi="宋体" w:eastAsia="宋体" w:cs="宋体"/>
          <w:color w:val="auto"/>
          <w:szCs w:val="24"/>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当广东省综合定额子目缺项时，可参考套用最新的电力定额编制。</w:t>
      </w:r>
      <w:r>
        <w:rPr>
          <w:rFonts w:hint="eastAsia" w:ascii="宋体" w:hAnsi="宋体" w:eastAsia="宋体" w:cs="宋体"/>
          <w:color w:val="auto"/>
          <w:kern w:val="0"/>
          <w:szCs w:val="24"/>
          <w:highlight w:val="none"/>
        </w:rPr>
        <w:t>工程量按施工图计算，主要材料价格按预算编制时（招标文件所规定的设计预算编制工期内）当季</w:t>
      </w:r>
      <w:r>
        <w:rPr>
          <w:rFonts w:hint="eastAsia" w:ascii="宋体" w:hAnsi="宋体" w:eastAsia="宋体" w:cs="宋体"/>
          <w:color w:val="auto"/>
          <w:szCs w:val="24"/>
          <w:highlight w:val="none"/>
          <w:lang w:val="en-US" w:eastAsia="zh-CN"/>
        </w:rPr>
        <w:t>始兴县</w:t>
      </w:r>
      <w:r>
        <w:rPr>
          <w:rFonts w:hint="eastAsia" w:ascii="宋体" w:hAnsi="宋体" w:eastAsia="宋体" w:cs="宋体"/>
          <w:color w:val="auto"/>
          <w:kern w:val="0"/>
          <w:szCs w:val="24"/>
          <w:highlight w:val="none"/>
        </w:rPr>
        <w:t>工程造价管理机构发布的人工、材料、机械台班综合单价（若</w:t>
      </w:r>
      <w:r>
        <w:rPr>
          <w:rFonts w:hint="eastAsia" w:ascii="宋体" w:hAnsi="宋体" w:eastAsia="宋体" w:cs="宋体"/>
          <w:color w:val="auto"/>
          <w:szCs w:val="24"/>
          <w:highlight w:val="none"/>
          <w:lang w:val="en-US" w:eastAsia="zh-CN"/>
        </w:rPr>
        <w:t>始兴县</w:t>
      </w:r>
      <w:r>
        <w:rPr>
          <w:rFonts w:hint="eastAsia" w:ascii="宋体" w:hAnsi="宋体" w:eastAsia="宋体" w:cs="宋体"/>
          <w:color w:val="auto"/>
          <w:kern w:val="0"/>
          <w:szCs w:val="24"/>
          <w:highlight w:val="none"/>
        </w:rPr>
        <w:t>未发布信息则依次参照广东省韶关市、广东省清远市、广东省肇庆市、广东省佛山市、广东省东莞市、广东省广州市，若以上城市均没有信息价则按市场询价，市场询价由承包人、监理单位、发包人及发包人委托的第三方造价咨询经市场询价方式或厂家报价后确认的设备材料价格或暂定设备材料价格计算）</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规费、税金等其它费用则按有关规定计算（费率有上、下限的按平均值计算），预算包干费按2018年广东省计价办法的规定计算，赶工措施费不另行计算。</w:t>
      </w:r>
    </w:p>
    <w:p w14:paraId="283DFE0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color w:val="auto"/>
          <w:kern w:val="2"/>
          <w:szCs w:val="24"/>
          <w:highlight w:val="none"/>
          <w:lang w:val="en-US" w:eastAsia="zh-CN"/>
        </w:rPr>
      </w:pPr>
      <w:r>
        <w:rPr>
          <w:rFonts w:hint="eastAsia" w:ascii="宋体" w:hAnsi="宋体" w:eastAsia="宋体" w:cs="宋体"/>
          <w:b/>
          <w:color w:val="auto"/>
          <w:kern w:val="2"/>
          <w:szCs w:val="24"/>
          <w:highlight w:val="none"/>
        </w:rPr>
        <w:t>3 工程结算原则</w:t>
      </w:r>
      <w:r>
        <w:rPr>
          <w:rFonts w:hint="eastAsia" w:ascii="宋体" w:hAnsi="宋体" w:eastAsia="宋体" w:cs="宋体"/>
          <w:b/>
          <w:color w:val="auto"/>
          <w:kern w:val="2"/>
          <w:szCs w:val="24"/>
          <w:highlight w:val="none"/>
          <w:lang w:eastAsia="zh-CN"/>
        </w:rPr>
        <w:t>：</w:t>
      </w:r>
      <w:r>
        <w:rPr>
          <w:rFonts w:hint="eastAsia" w:ascii="宋体" w:hAnsi="宋体" w:eastAsia="宋体" w:cs="宋体"/>
          <w:b/>
          <w:color w:val="auto"/>
          <w:kern w:val="2"/>
          <w:szCs w:val="24"/>
          <w:highlight w:val="none"/>
          <w:lang w:val="en-US" w:eastAsia="zh-CN"/>
        </w:rPr>
        <w:t>据实结算</w:t>
      </w:r>
    </w:p>
    <w:p w14:paraId="49AC7E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3.1.结算价款=项目合同价+工程变更价（含设计变更和工程签证）+建设方委托中标单位代付的费用（如有）-违约（罚款）金额（如有）。结算价款须经以发包人委托的第三方造价咨询单位审核后作为最终结算价依据。造价咨询服务基本收费部分和效益收费部分由发包人支付(本部分具体结算原则详见合同条款）。</w:t>
      </w:r>
    </w:p>
    <w:p w14:paraId="2704EDE7">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3.2.施工图工程量清单预算价的编制：承包人根据招标文件及工程的技术要求及设备参数要求完成本项目的设计工作，承包人设计的施工图经发包人审查合格后，由承包人编制施工图工程量清单预算并通过发包人委托的第三方造价咨询机构审核。施工图工程量清单预算的编制依据为：按（1）《建设工程工程量清单计价标准》（GB/T50500-2024），（2）2018年广东省建设工程计价依据：2018年《广东省市政工程综合定额》、2018年《广东省房屋建筑与装饰工程综合定额》、2018年《广东省通用安装工程综合定额》、2018年《广东省园林绿化工程综合定额》、2018年《广东省建设工程施工机具台班费用编制规则》,当广东省综合定额子目缺项时，可参考套用最新的电力定额编制。工程量按发包人确认后的施工图计算，主要材料价格按预算（经审定）编制时当期韶关市工程造价管理机构发布的人工、设备材料、机械台班综合单价（若韶关市未发布信息参考广东省内同类地区信息价）执行，信息价没有的由承包人、监理单位、发包人及发包人委托的第三方造价咨询经市场询价方式或厂家报价后确认的设备材料价格或暂定设备材料价格计算）。预算包干费：根据2018年《广东省市政工程综合定额》、2018年《广东省房屋建筑与装饰工程综合定额》、2018年《广东省通用安装工程综合定额》、2018年《广东省园林绿化工程综合定额》，以各专业分部分项的规定的取值基础计算预算包干费。</w:t>
      </w:r>
    </w:p>
    <w:p w14:paraId="20CC0270">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3.3.项目费用结算基准价的确定：项目按单个项目施工图预算价经第三方造价咨询单位审核，在设计施工图纸未做改动的情况下，经审定的【（建安工程施工图预算价+勘察设计费-安全文明施工费）×中标费率+安全文明施工费】即为此项目的结算基准价（项目合同价），其建安工程分部分项工程量清单对应的综合单价即为建安工程费结算基准单价。</w:t>
      </w:r>
    </w:p>
    <w:p w14:paraId="233608C4">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其中：</w:t>
      </w:r>
    </w:p>
    <w:p w14:paraId="4455FD4B">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1）项目合同价=（经第三方造价咨询单位审核建安工程施工图预算价+勘察设计费-安全文明施工费）×中标费率+安全文明施工费。</w:t>
      </w:r>
    </w:p>
    <w:p w14:paraId="439D8748">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第三方造价咨询单位根据审定的施工图、招标文件中约定完成施工图预算审定，在项目施工图设计（含预算）审核通过后 5 个日历天内，完成施工图预算的审核确认。按审核确认的【（建安工程施工图预算价+勘察设计费-安全文明施工费）×中标费率+安全文明施工费】计算合同价签订补充协议。</w:t>
      </w:r>
    </w:p>
    <w:p w14:paraId="255C00B1">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2）工程变更价：</w:t>
      </w:r>
    </w:p>
    <w:p w14:paraId="634D5E41">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设计变更和工程量签证按照招标文件约定的计价原则和合同条款约定计价。</w:t>
      </w:r>
    </w:p>
    <w:p w14:paraId="51336880">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本项目为设计、采购、施工总承包（EPC），如果设计图纸、施工图预算由于设计深度原因导致的设计变更，不另行增加费用。工程变更部分不计取勘察设计费。</w:t>
      </w:r>
    </w:p>
    <w:p w14:paraId="542FEC6A">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建设方委托中标单位代付的费用（如有，以建设单位委托书为准。包括但不限于办理工程相关报建、结构荷载报告、施工许可手续，办理工程的征地、拆迁、青苗赔偿、水土保持等产生的费用，协助完成安全评价等政府规范性要求所需事项产生的费用），承包商需提供相关依据（包括但不限于发票、合同）。</w:t>
      </w:r>
    </w:p>
    <w:p w14:paraId="574F2C72">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4）安全文明施工费为非竞争性费用，施工图预算单列安全文明施工费，中标人在与招标人签订补充协议时，安全文明施工费按项目单列的金额计列，不得下浮。若项目规模、建设标准等发生变化，因变化而发生的措施项目费结算时进行相应减少，增加部分不予计算。</w:t>
      </w:r>
    </w:p>
    <w:p w14:paraId="448CD74F">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3.4. 建设工程完工后，发、承包双方和受其委托具有相应能力的工程造价咨询企业必须按照《建设工程工程量清单计价标准》（GB/T50500-2024）和有关规定办理竣工结算。</w:t>
      </w:r>
    </w:p>
    <w:p w14:paraId="7FFF884A">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3.5.本项目结算不另行计取高温补贴费用、概（预）算编制费、专业分包总包服务及配合费、设计优化及修改增加的费用。</w:t>
      </w:r>
    </w:p>
    <w:p w14:paraId="2E5935FB">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3.6.工程变更事件和合同外委托项目价款调整</w:t>
      </w:r>
    </w:p>
    <w:p w14:paraId="090490B9">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3.6.1施工合同履行期间，由于非承包人原因导致工程变更的，发、承包双方应当按照《建设工程工程量清单计价标准》（GB/T50500-2024）和有关规定，依据实际变更项目调整工程价款。工程变更引起工程量发生变化，出现本合同价款调整方式情形的，应当按照其规定调整；其他情形的，按照以下规定调整：</w:t>
      </w:r>
    </w:p>
    <w:p w14:paraId="134FEBCA">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①结算基准价中有适用于变更工程项目的，按照该项目的单价或合价调整；</w:t>
      </w:r>
    </w:p>
    <w:p w14:paraId="2518952A">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②结算基准价中没有适用、只有类似于变更工程项目的，可在合理范围内参照类似项目的单价或合价调整；</w:t>
      </w:r>
    </w:p>
    <w:p w14:paraId="04FD0431">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 xml:space="preserve"> ③结算基准价中没有适用也没有类似于变更工程项目的，根据变更工程资料、计量规则和计价办法、施工期间工程造价管理机构发布的价格信息，按本结算原则第2.2款重新确定综合单价后，相应调整工程价款；</w:t>
      </w:r>
    </w:p>
    <w:p w14:paraId="1DE98285">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④结算基准价中没有适用也没有类似于变更工程项目，且施工期间工程造价管理机构发布的价格信息缺项的，根据变更工程资料、计量规则、计价办法和通过市场调查等的有合法依据的市场价格，按本原则第7.2条提出变更工程项目的单价或合价，经发、承包双方确认后调整；</w:t>
      </w:r>
    </w:p>
    <w:p w14:paraId="2431D892">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3.6.2若是结算基准价中没有的项目（如合同外委项目等），其造价调整如下：</w:t>
      </w:r>
    </w:p>
    <w:p w14:paraId="034C8FAA">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按（1）《建设工程工程量清单计价标准》（GB/T50500-2024）、（2）2018年广东省建设工程计价依据（包括2018年《广东省市政工程综合定额》、2018年《广东省房屋建筑与装饰工程综合定额》、2018年《广东省通用安装工程综合定额》、2018年《广东省园林绿化工程综合定额》、2018年《广东省建设工程施工机具台班费用编制规则》，当广东省综合定额子目缺项时，可参考套用最新的电力定额编制。工程量按甲乙双方签证确认的、应予计量的实际完成的工程量计算，主要材料价格按施工同期工程所在地工程造价管理机构发布的价格信息中的单价计算，工程所在地工程造价管理机构发布的价格信息中参考价没有的材料价由甲乙双方市场询价确定，规费、税金等其它费用则按有关规定计算（费率有上、下限的以下限计算），预算包干费及赶工措施费不予计算。经第三方造价咨询单位审核后按建安工程费乘以中标费率后作为工程结算价。</w:t>
      </w:r>
    </w:p>
    <w:p w14:paraId="50799A6D">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3.6.3因承包方原因造成的超出合同工程范围施工或返工的工程量，发包方不予计量。</w:t>
      </w:r>
    </w:p>
    <w:p w14:paraId="6F1643F3">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3.6.4合同履行期间，由于设计人原因导致发生设计变更或现场签证的，由此增加的工程造价费用，由承包人自行承担，发包人不予以考虑和补偿，同时按相关违约条款处罚。</w:t>
      </w:r>
    </w:p>
    <w:p w14:paraId="7EF2225D">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3.6.5清单项目如只单独调整人工、材料、机械台班价差的，其人工、材料、机械台班消耗量均以审定施工图预算中的该清单项目的人工、材料、机械台班消耗量为准。</w:t>
      </w:r>
    </w:p>
    <w:p w14:paraId="149A32DC">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3.6.6中标人不得以不完全了解现场情况为理由，提出额外付款或延长工期等要求。对此类要求，招标人不作任何考虑及答复。</w:t>
      </w:r>
    </w:p>
    <w:p w14:paraId="78118518">
      <w:pPr>
        <w:pageBreakBefore w:val="0"/>
        <w:kinsoku/>
        <w:overflowPunct/>
        <w:topLinePunct w:val="0"/>
        <w:bidi w:val="0"/>
        <w:spacing w:line="360" w:lineRule="auto"/>
        <w:ind w:firstLine="480" w:firstLineChars="200"/>
        <w:jc w:val="left"/>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 xml:space="preserve">3.6.7如发包人减少建设规模，则根据经发包人确认的预算书扣减减少部分工程造价。  </w:t>
      </w:r>
    </w:p>
    <w:p w14:paraId="1407018E">
      <w:pPr>
        <w:pStyle w:val="38"/>
        <w:keepNext/>
        <w:keepLines/>
        <w:pageBreakBefore w:val="0"/>
        <w:kinsoku/>
        <w:overflowPunct/>
        <w:topLinePunct w:val="0"/>
        <w:bidi w:val="0"/>
        <w:spacing w:line="360" w:lineRule="auto"/>
        <w:ind w:firstLine="482" w:firstLineChars="200"/>
        <w:jc w:val="both"/>
        <w:textAlignment w:val="auto"/>
        <w:rPr>
          <w:rFonts w:hint="eastAsia" w:ascii="宋体" w:hAnsi="宋体" w:eastAsia="宋体" w:cs="宋体"/>
          <w:b/>
          <w:color w:val="auto"/>
          <w:kern w:val="2"/>
          <w:szCs w:val="24"/>
          <w:highlight w:val="none"/>
        </w:rPr>
      </w:pPr>
      <w:bookmarkStart w:id="220" w:name="_Toc19409"/>
      <w:r>
        <w:rPr>
          <w:rFonts w:hint="eastAsia" w:ascii="宋体" w:hAnsi="宋体" w:eastAsia="宋体" w:cs="宋体"/>
          <w:b/>
          <w:color w:val="auto"/>
          <w:kern w:val="2"/>
          <w:szCs w:val="24"/>
          <w:highlight w:val="none"/>
        </w:rPr>
        <w:t>4 工程付款办法</w:t>
      </w:r>
      <w:bookmarkEnd w:id="220"/>
    </w:p>
    <w:p w14:paraId="412FB02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4.1</w:t>
      </w:r>
      <w:r>
        <w:rPr>
          <w:rFonts w:hint="eastAsia" w:ascii="宋体" w:hAnsi="宋体" w:eastAsia="宋体" w:cs="宋体"/>
          <w:b/>
          <w:bCs/>
          <w:snapToGrid w:val="0"/>
          <w:color w:val="auto"/>
          <w:kern w:val="0"/>
          <w:sz w:val="24"/>
          <w:szCs w:val="24"/>
          <w:highlight w:val="none"/>
        </w:rPr>
        <w:t>预付款</w:t>
      </w:r>
    </w:p>
    <w:p w14:paraId="59C3DD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具体项目以发包方下达的任务书后14日内，发包方根据工程项目实际情况，按</w:t>
      </w:r>
      <w:r>
        <w:rPr>
          <w:rFonts w:hint="eastAsia" w:ascii="宋体" w:hAnsi="宋体" w:eastAsia="宋体" w:cs="宋体"/>
          <w:snapToGrid w:val="0"/>
          <w:color w:val="auto"/>
          <w:kern w:val="0"/>
          <w:sz w:val="24"/>
          <w:szCs w:val="24"/>
          <w:highlight w:val="none"/>
          <w:lang w:val="en-US" w:eastAsia="zh-CN"/>
        </w:rPr>
        <w:t>签约合同价</w:t>
      </w:r>
      <w:r>
        <w:rPr>
          <w:rFonts w:hint="eastAsia" w:ascii="宋体" w:hAnsi="宋体" w:eastAsia="宋体" w:cs="宋体"/>
          <w:snapToGrid w:val="0"/>
          <w:color w:val="auto"/>
          <w:kern w:val="0"/>
          <w:sz w:val="24"/>
          <w:szCs w:val="24"/>
          <w:highlight w:val="none"/>
        </w:rPr>
        <w:t>的</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%支付施工预付款。</w:t>
      </w:r>
    </w:p>
    <w:p w14:paraId="59E583D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4.2</w:t>
      </w:r>
      <w:r>
        <w:rPr>
          <w:rFonts w:hint="eastAsia" w:ascii="宋体" w:hAnsi="宋体" w:eastAsia="宋体" w:cs="宋体"/>
          <w:b/>
          <w:bCs/>
          <w:snapToGrid w:val="0"/>
          <w:color w:val="auto"/>
          <w:kern w:val="0"/>
          <w:sz w:val="24"/>
          <w:szCs w:val="24"/>
          <w:highlight w:val="none"/>
        </w:rPr>
        <w:t>预付款支付与扣回</w:t>
      </w:r>
    </w:p>
    <w:p w14:paraId="5661873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在承包方完成以下工作14天内监理工程师向发包方发出预付款支付证书（一份复印件送承包方）：</w:t>
      </w:r>
    </w:p>
    <w:p w14:paraId="32E4800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4.2.</w:t>
      </w:r>
      <w:r>
        <w:rPr>
          <w:rFonts w:hint="eastAsia" w:ascii="宋体" w:hAnsi="宋体" w:eastAsia="宋体" w:cs="宋体"/>
          <w:snapToGrid w:val="0"/>
          <w:color w:val="auto"/>
          <w:kern w:val="0"/>
          <w:sz w:val="24"/>
          <w:szCs w:val="24"/>
          <w:highlight w:val="none"/>
        </w:rPr>
        <w:t>1.开工准备工作已开始（承包方提供项目的开工资料及工程预付款申请单）；预付款的扣回：预付款在每次工程进度款支付中按照工程进度款</w:t>
      </w:r>
      <w:r>
        <w:rPr>
          <w:rFonts w:hint="eastAsia" w:ascii="宋体" w:hAnsi="宋体" w:eastAsia="宋体" w:cs="宋体"/>
          <w:snapToGrid w:val="0"/>
          <w:color w:val="auto"/>
          <w:kern w:val="0"/>
          <w:sz w:val="24"/>
          <w:szCs w:val="24"/>
          <w:highlight w:val="none"/>
          <w:lang w:val="en-US" w:eastAsia="zh-CN"/>
        </w:rPr>
        <w:t xml:space="preserve"> 50 </w:t>
      </w:r>
      <w:r>
        <w:rPr>
          <w:rFonts w:hint="eastAsia" w:ascii="宋体" w:hAnsi="宋体" w:eastAsia="宋体" w:cs="宋体"/>
          <w:snapToGrid w:val="0"/>
          <w:color w:val="auto"/>
          <w:kern w:val="0"/>
          <w:sz w:val="24"/>
          <w:szCs w:val="24"/>
          <w:highlight w:val="none"/>
        </w:rPr>
        <w:t>%比例逐次扣回，直至全部扣回。如在工程款支付至预计结算价的80% 时预付款仍未全部扣完，则在支付至预计结算价的80%一次性扣完剩余预付款。</w:t>
      </w:r>
    </w:p>
    <w:p w14:paraId="1541769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4.3</w:t>
      </w:r>
      <w:r>
        <w:rPr>
          <w:rFonts w:hint="eastAsia" w:ascii="宋体" w:hAnsi="宋体" w:eastAsia="宋体" w:cs="宋体"/>
          <w:b/>
          <w:bCs/>
          <w:snapToGrid w:val="0"/>
          <w:color w:val="auto"/>
          <w:kern w:val="0"/>
          <w:sz w:val="24"/>
          <w:szCs w:val="24"/>
          <w:highlight w:val="none"/>
        </w:rPr>
        <w:t>进度付款的支付</w:t>
      </w:r>
    </w:p>
    <w:p w14:paraId="41E20AD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4.3.</w:t>
      </w:r>
      <w:r>
        <w:rPr>
          <w:rFonts w:hint="eastAsia" w:ascii="宋体" w:hAnsi="宋体" w:eastAsia="宋体" w:cs="宋体"/>
          <w:snapToGrid w:val="0"/>
          <w:color w:val="auto"/>
          <w:kern w:val="0"/>
          <w:sz w:val="24"/>
          <w:szCs w:val="24"/>
          <w:highlight w:val="none"/>
        </w:rPr>
        <w:t>1.设计费：</w:t>
      </w:r>
    </w:p>
    <w:p w14:paraId="772F07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 初步设计审查完成并出版后，发包方在收到承包方出具的等额增值税专用发票之日起 45日内，向承包方支付设计费结算价的</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w:t>
      </w:r>
    </w:p>
    <w:p w14:paraId="6948856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 施工图设计审查完成并出版后，发包方在收到承包方出具的等额增值税专用发票之日起45日内，向承包方支付设计费结算价的40%；</w:t>
      </w:r>
    </w:p>
    <w:p w14:paraId="2787650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③工程竣工投产并完成结算后，发包方在收到承包方出具的等额增值税专用发票之日起 45日内，向承包方支付设计费结算价的</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0%。</w:t>
      </w:r>
    </w:p>
    <w:p w14:paraId="6E58E08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4.3.</w:t>
      </w:r>
      <w:r>
        <w:rPr>
          <w:rFonts w:hint="eastAsia" w:ascii="宋体" w:hAnsi="宋体" w:eastAsia="宋体" w:cs="宋体"/>
          <w:snapToGrid w:val="0"/>
          <w:color w:val="auto"/>
          <w:kern w:val="0"/>
          <w:sz w:val="24"/>
          <w:szCs w:val="24"/>
          <w:highlight w:val="none"/>
        </w:rPr>
        <w:t>2.工程费：</w:t>
      </w:r>
    </w:p>
    <w:p w14:paraId="7BF997F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工程进度款按月度结算，承包方应在每月 12日前提交上一月度已完工程量及相应的支持性证明文件及结算付款申请，经监理工程师核查后出具经项目发包方签认的进度付款证书。项目发包方在签发进度付款证书并收到等额增值税专用发票后 45 日内将进度款支付给承包方。工程进度款与预付款累计已付至工程施工费合同价的 80％时发包方停止支付。工程竣工验收合格后，工程项目结算费用以发包方委托的中介机构审核后的结算审核报告价格结算。发包方支付工程款至97%，留3%质保金待缺陷期满后支付。</w:t>
      </w:r>
    </w:p>
    <w:p w14:paraId="5C49F7CB">
      <w:pPr>
        <w:pageBreakBefore w:val="0"/>
        <w:widowControl/>
        <w:kinsoku/>
        <w:wordWrap/>
        <w:overflowPunct/>
        <w:topLinePunct w:val="0"/>
        <w:autoSpaceDE w:val="0"/>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承包方应在每月12日前按本合同约定的格式向监理人提交月进度付款申请单（一式3份），并附有相应的支持性证明文件。进度付款申请单应包括以下内容：</w:t>
      </w:r>
    </w:p>
    <w:p w14:paraId="56A7D593">
      <w:pPr>
        <w:pageBreakBefore w:val="0"/>
        <w:widowControl/>
        <w:kinsoku/>
        <w:wordWrap/>
        <w:overflowPunct/>
        <w:topLinePunct w:val="0"/>
        <w:autoSpaceDE w:val="0"/>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① 已完成的工程量的对应的应付金额。</w:t>
      </w:r>
    </w:p>
    <w:p w14:paraId="3004CE21">
      <w:pPr>
        <w:pageBreakBefore w:val="0"/>
        <w:widowControl/>
        <w:kinsoku/>
        <w:wordWrap/>
        <w:overflowPunct/>
        <w:topLinePunct w:val="0"/>
        <w:autoSpaceDE w:val="0"/>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 经监理人签认的当月支付凭证标明的应付金额。</w:t>
      </w:r>
    </w:p>
    <w:p w14:paraId="45816C84">
      <w:pPr>
        <w:pageBreakBefore w:val="0"/>
        <w:widowControl/>
        <w:kinsoku/>
        <w:wordWrap/>
        <w:overflowPunct/>
        <w:topLinePunct w:val="0"/>
        <w:autoSpaceDE w:val="0"/>
        <w:bidi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③ 扣除按合同约定应由发包方扣还的工程预付款金额。</w:t>
      </w:r>
    </w:p>
    <w:p w14:paraId="577951DB">
      <w:pPr>
        <w:pageBreakBefore w:val="0"/>
        <w:widowControl/>
        <w:kinsoku/>
        <w:wordWrap/>
        <w:overflowPunct/>
        <w:topLinePunct w:val="0"/>
        <w:autoSpaceDE w:val="0"/>
        <w:bidi w:val="0"/>
        <w:spacing w:line="360" w:lineRule="auto"/>
        <w:ind w:firstLine="480" w:firstLineChars="200"/>
        <w:jc w:val="left"/>
        <w:textAlignment w:val="auto"/>
        <w:rPr>
          <w:rFonts w:hint="eastAsia" w:ascii="宋体" w:hAnsi="宋体" w:eastAsia="宋体" w:cs="宋体"/>
          <w:strike/>
          <w:color w:val="auto"/>
          <w:kern w:val="0"/>
          <w:sz w:val="24"/>
          <w:szCs w:val="24"/>
          <w:highlight w:val="none"/>
        </w:rPr>
      </w:pPr>
      <w:r>
        <w:rPr>
          <w:rFonts w:hint="eastAsia" w:ascii="宋体" w:hAnsi="宋体" w:eastAsia="宋体" w:cs="宋体"/>
          <w:color w:val="auto"/>
          <w:kern w:val="0"/>
          <w:sz w:val="24"/>
          <w:szCs w:val="24"/>
          <w:highlight w:val="none"/>
        </w:rPr>
        <w:t>④ 承包方需提供增值税专用发票。</w:t>
      </w:r>
    </w:p>
    <w:p w14:paraId="6D3BFF95">
      <w:pPr>
        <w:pageBreakBefore w:val="0"/>
        <w:kinsoku/>
        <w:wordWrap w:val="0"/>
        <w:overflowPunct/>
        <w:topLinePunct w:val="0"/>
        <w:bidi w:val="0"/>
        <w:adjustRightInd w:val="0"/>
        <w:snapToGrid w:val="0"/>
        <w:spacing w:line="360" w:lineRule="auto"/>
        <w:ind w:firstLine="561"/>
        <w:textAlignment w:val="auto"/>
        <w:rPr>
          <w:rFonts w:hint="eastAsia" w:ascii="宋体" w:hAnsi="宋体" w:eastAsia="宋体" w:cs="宋体"/>
          <w:bCs/>
          <w:snapToGrid w:val="0"/>
          <w:color w:val="auto"/>
          <w:kern w:val="0"/>
          <w:szCs w:val="24"/>
          <w:highlight w:val="none"/>
        </w:rPr>
      </w:pPr>
    </w:p>
    <w:p w14:paraId="23405C67">
      <w:pPr>
        <w:bidi w:val="0"/>
        <w:rPr>
          <w:rFonts w:hint="eastAsia" w:ascii="宋体" w:hAnsi="宋体" w:eastAsia="宋体" w:cs="宋体"/>
          <w:color w:val="auto"/>
        </w:rPr>
      </w:pPr>
      <w:bookmarkStart w:id="221" w:name="_Toc25046"/>
      <w:bookmarkStart w:id="222" w:name="_Toc12936"/>
      <w:bookmarkStart w:id="223" w:name="_Toc29236"/>
      <w:bookmarkStart w:id="224" w:name="_Toc16873"/>
      <w:bookmarkStart w:id="225" w:name="_Toc26916"/>
      <w:bookmarkStart w:id="226" w:name="_Toc17661"/>
      <w:bookmarkStart w:id="227" w:name="_Toc22105"/>
      <w:bookmarkStart w:id="228" w:name="_Toc4262"/>
    </w:p>
    <w:p w14:paraId="0E6F5C29">
      <w:pPr>
        <w:bidi w:val="0"/>
        <w:rPr>
          <w:rFonts w:hint="eastAsia" w:ascii="宋体" w:hAnsi="宋体" w:eastAsia="宋体" w:cs="宋体"/>
          <w:color w:val="auto"/>
        </w:rPr>
      </w:pPr>
    </w:p>
    <w:p w14:paraId="681AF85D">
      <w:pPr>
        <w:bidi w:val="0"/>
        <w:rPr>
          <w:rFonts w:hint="eastAsia" w:ascii="宋体" w:hAnsi="宋体" w:eastAsia="宋体" w:cs="宋体"/>
          <w:color w:val="auto"/>
        </w:rPr>
      </w:pPr>
    </w:p>
    <w:p w14:paraId="5178B6C7">
      <w:pPr>
        <w:bidi w:val="0"/>
        <w:rPr>
          <w:rFonts w:hint="eastAsia" w:ascii="宋体" w:hAnsi="宋体" w:eastAsia="宋体" w:cs="宋体"/>
          <w:color w:val="auto"/>
        </w:rPr>
      </w:pPr>
    </w:p>
    <w:p w14:paraId="3FFB9778">
      <w:pPr>
        <w:bidi w:val="0"/>
        <w:rPr>
          <w:rFonts w:hint="eastAsia" w:ascii="宋体" w:hAnsi="宋体" w:eastAsia="宋体" w:cs="宋体"/>
          <w:color w:val="auto"/>
        </w:rPr>
      </w:pPr>
    </w:p>
    <w:p w14:paraId="3416D834">
      <w:pPr>
        <w:bidi w:val="0"/>
        <w:rPr>
          <w:rFonts w:hint="eastAsia" w:ascii="宋体" w:hAnsi="宋体" w:eastAsia="宋体" w:cs="宋体"/>
          <w:color w:val="auto"/>
        </w:rPr>
      </w:pPr>
    </w:p>
    <w:p w14:paraId="386C3EEB">
      <w:pPr>
        <w:bidi w:val="0"/>
        <w:rPr>
          <w:rFonts w:hint="eastAsia" w:ascii="宋体" w:hAnsi="宋体" w:eastAsia="宋体" w:cs="宋体"/>
          <w:color w:val="auto"/>
        </w:rPr>
      </w:pPr>
    </w:p>
    <w:p w14:paraId="08E85C02">
      <w:pPr>
        <w:bidi w:val="0"/>
        <w:rPr>
          <w:rFonts w:hint="eastAsia" w:ascii="宋体" w:hAnsi="宋体" w:eastAsia="宋体" w:cs="宋体"/>
          <w:color w:val="auto"/>
        </w:rPr>
      </w:pPr>
    </w:p>
    <w:p w14:paraId="02DE2ACA">
      <w:pPr>
        <w:bidi w:val="0"/>
        <w:rPr>
          <w:rFonts w:hint="eastAsia" w:ascii="宋体" w:hAnsi="宋体" w:eastAsia="宋体" w:cs="宋体"/>
          <w:color w:val="auto"/>
        </w:rPr>
      </w:pPr>
    </w:p>
    <w:p w14:paraId="6E17C37A">
      <w:pPr>
        <w:bidi w:val="0"/>
        <w:rPr>
          <w:rFonts w:hint="eastAsia" w:ascii="宋体" w:hAnsi="宋体" w:eastAsia="宋体" w:cs="宋体"/>
          <w:color w:val="auto"/>
        </w:rPr>
      </w:pPr>
    </w:p>
    <w:p w14:paraId="00AC8877">
      <w:pPr>
        <w:bidi w:val="0"/>
        <w:rPr>
          <w:rFonts w:hint="eastAsia" w:ascii="宋体" w:hAnsi="宋体" w:eastAsia="宋体" w:cs="宋体"/>
          <w:color w:val="auto"/>
        </w:rPr>
      </w:pPr>
    </w:p>
    <w:p w14:paraId="13525871">
      <w:pPr>
        <w:bidi w:val="0"/>
        <w:rPr>
          <w:rFonts w:hint="eastAsia" w:ascii="宋体" w:hAnsi="宋体" w:eastAsia="宋体" w:cs="宋体"/>
          <w:color w:val="auto"/>
        </w:rPr>
      </w:pPr>
    </w:p>
    <w:p w14:paraId="50A9C381">
      <w:pPr>
        <w:bidi w:val="0"/>
        <w:rPr>
          <w:rFonts w:hint="eastAsia" w:ascii="宋体" w:hAnsi="宋体" w:eastAsia="宋体" w:cs="宋体"/>
          <w:color w:val="auto"/>
        </w:rPr>
      </w:pPr>
    </w:p>
    <w:p w14:paraId="29B70F7F">
      <w:pPr>
        <w:rPr>
          <w:rFonts w:hint="eastAsia" w:ascii="宋体" w:hAnsi="宋体" w:eastAsia="宋体" w:cs="宋体"/>
          <w:b/>
          <w:color w:val="auto"/>
          <w:kern w:val="44"/>
          <w:sz w:val="28"/>
          <w:szCs w:val="28"/>
          <w:highlight w:val="none"/>
        </w:rPr>
      </w:pPr>
      <w:bookmarkStart w:id="229" w:name="_Toc22862"/>
      <w:r>
        <w:rPr>
          <w:rFonts w:hint="eastAsia" w:ascii="宋体" w:hAnsi="宋体" w:eastAsia="宋体" w:cs="宋体"/>
          <w:b/>
          <w:color w:val="auto"/>
          <w:kern w:val="44"/>
          <w:sz w:val="28"/>
          <w:szCs w:val="28"/>
          <w:highlight w:val="none"/>
        </w:rPr>
        <w:br w:type="page"/>
      </w:r>
    </w:p>
    <w:p w14:paraId="4E1B569F">
      <w:pPr>
        <w:pStyle w:val="37"/>
        <w:keepNext/>
        <w:keepLines/>
        <w:tabs>
          <w:tab w:val="left" w:pos="885"/>
        </w:tabs>
        <w:jc w:val="center"/>
        <w:rPr>
          <w:rFonts w:hint="eastAsia" w:ascii="宋体" w:hAnsi="宋体" w:eastAsia="宋体" w:cs="宋体"/>
          <w:b/>
          <w:color w:val="auto"/>
          <w:kern w:val="44"/>
          <w:sz w:val="28"/>
          <w:szCs w:val="28"/>
          <w:highlight w:val="none"/>
        </w:rPr>
      </w:pPr>
      <w:r>
        <w:rPr>
          <w:rFonts w:hint="eastAsia" w:ascii="宋体" w:hAnsi="宋体" w:eastAsia="宋体" w:cs="宋体"/>
          <w:b/>
          <w:color w:val="auto"/>
          <w:kern w:val="44"/>
          <w:sz w:val="28"/>
          <w:szCs w:val="28"/>
          <w:highlight w:val="none"/>
        </w:rPr>
        <w:t>第</w:t>
      </w:r>
      <w:r>
        <w:rPr>
          <w:rFonts w:hint="eastAsia" w:ascii="宋体" w:hAnsi="宋体" w:eastAsia="宋体" w:cs="宋体"/>
          <w:b/>
          <w:color w:val="auto"/>
          <w:kern w:val="44"/>
          <w:sz w:val="28"/>
          <w:szCs w:val="28"/>
          <w:highlight w:val="none"/>
          <w:lang w:val="en-US" w:eastAsia="zh-CN"/>
        </w:rPr>
        <w:t>四</w:t>
      </w:r>
      <w:r>
        <w:rPr>
          <w:rFonts w:hint="eastAsia" w:ascii="宋体" w:hAnsi="宋体" w:eastAsia="宋体" w:cs="宋体"/>
          <w:b/>
          <w:color w:val="auto"/>
          <w:kern w:val="44"/>
          <w:sz w:val="28"/>
          <w:szCs w:val="28"/>
          <w:highlight w:val="none"/>
        </w:rPr>
        <w:t xml:space="preserve">章 </w:t>
      </w:r>
      <w:bookmarkEnd w:id="205"/>
      <w:bookmarkEnd w:id="221"/>
      <w:bookmarkEnd w:id="222"/>
      <w:bookmarkEnd w:id="223"/>
      <w:bookmarkEnd w:id="224"/>
      <w:bookmarkEnd w:id="225"/>
      <w:bookmarkEnd w:id="226"/>
      <w:bookmarkEnd w:id="227"/>
      <w:bookmarkEnd w:id="228"/>
      <w:r>
        <w:rPr>
          <w:rFonts w:hint="eastAsia" w:ascii="宋体" w:hAnsi="宋体" w:eastAsia="宋体" w:cs="宋体"/>
          <w:b/>
          <w:color w:val="auto"/>
          <w:kern w:val="44"/>
          <w:sz w:val="28"/>
          <w:szCs w:val="28"/>
          <w:highlight w:val="none"/>
        </w:rPr>
        <w:t>技术要求</w:t>
      </w:r>
      <w:bookmarkEnd w:id="229"/>
    </w:p>
    <w:p w14:paraId="6802851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230" w:name="_Hlt69359335"/>
      <w:bookmarkEnd w:id="230"/>
      <w:bookmarkStart w:id="231" w:name="_Hlt69357851"/>
      <w:bookmarkEnd w:id="231"/>
      <w:bookmarkStart w:id="232" w:name="_Hlt69116854"/>
      <w:bookmarkEnd w:id="232"/>
      <w:bookmarkStart w:id="233" w:name="_Hlt68774758"/>
      <w:bookmarkEnd w:id="233"/>
      <w:bookmarkStart w:id="234" w:name="_Hlt69358207"/>
      <w:bookmarkEnd w:id="234"/>
      <w:bookmarkStart w:id="235" w:name="_Hlt69359245"/>
      <w:bookmarkEnd w:id="235"/>
      <w:bookmarkStart w:id="236" w:name="_Hlt69635252"/>
      <w:bookmarkEnd w:id="236"/>
      <w:bookmarkStart w:id="237" w:name="_Hlt69265216"/>
      <w:bookmarkEnd w:id="237"/>
      <w:bookmarkStart w:id="238" w:name="_Hlt87793370"/>
      <w:bookmarkEnd w:id="238"/>
      <w:bookmarkStart w:id="239" w:name="_Hlt69116858"/>
      <w:bookmarkEnd w:id="239"/>
      <w:bookmarkStart w:id="240" w:name="_Hlt69359243"/>
      <w:bookmarkEnd w:id="240"/>
      <w:bookmarkStart w:id="241" w:name="_Hlt80411122"/>
      <w:bookmarkEnd w:id="241"/>
      <w:bookmarkStart w:id="242" w:name="_Hlt69358458"/>
      <w:bookmarkEnd w:id="242"/>
      <w:bookmarkStart w:id="243" w:name="_Hlt75685840"/>
      <w:bookmarkEnd w:id="243"/>
      <w:bookmarkStart w:id="244" w:name="_Hlt66104926"/>
      <w:bookmarkEnd w:id="244"/>
      <w:bookmarkStart w:id="245" w:name="_Hlt78709799"/>
      <w:bookmarkEnd w:id="245"/>
      <w:bookmarkStart w:id="246" w:name="_Hlt87793346"/>
      <w:bookmarkEnd w:id="246"/>
      <w:bookmarkStart w:id="247" w:name="_Hlt69359086"/>
      <w:bookmarkEnd w:id="247"/>
      <w:r>
        <w:rPr>
          <w:rFonts w:hint="eastAsia" w:ascii="宋体" w:hAnsi="宋体" w:eastAsia="宋体" w:cs="宋体"/>
          <w:color w:val="auto"/>
          <w:sz w:val="24"/>
          <w:szCs w:val="24"/>
          <w:highlight w:val="none"/>
        </w:rPr>
        <w:t>1.技术（规范）标准</w:t>
      </w:r>
    </w:p>
    <w:p w14:paraId="08748F6F">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依据设计文件的要求，本招标工程项目的材料、设备、施工须达到下列现行中华人民共和国以及省、自治区、直辖市或行业的工程建设标准、规范的要求，至少应包括：</w:t>
      </w:r>
    </w:p>
    <w:p w14:paraId="2BE8BA5B">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）《110kV～750kV架空输电线路线路设计规范》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GB50545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2010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p>
    <w:p w14:paraId="1552FBDA">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）《交流电气装置的过电压保护和绝缘配合设计规范》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GB/T 50064-2014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p>
    <w:p w14:paraId="7FC3B19E">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）《输电线路对电信线路危险和干扰影响防护设计规程》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DL/T 5033-2006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p>
    <w:p w14:paraId="7A5AC830">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）《架空输电线路杆塔结构设计技术规</w:t>
      </w:r>
      <w:r>
        <w:rPr>
          <w:rFonts w:hint="eastAsia" w:ascii="宋体" w:hAnsi="宋体" w:eastAsia="宋体" w:cs="宋体"/>
          <w:color w:val="auto"/>
          <w:sz w:val="24"/>
          <w:szCs w:val="24"/>
          <w:highlight w:val="none"/>
          <w:lang w:val="en-US" w:eastAsia="zh-CN"/>
        </w:rPr>
        <w:t>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 xml:space="preserve">DL/T </w:t>
      </w:r>
      <w:r>
        <w:rPr>
          <w:rFonts w:hint="eastAsia" w:ascii="宋体" w:hAnsi="宋体" w:eastAsia="宋体" w:cs="宋体"/>
          <w:color w:val="auto"/>
          <w:sz w:val="24"/>
          <w:szCs w:val="24"/>
          <w:highlight w:val="none"/>
          <w:lang w:val="en-US" w:eastAsia="zh-CN"/>
        </w:rPr>
        <w:t>5486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lang w:eastAsia="zh-CN"/>
        </w:rPr>
        <w:t>；</w:t>
      </w:r>
    </w:p>
    <w:p w14:paraId="25605B71">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（5）《架空输电线路荷载规范》(DLT 5551-2018)；</w:t>
      </w:r>
    </w:p>
    <w:p w14:paraId="6442F54D">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）《架空输电线路基础设计技术规程》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DL/T 5219-20</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lang w:eastAsia="zh-CN"/>
        </w:rPr>
        <w:t>；</w:t>
      </w:r>
    </w:p>
    <w:p w14:paraId="58AE91ED">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）《交流电气装置的接地设计规范》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GB50065-2011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p>
    <w:p w14:paraId="3E7CD314">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（8）《多雷区110kV～500kV交流同塔多回输电线路防雷技术导则》</w:t>
      </w:r>
      <w:r>
        <w:rPr>
          <w:rFonts w:hint="eastAsia" w:ascii="宋体" w:hAnsi="宋体" w:eastAsia="宋体" w:cs="宋体"/>
          <w:color w:val="auto"/>
          <w:sz w:val="24"/>
          <w:szCs w:val="24"/>
          <w:highlight w:val="none"/>
          <w:lang w:eastAsia="zh-CN"/>
        </w:rPr>
        <w:t>（DL/T 1784-2017）；</w:t>
      </w:r>
    </w:p>
    <w:p w14:paraId="04519DB3">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（9）《数字输电线路装备技术导则》(办生技函〔2022〕9号附件16)；</w:t>
      </w:r>
    </w:p>
    <w:p w14:paraId="574A03B5">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（10）中国南方电网公司《35kV～500kV输电线路杆塔标准设计-V2.1版》；</w:t>
      </w:r>
    </w:p>
    <w:p w14:paraId="6FCD334A">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关于印发生产设备品类清单(2022版)的通知</w:t>
      </w:r>
      <w:r>
        <w:rPr>
          <w:rFonts w:hint="eastAsia" w:ascii="宋体" w:hAnsi="宋体" w:eastAsia="宋体" w:cs="宋体"/>
          <w:color w:val="auto"/>
          <w:sz w:val="24"/>
          <w:szCs w:val="24"/>
          <w:highlight w:val="none"/>
          <w:lang w:eastAsia="zh-CN"/>
        </w:rPr>
        <w:t>》；</w:t>
      </w:r>
    </w:p>
    <w:p w14:paraId="5B2AC686">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（12）《南方电网污区分布图》(2021版)；</w:t>
      </w:r>
    </w:p>
    <w:p w14:paraId="15C09E48">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（13）《南方电网冰区分布图》(2022版)；</w:t>
      </w:r>
    </w:p>
    <w:p w14:paraId="3ECAE25F">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（14）南方电网公司反事故措施(2022版)；</w:t>
      </w:r>
    </w:p>
    <w:p w14:paraId="2E610E94">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（15）《架空输电线路防雷技术导则》</w:t>
      </w:r>
      <w:bookmarkStart w:id="248" w:name="docnum"/>
      <w:r>
        <w:rPr>
          <w:rFonts w:hint="eastAsia" w:ascii="宋体" w:hAnsi="宋体" w:eastAsia="宋体" w:cs="宋体"/>
          <w:color w:val="auto"/>
          <w:sz w:val="24"/>
          <w:szCs w:val="24"/>
          <w:highlight w:val="none"/>
          <w:lang w:val="en-US" w:eastAsia="zh-CN"/>
        </w:rPr>
        <w:t>(</w:t>
      </w:r>
      <w:bookmarkEnd w:id="248"/>
      <w:r>
        <w:rPr>
          <w:rFonts w:hint="eastAsia" w:ascii="宋体" w:hAnsi="宋体" w:eastAsia="宋体" w:cs="宋体"/>
          <w:color w:val="auto"/>
          <w:sz w:val="24"/>
          <w:szCs w:val="24"/>
          <w:highlight w:val="none"/>
          <w:lang w:val="en-US" w:eastAsia="zh-CN"/>
        </w:rPr>
        <w:t>Q CSG1107002-2018)；</w:t>
      </w:r>
    </w:p>
    <w:p w14:paraId="3EDB190B">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（16）《输电线路树障防控工作导则》(2022版)；</w:t>
      </w:r>
    </w:p>
    <w:p w14:paraId="2106B6EA">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（17）《关于印发广东电网有限责任公司输电线路悬式绝缘子选型导则的通知》(广电生[2016]114号)；</w:t>
      </w:r>
    </w:p>
    <w:p w14:paraId="3F0122F4">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（18）广东电网有限责任公司逆向物资管理实施细则(</w:t>
      </w:r>
      <w:r>
        <w:rPr>
          <w:rFonts w:hint="eastAsia" w:ascii="宋体" w:hAnsi="宋体" w:eastAsia="宋体" w:cs="宋体"/>
          <w:color w:val="auto"/>
          <w:sz w:val="24"/>
          <w:szCs w:val="24"/>
          <w:highlight w:val="none"/>
          <w:lang w:val="en-GB" w:eastAsia="zh-CN"/>
        </w:rPr>
        <w:t>Q/CSG-GPG 2 17 006-2018</w:t>
      </w:r>
      <w:r>
        <w:rPr>
          <w:rFonts w:hint="eastAsia" w:ascii="宋体" w:hAnsi="宋体" w:eastAsia="宋体" w:cs="宋体"/>
          <w:color w:val="auto"/>
          <w:sz w:val="24"/>
          <w:szCs w:val="24"/>
          <w:highlight w:val="none"/>
          <w:lang w:val="en-US" w:eastAsia="zh-CN"/>
        </w:rPr>
        <w:t>)；</w:t>
      </w:r>
    </w:p>
    <w:p w14:paraId="60F16EEE">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）国家和电力行业相关的技术标准规程和规范文本；</w:t>
      </w:r>
    </w:p>
    <w:p w14:paraId="079D93D5">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eastAsia="zh-CN"/>
        </w:rPr>
        <w:t>）供电部门确定的供电方案；</w:t>
      </w:r>
    </w:p>
    <w:p w14:paraId="30688E8B">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eastAsia="zh-CN"/>
        </w:rPr>
        <w:t>）用户（业主）的具体要求；</w:t>
      </w:r>
    </w:p>
    <w:p w14:paraId="06AEA041">
      <w:pPr>
        <w:pStyle w:val="6"/>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其它有关的规范和标准。   </w:t>
      </w:r>
    </w:p>
    <w:p w14:paraId="1BFC66E1">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2.输变电工程通用主要技术规范（但不限于）如下：</w:t>
      </w:r>
    </w:p>
    <w:p w14:paraId="59A2A4A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（1）《南方电网标准设计》(中国南方电网)</w:t>
      </w:r>
    </w:p>
    <w:p w14:paraId="111361DB">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（2）《南方电网基建工程质量控制作业标准（WHS）》(中国南方电网)</w:t>
      </w:r>
    </w:p>
    <w:p w14:paraId="52343C4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（3）《南方电网施工作业指导书》(中国南方电网)</w:t>
      </w:r>
    </w:p>
    <w:p w14:paraId="5DADD6C0">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（4）《南方电网质量验收评定标准》(中国南方电网)</w:t>
      </w:r>
    </w:p>
    <w:p w14:paraId="4CAF304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（5）《电力建设安全工作规范》  DL/T5009.2-94</w:t>
      </w:r>
    </w:p>
    <w:p w14:paraId="48AF6B70">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（6）《建设工程文件归档整理规范》 GB/T50328-2001</w:t>
      </w:r>
    </w:p>
    <w:p w14:paraId="54EAD777">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（7）《电气装置安装工程接地装置施工及验收规范》 GB50169-2006</w:t>
      </w:r>
    </w:p>
    <w:p w14:paraId="749C65F5">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强制性条文规范(包括但不限于)如下：</w:t>
      </w:r>
    </w:p>
    <w:p w14:paraId="281723C0">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本项目工程严格执行国家和电力行业现行的强制性条文，且应为其最新版本，包括但不限于如下内容：</w:t>
      </w:r>
    </w:p>
    <w:p w14:paraId="66524E3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（1）《实施工程建设强制性标准监督规定》（建设部 81 号令）</w:t>
      </w:r>
    </w:p>
    <w:p w14:paraId="73F60D0C">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）《工程建设标准强制性条文》（电力工程部分）（2006版）</w:t>
      </w:r>
    </w:p>
    <w:p w14:paraId="26699061">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）《工程建设标准强制性条文》（房屋建筑部分）（2009版）</w:t>
      </w:r>
    </w:p>
    <w:p w14:paraId="708C3000">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）《基建工程强制性条文实施办法》（南网各分、子公司）</w:t>
      </w:r>
    </w:p>
    <w:p w14:paraId="516519B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）电网建设工程执行强制性条文涉及的其它法律、法规、规程、规范及技术标准。</w:t>
      </w:r>
    </w:p>
    <w:p w14:paraId="08AA72CB">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以上所列的主要技术标准和规范，如未能达到国际和国内最新标准时，投标方应使工程的施工及选用的设备和材料符合最近的国际、国内标准，并提供采用的标准、规范和所应用的最新版本的有关技术依据资料。</w:t>
      </w:r>
    </w:p>
    <w:p w14:paraId="4D1FBE46">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4．备查要求</w:t>
      </w:r>
    </w:p>
    <w:p w14:paraId="5A16F76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sectPr>
          <w:endnotePr>
            <w:numFmt w:val="decimal"/>
          </w:endnotePr>
          <w:pgSz w:w="11906" w:h="16838"/>
          <w:pgMar w:top="1134" w:right="1134" w:bottom="1134" w:left="1134" w:header="567" w:footer="567" w:gutter="0"/>
          <w:pgNumType w:fmt="decimal"/>
          <w:cols w:space="720" w:num="1"/>
          <w:docGrid w:linePitch="327" w:charSpace="0"/>
        </w:sectPr>
      </w:pPr>
      <w:r>
        <w:rPr>
          <w:rFonts w:hint="eastAsia" w:ascii="宋体" w:hAnsi="宋体" w:eastAsia="宋体" w:cs="宋体"/>
          <w:color w:val="auto"/>
          <w:sz w:val="24"/>
          <w:szCs w:val="24"/>
          <w:highlight w:val="none"/>
        </w:rPr>
        <w:t>承包人必须在施工现场准备至少一套上述规范，发包人和监理单位可随时检查承包人的上述规范，并监督承包人按规范要求执行。</w:t>
      </w:r>
    </w:p>
    <w:p w14:paraId="038C9FF5">
      <w:pPr>
        <w:pStyle w:val="2"/>
        <w:numPr>
          <w:ilvl w:val="0"/>
          <w:numId w:val="0"/>
        </w:numPr>
        <w:jc w:val="center"/>
        <w:rPr>
          <w:rFonts w:hint="eastAsia" w:ascii="宋体" w:hAnsi="宋体" w:eastAsia="宋体" w:cs="宋体"/>
          <w:b/>
          <w:color w:val="auto"/>
          <w:kern w:val="44"/>
          <w:sz w:val="36"/>
          <w:szCs w:val="36"/>
          <w:highlight w:val="none"/>
          <w:lang w:val="en-US" w:eastAsia="zh-CN" w:bidi="ar-SA"/>
        </w:rPr>
      </w:pPr>
      <w:bookmarkStart w:id="249" w:name="_Toc28010"/>
      <w:bookmarkStart w:id="250" w:name="_Toc25340"/>
      <w:bookmarkStart w:id="251" w:name="_Toc1386"/>
      <w:bookmarkStart w:id="252" w:name="_Toc3771"/>
      <w:bookmarkStart w:id="253" w:name="_Toc105"/>
      <w:bookmarkStart w:id="254" w:name="_Toc466640613"/>
      <w:bookmarkStart w:id="255" w:name="_Toc27104"/>
      <w:bookmarkStart w:id="256" w:name="_Toc30186"/>
      <w:bookmarkStart w:id="257" w:name="_Toc25914"/>
      <w:bookmarkStart w:id="258" w:name="_Toc21703"/>
      <w:r>
        <w:rPr>
          <w:rFonts w:hint="eastAsia" w:ascii="宋体" w:hAnsi="宋体" w:eastAsia="宋体" w:cs="宋体"/>
          <w:b/>
          <w:color w:val="auto"/>
          <w:kern w:val="44"/>
          <w:sz w:val="28"/>
          <w:szCs w:val="28"/>
          <w:highlight w:val="none"/>
          <w:lang w:val="en-US" w:eastAsia="zh-CN" w:bidi="ar-SA"/>
        </w:rPr>
        <w:t>第五章</w:t>
      </w:r>
      <w:bookmarkEnd w:id="249"/>
      <w:bookmarkEnd w:id="250"/>
      <w:bookmarkEnd w:id="251"/>
      <w:bookmarkEnd w:id="252"/>
      <w:bookmarkEnd w:id="253"/>
      <w:bookmarkEnd w:id="254"/>
      <w:bookmarkEnd w:id="255"/>
      <w:bookmarkEnd w:id="256"/>
      <w:bookmarkEnd w:id="257"/>
      <w:bookmarkStart w:id="259" w:name="_Hlt69698785"/>
      <w:r>
        <w:rPr>
          <w:rFonts w:hint="eastAsia" w:ascii="宋体" w:hAnsi="宋体" w:eastAsia="宋体" w:cs="宋体"/>
          <w:b/>
          <w:color w:val="auto"/>
          <w:kern w:val="44"/>
          <w:sz w:val="28"/>
          <w:szCs w:val="28"/>
          <w:highlight w:val="none"/>
          <w:lang w:val="en-US" w:eastAsia="zh-CN" w:bidi="ar-SA"/>
        </w:rPr>
        <w:t xml:space="preserve">  投标文件格式</w:t>
      </w:r>
      <w:bookmarkEnd w:id="258"/>
    </w:p>
    <w:p w14:paraId="4A95ED06">
      <w:pPr>
        <w:rPr>
          <w:rFonts w:hint="eastAsia" w:ascii="宋体" w:hAnsi="宋体" w:eastAsia="宋体" w:cs="宋体"/>
          <w:color w:val="auto"/>
          <w:highlight w:val="none"/>
        </w:rPr>
      </w:pPr>
    </w:p>
    <w:bookmarkEnd w:id="259"/>
    <w:p w14:paraId="6B791048">
      <w:pPr>
        <w:pStyle w:val="3"/>
        <w:spacing w:before="120"/>
        <w:rPr>
          <w:rFonts w:hint="eastAsia" w:ascii="宋体" w:hAnsi="宋体" w:eastAsia="宋体" w:cs="宋体"/>
          <w:b/>
          <w:snapToGrid w:val="0"/>
          <w:color w:val="auto"/>
          <w:szCs w:val="24"/>
          <w:highlight w:val="none"/>
        </w:rPr>
      </w:pPr>
      <w:bookmarkStart w:id="260" w:name="_附件一：对招标文件条款自愿接受承诺书"/>
      <w:bookmarkEnd w:id="260"/>
      <w:bookmarkStart w:id="261" w:name="_附件二：近三年度主要施工项目（竣工及在建）一览表"/>
      <w:bookmarkEnd w:id="261"/>
      <w:bookmarkStart w:id="262" w:name="_附件二：工期承诺书"/>
      <w:bookmarkEnd w:id="262"/>
      <w:bookmarkStart w:id="263" w:name="_附件四：工期承诺书"/>
      <w:bookmarkEnd w:id="263"/>
      <w:bookmarkStart w:id="264" w:name="_附件一：投标函"/>
      <w:bookmarkEnd w:id="264"/>
      <w:bookmarkStart w:id="265" w:name="_附件五：综合评审合理低价法"/>
      <w:bookmarkEnd w:id="265"/>
      <w:bookmarkStart w:id="266" w:name="_Toc39136360"/>
      <w:bookmarkStart w:id="267" w:name="_Toc2902"/>
      <w:bookmarkStart w:id="268" w:name="_Toc16638"/>
      <w:bookmarkStart w:id="269" w:name="_Toc3855"/>
      <w:bookmarkStart w:id="270" w:name="_Toc12527"/>
      <w:bookmarkStart w:id="271" w:name="_Toc12406"/>
      <w:bookmarkStart w:id="272" w:name="_Toc142468134"/>
      <w:bookmarkStart w:id="273" w:name="_Toc137444778"/>
      <w:bookmarkStart w:id="274" w:name="_Toc133160683"/>
      <w:bookmarkStart w:id="275" w:name="_Toc132687128"/>
      <w:bookmarkStart w:id="276" w:name="_Toc78794873"/>
      <w:bookmarkStart w:id="277" w:name="_Toc133815902"/>
      <w:r>
        <w:rPr>
          <w:rFonts w:hint="eastAsia" w:ascii="宋体" w:hAnsi="宋体" w:eastAsia="宋体" w:cs="宋体"/>
          <w:b/>
          <w:snapToGrid w:val="0"/>
          <w:color w:val="auto"/>
          <w:szCs w:val="24"/>
          <w:highlight w:val="none"/>
        </w:rPr>
        <w:t>格式一 封面</w:t>
      </w:r>
      <w:bookmarkEnd w:id="266"/>
      <w:bookmarkEnd w:id="267"/>
      <w:bookmarkEnd w:id="268"/>
      <w:bookmarkEnd w:id="269"/>
      <w:bookmarkEnd w:id="270"/>
      <w:bookmarkEnd w:id="271"/>
    </w:p>
    <w:p w14:paraId="030A93A5">
      <w:pPr>
        <w:pStyle w:val="49"/>
        <w:widowControl w:val="0"/>
        <w:wordWrap w:val="0"/>
        <w:adjustRightInd w:val="0"/>
        <w:snapToGrid w:val="0"/>
        <w:rPr>
          <w:rFonts w:hint="eastAsia" w:ascii="宋体" w:hAnsi="宋体" w:eastAsia="宋体" w:cs="宋体"/>
          <w:b/>
          <w:snapToGrid w:val="0"/>
          <w:color w:val="auto"/>
          <w:sz w:val="24"/>
          <w:szCs w:val="24"/>
          <w:highlight w:val="none"/>
        </w:rPr>
      </w:pPr>
    </w:p>
    <w:p w14:paraId="72A2E5A9">
      <w:pPr>
        <w:pStyle w:val="49"/>
        <w:widowControl w:val="0"/>
        <w:wordWrap w:val="0"/>
        <w:adjustRightInd w:val="0"/>
        <w:snapToGrid w:val="0"/>
        <w:jc w:val="right"/>
        <w:rPr>
          <w:rFonts w:hint="eastAsia" w:ascii="宋体" w:hAnsi="宋体" w:eastAsia="宋体" w:cs="宋体"/>
          <w:b/>
          <w:snapToGrid w:val="0"/>
          <w:color w:val="auto"/>
          <w:sz w:val="24"/>
          <w:szCs w:val="24"/>
          <w:highlight w:val="none"/>
        </w:rPr>
      </w:pPr>
    </w:p>
    <w:p w14:paraId="0EC80787">
      <w:pPr>
        <w:pStyle w:val="49"/>
        <w:widowControl w:val="0"/>
        <w:wordWrap w:val="0"/>
        <w:adjustRightInd w:val="0"/>
        <w:snapToGrid w:val="0"/>
        <w:rPr>
          <w:rFonts w:hint="eastAsia" w:ascii="宋体" w:hAnsi="宋体" w:eastAsia="宋体" w:cs="宋体"/>
          <w:b/>
          <w:snapToGrid w:val="0"/>
          <w:color w:val="auto"/>
          <w:sz w:val="24"/>
          <w:szCs w:val="24"/>
          <w:highlight w:val="none"/>
        </w:rPr>
      </w:pPr>
    </w:p>
    <w:p w14:paraId="54449920">
      <w:pPr>
        <w:pStyle w:val="49"/>
        <w:widowControl w:val="0"/>
        <w:wordWrap w:val="0"/>
        <w:adjustRightInd w:val="0"/>
        <w:snapToGrid w:val="0"/>
        <w:ind w:firstLine="0"/>
        <w:rPr>
          <w:rFonts w:hint="eastAsia" w:ascii="宋体" w:hAnsi="宋体" w:eastAsia="宋体" w:cs="宋体"/>
          <w:b/>
          <w:snapToGrid w:val="0"/>
          <w:color w:val="auto"/>
          <w:sz w:val="24"/>
          <w:highlight w:val="none"/>
        </w:rPr>
      </w:pPr>
      <w:bookmarkStart w:id="278" w:name="_附件十：单项工程费汇总表"/>
      <w:bookmarkEnd w:id="278"/>
      <w:bookmarkStart w:id="279" w:name="_附件二十四：技术标提问单"/>
      <w:bookmarkEnd w:id="279"/>
      <w:bookmarkStart w:id="280" w:name="_Hlt69116778"/>
      <w:bookmarkEnd w:id="280"/>
      <w:bookmarkStart w:id="281" w:name="_附件二十五：综合评审合理低价法"/>
      <w:bookmarkEnd w:id="281"/>
      <w:bookmarkStart w:id="282" w:name="_Hlt68774664"/>
      <w:bookmarkEnd w:id="282"/>
      <w:bookmarkStart w:id="283" w:name="_Toc26795"/>
      <w:bookmarkStart w:id="284" w:name="_Toc15791"/>
      <w:bookmarkStart w:id="285" w:name="_Toc39136361"/>
      <w:bookmarkStart w:id="286" w:name="_Toc28483"/>
      <w:bookmarkStart w:id="287" w:name="_Toc5872"/>
      <w:bookmarkStart w:id="288" w:name="_Hlt66847557"/>
      <w:bookmarkStart w:id="289" w:name="_Toc104711098"/>
      <w:bookmarkStart w:id="290" w:name="_Toc106418843"/>
      <w:bookmarkStart w:id="291" w:name="_Toc466640620"/>
      <w:bookmarkStart w:id="292" w:name="_Toc66849200"/>
    </w:p>
    <w:p w14:paraId="4B19C0AC">
      <w:pPr>
        <w:pStyle w:val="49"/>
        <w:widowControl w:val="0"/>
        <w:wordWrap w:val="0"/>
        <w:adjustRightInd w:val="0"/>
        <w:snapToGrid w:val="0"/>
        <w:rPr>
          <w:rFonts w:hint="eastAsia" w:ascii="宋体" w:hAnsi="宋体" w:eastAsia="宋体" w:cs="宋体"/>
          <w:b/>
          <w:snapToGrid w:val="0"/>
          <w:color w:val="auto"/>
          <w:sz w:val="24"/>
          <w:highlight w:val="none"/>
        </w:rPr>
      </w:pPr>
    </w:p>
    <w:p w14:paraId="08125D80">
      <w:pPr>
        <w:pStyle w:val="49"/>
        <w:widowControl w:val="0"/>
        <w:wordWrap w:val="0"/>
        <w:adjustRightInd w:val="0"/>
        <w:snapToGrid w:val="0"/>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u w:val="single"/>
        </w:rPr>
        <w:t xml:space="preserve">（项目名称）   </w:t>
      </w:r>
      <w:r>
        <w:rPr>
          <w:rFonts w:hint="eastAsia" w:ascii="宋体" w:hAnsi="宋体" w:eastAsia="宋体" w:cs="宋体"/>
          <w:b/>
          <w:snapToGrid w:val="0"/>
          <w:color w:val="auto"/>
          <w:sz w:val="48"/>
          <w:szCs w:val="48"/>
          <w:highlight w:val="none"/>
        </w:rPr>
        <w:t>招标</w:t>
      </w:r>
    </w:p>
    <w:p w14:paraId="697902E4">
      <w:pPr>
        <w:pStyle w:val="4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13EB6BA1">
      <w:pPr>
        <w:pStyle w:val="4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261C1BF8">
      <w:pPr>
        <w:pStyle w:val="4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17873289">
      <w:pPr>
        <w:pStyle w:val="4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6D54B3F8">
      <w:pPr>
        <w:pStyle w:val="49"/>
        <w:widowControl w:val="0"/>
        <w:wordWrap w:val="0"/>
        <w:adjustRightInd w:val="0"/>
        <w:snapToGrid w:val="0"/>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4FE88A2B">
      <w:pPr>
        <w:pStyle w:val="49"/>
        <w:widowControl w:val="0"/>
        <w:wordWrap w:val="0"/>
        <w:adjustRightInd w:val="0"/>
        <w:snapToGrid w:val="0"/>
        <w:ind w:firstLine="0"/>
        <w:jc w:val="center"/>
        <w:rPr>
          <w:rFonts w:hint="eastAsia" w:ascii="宋体" w:hAnsi="宋体" w:eastAsia="宋体" w:cs="宋体"/>
          <w:b/>
          <w:snapToGrid w:val="0"/>
          <w:color w:val="auto"/>
          <w:sz w:val="32"/>
          <w:highlight w:val="none"/>
        </w:rPr>
      </w:pPr>
    </w:p>
    <w:p w14:paraId="4473EABC">
      <w:pPr>
        <w:pStyle w:val="49"/>
        <w:widowControl w:val="0"/>
        <w:wordWrap w:val="0"/>
        <w:adjustRightInd w:val="0"/>
        <w:snapToGrid w:val="0"/>
        <w:ind w:firstLine="0"/>
        <w:rPr>
          <w:rFonts w:hint="eastAsia" w:ascii="宋体" w:hAnsi="宋体" w:eastAsia="宋体" w:cs="宋体"/>
          <w:b/>
          <w:snapToGrid w:val="0"/>
          <w:color w:val="auto"/>
          <w:sz w:val="32"/>
          <w:highlight w:val="none"/>
        </w:rPr>
      </w:pPr>
    </w:p>
    <w:p w14:paraId="6A8BAD44">
      <w:pPr>
        <w:pStyle w:val="49"/>
        <w:widowControl w:val="0"/>
        <w:wordWrap w:val="0"/>
        <w:adjustRightInd w:val="0"/>
        <w:snapToGrid w:val="0"/>
        <w:ind w:firstLine="0"/>
        <w:rPr>
          <w:rFonts w:hint="eastAsia" w:ascii="宋体" w:hAnsi="宋体" w:eastAsia="宋体" w:cs="宋体"/>
          <w:b/>
          <w:snapToGrid w:val="0"/>
          <w:color w:val="auto"/>
          <w:sz w:val="32"/>
          <w:highlight w:val="none"/>
        </w:rPr>
      </w:pPr>
    </w:p>
    <w:p w14:paraId="7474AD35">
      <w:pPr>
        <w:pStyle w:val="49"/>
        <w:widowControl w:val="0"/>
        <w:wordWrap w:val="0"/>
        <w:adjustRightInd w:val="0"/>
        <w:snapToGrid w:val="0"/>
        <w:rPr>
          <w:rFonts w:hint="eastAsia" w:ascii="宋体" w:hAnsi="宋体" w:eastAsia="宋体" w:cs="宋体"/>
          <w:b/>
          <w:snapToGrid w:val="0"/>
          <w:color w:val="auto"/>
          <w:sz w:val="32"/>
          <w:highlight w:val="none"/>
        </w:rPr>
      </w:pPr>
    </w:p>
    <w:p w14:paraId="15E72A75">
      <w:pPr>
        <w:pStyle w:val="49"/>
        <w:widowControl w:val="0"/>
        <w:wordWrap w:val="0"/>
        <w:adjustRightInd w:val="0"/>
        <w:snapToGrid w:val="0"/>
        <w:rPr>
          <w:rFonts w:hint="eastAsia" w:ascii="宋体" w:hAnsi="宋体" w:eastAsia="宋体" w:cs="宋体"/>
          <w:b/>
          <w:snapToGrid w:val="0"/>
          <w:color w:val="auto"/>
          <w:sz w:val="32"/>
          <w:highlight w:val="none"/>
        </w:rPr>
      </w:pPr>
    </w:p>
    <w:p w14:paraId="441C040D">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31DE89FD">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581C4B2D">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3EB93B5A">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5432C732">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48EE7907">
      <w:pPr>
        <w:pStyle w:val="49"/>
        <w:widowControl w:val="0"/>
        <w:wordWrap w:val="0"/>
        <w:adjustRightInd w:val="0"/>
        <w:snapToGrid w:val="0"/>
        <w:ind w:firstLine="0"/>
        <w:jc w:val="center"/>
        <w:rPr>
          <w:rFonts w:hint="eastAsia" w:ascii="宋体" w:hAnsi="宋体" w:eastAsia="宋体" w:cs="宋体"/>
          <w:bCs/>
          <w:snapToGrid w:val="0"/>
          <w:color w:val="auto"/>
          <w:sz w:val="32"/>
          <w:highlight w:val="none"/>
        </w:rPr>
      </w:pPr>
    </w:p>
    <w:p w14:paraId="1AC0F2F5">
      <w:pPr>
        <w:pStyle w:val="49"/>
        <w:widowControl w:val="0"/>
        <w:wordWrap w:val="0"/>
        <w:adjustRightInd w:val="0"/>
        <w:snapToGrid w:val="0"/>
        <w:ind w:firstLine="0"/>
        <w:jc w:val="center"/>
        <w:rPr>
          <w:rFonts w:hint="eastAsia" w:ascii="宋体" w:hAnsi="宋体" w:eastAsia="宋体" w:cs="宋体"/>
          <w:bCs/>
          <w:snapToGrid w:val="0"/>
          <w:color w:val="auto"/>
          <w:sz w:val="32"/>
          <w:highlight w:val="none"/>
          <w:u w:val="single"/>
        </w:rPr>
      </w:pPr>
    </w:p>
    <w:p w14:paraId="3181043E">
      <w:pPr>
        <w:pStyle w:val="49"/>
        <w:widowControl w:val="0"/>
        <w:wordWrap w:val="0"/>
        <w:adjustRightInd w:val="0"/>
        <w:snapToGrid w:val="0"/>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2A76C47A">
      <w:pPr>
        <w:bidi w:val="0"/>
        <w:rPr>
          <w:rFonts w:hint="eastAsia" w:ascii="宋体" w:hAnsi="宋体" w:eastAsia="宋体" w:cs="宋体"/>
          <w:color w:val="auto"/>
        </w:rPr>
      </w:pPr>
    </w:p>
    <w:p w14:paraId="35F92856">
      <w:pPr>
        <w:bidi w:val="0"/>
        <w:rPr>
          <w:rFonts w:hint="eastAsia" w:ascii="宋体" w:hAnsi="宋体" w:eastAsia="宋体" w:cs="宋体"/>
          <w:color w:val="auto"/>
        </w:rPr>
      </w:pPr>
    </w:p>
    <w:p w14:paraId="40EF0DC5">
      <w:pPr>
        <w:bidi w:val="0"/>
        <w:rPr>
          <w:rFonts w:hint="eastAsia" w:ascii="宋体" w:hAnsi="宋体" w:eastAsia="宋体" w:cs="宋体"/>
          <w:color w:val="auto"/>
        </w:rPr>
      </w:pPr>
    </w:p>
    <w:p w14:paraId="63E0BF87">
      <w:pPr>
        <w:bidi w:val="0"/>
        <w:rPr>
          <w:rFonts w:hint="eastAsia" w:ascii="宋体" w:hAnsi="宋体" w:eastAsia="宋体" w:cs="宋体"/>
          <w:color w:val="auto"/>
        </w:rPr>
      </w:pPr>
    </w:p>
    <w:p w14:paraId="741DD0EE">
      <w:pPr>
        <w:bidi w:val="0"/>
        <w:rPr>
          <w:rFonts w:hint="eastAsia" w:ascii="宋体" w:hAnsi="宋体" w:eastAsia="宋体" w:cs="宋体"/>
          <w:color w:val="auto"/>
        </w:rPr>
      </w:pPr>
    </w:p>
    <w:p w14:paraId="6016FA01">
      <w:pPr>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br w:type="page"/>
      </w:r>
    </w:p>
    <w:p w14:paraId="69FC3B2D">
      <w:pPr>
        <w:pStyle w:val="3"/>
        <w:spacing w:before="120"/>
        <w:rPr>
          <w:rFonts w:hint="eastAsia" w:ascii="宋体" w:hAnsi="宋体" w:eastAsia="宋体" w:cs="宋体"/>
          <w:b/>
          <w:bCs/>
          <w:color w:val="auto"/>
          <w:szCs w:val="24"/>
          <w:highlight w:val="none"/>
        </w:rPr>
      </w:pPr>
      <w:bookmarkStart w:id="293" w:name="_Toc16679"/>
      <w:r>
        <w:rPr>
          <w:rFonts w:hint="eastAsia" w:ascii="宋体" w:hAnsi="宋体" w:eastAsia="宋体" w:cs="宋体"/>
          <w:b/>
          <w:bCs/>
          <w:color w:val="auto"/>
          <w:szCs w:val="24"/>
          <w:highlight w:val="none"/>
        </w:rPr>
        <w:t xml:space="preserve">格式二 </w:t>
      </w:r>
      <w:bookmarkEnd w:id="283"/>
      <w:bookmarkEnd w:id="284"/>
      <w:bookmarkEnd w:id="285"/>
      <w:r>
        <w:rPr>
          <w:rFonts w:hint="eastAsia" w:ascii="宋体" w:hAnsi="宋体" w:eastAsia="宋体" w:cs="宋体"/>
          <w:b/>
          <w:bCs/>
          <w:color w:val="auto"/>
          <w:szCs w:val="24"/>
          <w:highlight w:val="none"/>
        </w:rPr>
        <w:t>《投标函》及《工程项目总价表》</w:t>
      </w:r>
      <w:bookmarkEnd w:id="286"/>
      <w:bookmarkEnd w:id="287"/>
      <w:bookmarkEnd w:id="293"/>
    </w:p>
    <w:p w14:paraId="4F8AD883">
      <w:pPr>
        <w:pStyle w:val="4"/>
        <w:keepNext w:val="0"/>
        <w:keepLines w:val="0"/>
        <w:wordWrap w:val="0"/>
        <w:adjustRightInd w:val="0"/>
        <w:snapToGrid w:val="0"/>
        <w:spacing w:before="260" w:after="260" w:line="440" w:lineRule="exact"/>
        <w:jc w:val="center"/>
        <w:rPr>
          <w:rFonts w:hint="eastAsia" w:ascii="宋体" w:hAnsi="宋体" w:eastAsia="宋体" w:cs="宋体"/>
          <w:snapToGrid w:val="0"/>
          <w:color w:val="auto"/>
          <w:szCs w:val="24"/>
          <w:highlight w:val="none"/>
        </w:rPr>
      </w:pPr>
      <w:bookmarkStart w:id="294" w:name="_Toc10604"/>
      <w:bookmarkStart w:id="295" w:name="_Toc25066"/>
      <w:bookmarkStart w:id="296" w:name="_Toc29375"/>
      <w:bookmarkStart w:id="297" w:name="_Toc8657"/>
      <w:bookmarkStart w:id="298" w:name="_Toc28044"/>
      <w:bookmarkStart w:id="299" w:name="_Toc27121"/>
      <w:bookmarkStart w:id="300" w:name="_Toc28636"/>
      <w:bookmarkStart w:id="301" w:name="_Toc21577"/>
      <w:bookmarkStart w:id="302" w:name="_Toc18294"/>
      <w:bookmarkStart w:id="303" w:name="_Toc39136362"/>
      <w:bookmarkStart w:id="304" w:name="_Toc9280"/>
      <w:bookmarkStart w:id="305" w:name="_Toc4142"/>
      <w:bookmarkStart w:id="306" w:name="_Toc29769"/>
      <w:r>
        <w:rPr>
          <w:rFonts w:hint="eastAsia" w:ascii="宋体" w:hAnsi="宋体" w:eastAsia="宋体" w:cs="宋体"/>
          <w:snapToGrid w:val="0"/>
          <w:color w:val="auto"/>
          <w:szCs w:val="24"/>
          <w:highlight w:val="none"/>
        </w:rPr>
        <w:t>投  标  函</w:t>
      </w:r>
      <w:bookmarkEnd w:id="294"/>
      <w:bookmarkEnd w:id="295"/>
      <w:bookmarkEnd w:id="296"/>
      <w:bookmarkEnd w:id="297"/>
      <w:bookmarkEnd w:id="298"/>
      <w:bookmarkEnd w:id="299"/>
      <w:bookmarkEnd w:id="300"/>
      <w:bookmarkEnd w:id="301"/>
      <w:bookmarkEnd w:id="302"/>
      <w:bookmarkEnd w:id="303"/>
      <w:bookmarkEnd w:id="304"/>
      <w:bookmarkEnd w:id="305"/>
      <w:bookmarkEnd w:id="306"/>
    </w:p>
    <w:p w14:paraId="0C365AD6">
      <w:pPr>
        <w:wordWrap w:val="0"/>
        <w:adjustRightInd w:val="0"/>
        <w:snapToGrid w:val="0"/>
        <w:spacing w:line="440" w:lineRule="exact"/>
        <w:rPr>
          <w:rFonts w:hint="eastAsia" w:ascii="宋体" w:hAnsi="宋体" w:eastAsia="宋体" w:cs="宋体"/>
          <w:snapToGrid w:val="0"/>
          <w:color w:val="auto"/>
          <w:kern w:val="0"/>
          <w:szCs w:val="24"/>
          <w:highlight w:val="none"/>
        </w:rPr>
      </w:pPr>
    </w:p>
    <w:p w14:paraId="0FB31121">
      <w:pPr>
        <w:wordWrap w:val="0"/>
        <w:adjustRightInd w:val="0"/>
        <w:snapToGrid w:val="0"/>
        <w:spacing w:line="440" w:lineRule="exact"/>
        <w:rPr>
          <w:rFonts w:hint="eastAsia" w:ascii="宋体" w:hAnsi="宋体" w:eastAsia="宋体" w:cs="宋体"/>
          <w:color w:val="auto"/>
          <w:highlight w:val="none"/>
        </w:rPr>
      </w:pPr>
      <w:r>
        <w:rPr>
          <w:rFonts w:hint="eastAsia" w:ascii="宋体" w:hAnsi="宋体" w:eastAsia="宋体" w:cs="宋体"/>
          <w:snapToGrid w:val="0"/>
          <w:color w:val="auto"/>
          <w:kern w:val="0"/>
          <w:szCs w:val="24"/>
          <w:highlight w:val="none"/>
        </w:rPr>
        <w:t>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（招标人名称）</w:t>
      </w:r>
    </w:p>
    <w:p w14:paraId="7AAE9371">
      <w:pPr>
        <w:wordWrap w:val="0"/>
        <w:adjustRightInd w:val="0"/>
        <w:snapToGrid w:val="0"/>
        <w:spacing w:line="440" w:lineRule="exact"/>
        <w:ind w:firstLine="570"/>
        <w:rPr>
          <w:rFonts w:hint="eastAsia" w:ascii="宋体" w:hAnsi="宋体" w:eastAsia="宋体" w:cs="宋体"/>
          <w:color w:val="auto"/>
          <w:szCs w:val="22"/>
          <w:highlight w:val="none"/>
        </w:rPr>
      </w:pPr>
      <w:r>
        <w:rPr>
          <w:rFonts w:hint="eastAsia" w:ascii="宋体" w:hAnsi="宋体" w:eastAsia="宋体" w:cs="宋体"/>
          <w:color w:val="auto"/>
          <w:szCs w:val="22"/>
          <w:highlight w:val="none"/>
        </w:rPr>
        <w:t>1.在研</w:t>
      </w:r>
      <w:r>
        <w:rPr>
          <w:rFonts w:hint="eastAsia" w:ascii="宋体" w:hAnsi="宋体" w:eastAsia="宋体" w:cs="宋体"/>
          <w:color w:val="auto"/>
          <w:szCs w:val="22"/>
          <w:highlight w:val="none"/>
          <w:u w:val="single"/>
        </w:rPr>
        <w:t xml:space="preserve">究        （项目名称）        </w:t>
      </w:r>
      <w:r>
        <w:rPr>
          <w:rFonts w:hint="eastAsia" w:ascii="宋体" w:hAnsi="宋体" w:eastAsia="宋体" w:cs="宋体"/>
          <w:color w:val="auto"/>
          <w:szCs w:val="22"/>
          <w:highlight w:val="none"/>
        </w:rPr>
        <w:t>招标文件和其它相关文件，并对现场进行深入了解后，我方（即文末签名人），考虑了本企业的实力和特点，愿意接受招标文件的全部内容和条件，兹以投标总价</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lang w:val="en-US" w:eastAsia="zh-CN"/>
        </w:rPr>
        <w:t>大写）</w:t>
      </w:r>
      <w:r>
        <w:rPr>
          <w:rFonts w:hint="eastAsia" w:ascii="宋体" w:hAnsi="宋体" w:eastAsia="宋体" w:cs="宋体"/>
          <w:color w:val="auto"/>
          <w:szCs w:val="22"/>
          <w:highlight w:val="none"/>
          <w:u w:val="single"/>
          <w:lang w:val="en-US" w:eastAsia="zh-CN"/>
        </w:rPr>
        <w:t>：      （小写：￥      元）</w:t>
      </w:r>
      <w:r>
        <w:rPr>
          <w:rFonts w:hint="eastAsia" w:ascii="宋体" w:hAnsi="宋体" w:eastAsia="宋体" w:cs="宋体"/>
          <w:color w:val="auto"/>
          <w:szCs w:val="22"/>
          <w:highlight w:val="none"/>
        </w:rPr>
        <w:t>竞投本项目。</w:t>
      </w:r>
    </w:p>
    <w:p w14:paraId="244C3E34">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2. </w:t>
      </w:r>
      <w:r>
        <w:rPr>
          <w:rFonts w:hint="eastAsia" w:ascii="宋体" w:hAnsi="宋体" w:eastAsia="宋体" w:cs="宋体"/>
          <w:color w:val="auto"/>
          <w:szCs w:val="22"/>
          <w:highlight w:val="none"/>
        </w:rPr>
        <w:t>如果我方中标，我方保证按照合同约定的开工日期开始本项目的设计、施工，本工程设计、施工招标工期为</w:t>
      </w:r>
      <w:r>
        <w:rPr>
          <w:rFonts w:hint="eastAsia" w:ascii="宋体" w:hAnsi="宋体" w:eastAsia="宋体" w:cs="宋体"/>
          <w:color w:val="auto"/>
          <w:szCs w:val="22"/>
          <w:highlight w:val="none"/>
          <w:u w:val="single"/>
        </w:rPr>
        <w:t xml:space="preserve">    </w:t>
      </w:r>
      <w:r>
        <w:rPr>
          <w:rFonts w:hint="eastAsia" w:ascii="宋体" w:hAnsi="宋体" w:eastAsia="宋体" w:cs="宋体"/>
          <w:color w:val="auto"/>
          <w:szCs w:val="22"/>
          <w:highlight w:val="none"/>
        </w:rPr>
        <w:t>个日历天</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rPr>
        <w:t>其中：设计工期为</w:t>
      </w:r>
      <w:r>
        <w:rPr>
          <w:rFonts w:hint="eastAsia" w:ascii="宋体" w:hAnsi="宋体" w:eastAsia="宋体" w:cs="宋体"/>
          <w:color w:val="auto"/>
          <w:szCs w:val="22"/>
          <w:highlight w:val="none"/>
          <w:u w:val="single"/>
        </w:rPr>
        <w:t xml:space="preserve">   </w:t>
      </w:r>
      <w:r>
        <w:rPr>
          <w:rFonts w:hint="eastAsia" w:ascii="宋体" w:hAnsi="宋体" w:eastAsia="宋体" w:cs="宋体"/>
          <w:color w:val="auto"/>
          <w:szCs w:val="22"/>
          <w:highlight w:val="none"/>
        </w:rPr>
        <w:t>日历天，施工工期为</w:t>
      </w:r>
      <w:r>
        <w:rPr>
          <w:rFonts w:hint="eastAsia" w:ascii="宋体" w:hAnsi="宋体" w:eastAsia="宋体" w:cs="宋体"/>
          <w:color w:val="auto"/>
          <w:szCs w:val="22"/>
          <w:highlight w:val="none"/>
          <w:u w:val="single"/>
        </w:rPr>
        <w:t xml:space="preserve">   </w:t>
      </w:r>
      <w:r>
        <w:rPr>
          <w:rFonts w:hint="eastAsia" w:ascii="宋体" w:hAnsi="宋体" w:eastAsia="宋体" w:cs="宋体"/>
          <w:color w:val="auto"/>
          <w:szCs w:val="22"/>
          <w:highlight w:val="none"/>
        </w:rPr>
        <w:t>日历天</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rPr>
        <w:t>内竣工，并确保工程质量达到</w:t>
      </w:r>
      <w:r>
        <w:rPr>
          <w:rFonts w:hint="eastAsia" w:ascii="宋体" w:hAnsi="宋体" w:eastAsia="宋体" w:cs="宋体"/>
          <w:color w:val="auto"/>
          <w:szCs w:val="22"/>
          <w:highlight w:val="none"/>
          <w:u w:val="single"/>
        </w:rPr>
        <w:t xml:space="preserve">      </w:t>
      </w:r>
      <w:r>
        <w:rPr>
          <w:rFonts w:hint="eastAsia" w:ascii="宋体" w:hAnsi="宋体" w:eastAsia="宋体" w:cs="宋体"/>
          <w:color w:val="auto"/>
          <w:szCs w:val="22"/>
          <w:highlight w:val="none"/>
        </w:rPr>
        <w:t>标准和维修其中的任何缺陷</w:t>
      </w:r>
      <w:r>
        <w:rPr>
          <w:rFonts w:hint="eastAsia" w:ascii="宋体" w:hAnsi="宋体" w:eastAsia="宋体" w:cs="宋体"/>
          <w:snapToGrid w:val="0"/>
          <w:color w:val="auto"/>
          <w:kern w:val="0"/>
          <w:szCs w:val="24"/>
          <w:highlight w:val="none"/>
        </w:rPr>
        <w:t>。</w:t>
      </w:r>
    </w:p>
    <w:p w14:paraId="4E21DF48">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 本投标函在你方接收我方递交的投标文件之日起、到招标文件规定的投标有效期期满前对我方具有约束力。我方随时准备接受你方发出的中标通知书。</w:t>
      </w:r>
    </w:p>
    <w:p w14:paraId="0F5553B0">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4．我方在此声明，我方不存在本工程招标文件所列示的“禁止投标条款”所列出的任何一种情形，并愿意承担因我方就此弄虚作假所引起的一切法律后果。</w:t>
      </w:r>
    </w:p>
    <w:p w14:paraId="0353B493">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5．我方在此承诺，所递交投标文件的全部内容均为真实、有效、准确的，并愿意承担因我方就此弄虚作假所引起的一切法律后果，同时理解和同意有可能被要求提供更多的资料。</w:t>
      </w:r>
    </w:p>
    <w:p w14:paraId="2ED02BC9">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 我方理解你方不一定要接纳收到的最低投标总价或任何投标总价的投标人中标，也不要求你方解释我方是否中标的原因。</w:t>
      </w:r>
    </w:p>
    <w:p w14:paraId="76837389">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p>
    <w:p w14:paraId="25EBC9F5">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72D02F53">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64882DDE">
      <w:pPr>
        <w:wordWrap w:val="0"/>
        <w:adjustRightInd w:val="0"/>
        <w:snapToGrid w:val="0"/>
        <w:spacing w:line="440" w:lineRule="exact"/>
        <w:ind w:firstLine="4080" w:firstLineChars="17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2594BCC0">
      <w:pPr>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br w:type="page"/>
      </w:r>
    </w:p>
    <w:p w14:paraId="614E268B">
      <w:pPr>
        <w:pStyle w:val="4"/>
        <w:spacing w:before="260" w:after="260"/>
        <w:jc w:val="center"/>
        <w:rPr>
          <w:rFonts w:hint="eastAsia" w:ascii="宋体" w:hAnsi="宋体" w:eastAsia="宋体" w:cs="宋体"/>
          <w:color w:val="auto"/>
        </w:rPr>
      </w:pPr>
      <w:bookmarkStart w:id="307" w:name="_Toc453"/>
      <w:bookmarkStart w:id="308" w:name="_Toc6846"/>
      <w:bookmarkStart w:id="309" w:name="_Toc9155"/>
      <w:bookmarkStart w:id="310" w:name="_Toc5052"/>
      <w:bookmarkStart w:id="311" w:name="_Toc25629"/>
      <w:bookmarkStart w:id="312" w:name="_Toc29920"/>
      <w:bookmarkStart w:id="313" w:name="_Toc20338"/>
      <w:bookmarkStart w:id="314" w:name="_Toc32382"/>
      <w:bookmarkStart w:id="315" w:name="_Toc25829"/>
      <w:bookmarkStart w:id="316" w:name="_Toc39136364"/>
      <w:bookmarkStart w:id="317" w:name="_Toc7915"/>
      <w:r>
        <w:rPr>
          <w:rFonts w:hint="eastAsia" w:ascii="宋体" w:hAnsi="宋体" w:eastAsia="宋体" w:cs="宋体"/>
          <w:bCs/>
          <w:color w:val="auto"/>
          <w:szCs w:val="24"/>
          <w:highlight w:val="none"/>
        </w:rPr>
        <w:t>工程项目总价表</w:t>
      </w:r>
      <w:bookmarkEnd w:id="307"/>
      <w:bookmarkEnd w:id="308"/>
      <w:bookmarkEnd w:id="309"/>
      <w:bookmarkEnd w:id="310"/>
      <w:bookmarkEnd w:id="311"/>
      <w:bookmarkEnd w:id="312"/>
      <w:bookmarkEnd w:id="313"/>
      <w:bookmarkEnd w:id="314"/>
      <w:bookmarkEnd w:id="315"/>
    </w:p>
    <w:tbl>
      <w:tblPr>
        <w:tblStyle w:val="25"/>
        <w:tblW w:w="104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9"/>
        <w:gridCol w:w="1806"/>
        <w:gridCol w:w="973"/>
        <w:gridCol w:w="1452"/>
        <w:gridCol w:w="1235"/>
        <w:gridCol w:w="1513"/>
        <w:gridCol w:w="2679"/>
      </w:tblGrid>
      <w:tr w14:paraId="22F4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jc w:val="center"/>
        </w:trPr>
        <w:tc>
          <w:tcPr>
            <w:tcW w:w="749" w:type="dxa"/>
            <w:noWrap w:val="0"/>
            <w:vAlign w:val="center"/>
          </w:tcPr>
          <w:p w14:paraId="2CAD3F87">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序号</w:t>
            </w:r>
          </w:p>
        </w:tc>
        <w:tc>
          <w:tcPr>
            <w:tcW w:w="1806" w:type="dxa"/>
            <w:noWrap w:val="0"/>
            <w:vAlign w:val="center"/>
          </w:tcPr>
          <w:p w14:paraId="4C2BBF60">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项目名称</w:t>
            </w:r>
          </w:p>
        </w:tc>
        <w:tc>
          <w:tcPr>
            <w:tcW w:w="2425" w:type="dxa"/>
            <w:gridSpan w:val="2"/>
            <w:noWrap w:val="0"/>
            <w:vAlign w:val="center"/>
          </w:tcPr>
          <w:p w14:paraId="74FD1BEF">
            <w:pPr>
              <w:spacing w:line="360" w:lineRule="exact"/>
              <w:jc w:val="center"/>
              <w:rPr>
                <w:rFonts w:hint="eastAsia" w:ascii="宋体" w:hAnsi="宋体" w:eastAsia="宋体" w:cs="宋体"/>
                <w:b w:val="0"/>
                <w:bCs w:val="0"/>
                <w:color w:val="auto"/>
                <w:kern w:val="1"/>
                <w:sz w:val="24"/>
                <w:szCs w:val="24"/>
                <w:highlight w:val="none"/>
                <w:lang w:val="en-US" w:eastAsia="zh-CN"/>
              </w:rPr>
            </w:pPr>
            <w:r>
              <w:rPr>
                <w:rFonts w:hint="eastAsia" w:ascii="宋体" w:hAnsi="宋体" w:eastAsia="宋体" w:cs="宋体"/>
                <w:b w:val="0"/>
                <w:bCs w:val="0"/>
                <w:color w:val="auto"/>
                <w:kern w:val="1"/>
                <w:sz w:val="24"/>
                <w:szCs w:val="24"/>
                <w:highlight w:val="none"/>
                <w:lang w:val="en-US" w:eastAsia="zh-CN"/>
              </w:rPr>
              <w:t>招标金额</w:t>
            </w:r>
          </w:p>
          <w:p w14:paraId="29B86921">
            <w:pPr>
              <w:pStyle w:val="4"/>
              <w:jc w:val="center"/>
              <w:rPr>
                <w:rFonts w:hint="eastAsia" w:ascii="宋体" w:hAnsi="宋体" w:eastAsia="宋体" w:cs="宋体"/>
                <w:color w:val="auto"/>
                <w:sz w:val="24"/>
                <w:szCs w:val="24"/>
                <w:highlight w:val="none"/>
                <w:lang w:val="en-US" w:eastAsia="zh-CN"/>
              </w:rPr>
            </w:pPr>
            <w:bookmarkStart w:id="318" w:name="_Toc8594"/>
            <w:bookmarkStart w:id="319" w:name="_Toc20949"/>
            <w:bookmarkStart w:id="320" w:name="_Toc13307"/>
            <w:r>
              <w:rPr>
                <w:rFonts w:hint="eastAsia" w:ascii="宋体" w:hAnsi="宋体" w:eastAsia="宋体" w:cs="宋体"/>
                <w:b w:val="0"/>
                <w:bCs w:val="0"/>
                <w:color w:val="auto"/>
                <w:kern w:val="1"/>
                <w:sz w:val="24"/>
                <w:szCs w:val="24"/>
                <w:highlight w:val="none"/>
                <w:lang w:val="en-US" w:eastAsia="zh-CN"/>
              </w:rPr>
              <w:t>（元）</w:t>
            </w:r>
            <w:bookmarkEnd w:id="318"/>
            <w:bookmarkEnd w:id="319"/>
            <w:bookmarkEnd w:id="320"/>
          </w:p>
        </w:tc>
        <w:tc>
          <w:tcPr>
            <w:tcW w:w="1235" w:type="dxa"/>
            <w:noWrap w:val="0"/>
            <w:vAlign w:val="center"/>
          </w:tcPr>
          <w:p w14:paraId="2B6570BD">
            <w:pPr>
              <w:spacing w:line="36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rPr>
              <w:t>投标</w:t>
            </w:r>
            <w:r>
              <w:rPr>
                <w:rFonts w:hint="eastAsia" w:ascii="宋体" w:hAnsi="宋体" w:eastAsia="宋体" w:cs="宋体"/>
                <w:color w:val="auto"/>
                <w:kern w:val="1"/>
                <w:sz w:val="24"/>
                <w:szCs w:val="24"/>
                <w:highlight w:val="none"/>
                <w:lang w:val="en-US" w:eastAsia="zh-CN"/>
              </w:rPr>
              <w:t>费率</w:t>
            </w:r>
          </w:p>
        </w:tc>
        <w:tc>
          <w:tcPr>
            <w:tcW w:w="1513" w:type="dxa"/>
            <w:noWrap w:val="0"/>
            <w:vAlign w:val="center"/>
          </w:tcPr>
          <w:p w14:paraId="718526AE">
            <w:pPr>
              <w:spacing w:line="360" w:lineRule="exact"/>
              <w:jc w:val="center"/>
              <w:rPr>
                <w:rFonts w:hint="eastAsia" w:ascii="宋体" w:hAnsi="宋体" w:eastAsia="宋体" w:cs="宋体"/>
                <w:b w:val="0"/>
                <w:bCs w:val="0"/>
                <w:color w:val="auto"/>
                <w:kern w:val="1"/>
                <w:sz w:val="24"/>
                <w:szCs w:val="24"/>
                <w:highlight w:val="none"/>
                <w:lang w:val="en-US" w:eastAsia="zh-CN"/>
              </w:rPr>
            </w:pPr>
            <w:r>
              <w:rPr>
                <w:rFonts w:hint="eastAsia" w:ascii="宋体" w:hAnsi="宋体" w:eastAsia="宋体" w:cs="宋体"/>
                <w:b w:val="0"/>
                <w:bCs w:val="0"/>
                <w:color w:val="auto"/>
                <w:kern w:val="1"/>
                <w:sz w:val="24"/>
                <w:szCs w:val="24"/>
                <w:highlight w:val="none"/>
                <w:lang w:val="en-US" w:eastAsia="zh-CN"/>
              </w:rPr>
              <w:t>投标报价</w:t>
            </w:r>
          </w:p>
          <w:p w14:paraId="45112F49">
            <w:pPr>
              <w:spacing w:line="360" w:lineRule="exact"/>
              <w:jc w:val="center"/>
              <w:rPr>
                <w:rFonts w:hint="eastAsia" w:ascii="宋体" w:hAnsi="宋体" w:eastAsia="宋体" w:cs="宋体"/>
                <w:b w:val="0"/>
                <w:bCs w:val="0"/>
                <w:color w:val="auto"/>
                <w:kern w:val="1"/>
                <w:sz w:val="24"/>
                <w:szCs w:val="24"/>
                <w:highlight w:val="none"/>
                <w:lang w:val="en-US" w:eastAsia="zh-CN"/>
              </w:rPr>
            </w:pPr>
            <w:r>
              <w:rPr>
                <w:rFonts w:hint="eastAsia" w:ascii="宋体" w:hAnsi="宋体" w:eastAsia="宋体" w:cs="宋体"/>
                <w:b w:val="0"/>
                <w:bCs w:val="0"/>
                <w:color w:val="auto"/>
                <w:kern w:val="1"/>
                <w:sz w:val="24"/>
                <w:szCs w:val="24"/>
                <w:highlight w:val="none"/>
                <w:lang w:val="en-US" w:eastAsia="zh-CN"/>
              </w:rPr>
              <w:t>（元）</w:t>
            </w:r>
          </w:p>
        </w:tc>
        <w:tc>
          <w:tcPr>
            <w:tcW w:w="2679" w:type="dxa"/>
            <w:noWrap w:val="0"/>
            <w:vAlign w:val="center"/>
          </w:tcPr>
          <w:p w14:paraId="429C364D">
            <w:pPr>
              <w:spacing w:line="36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rPr>
              <w:t>交货时间/工期/服务期限</w:t>
            </w:r>
          </w:p>
        </w:tc>
      </w:tr>
      <w:tr w14:paraId="781E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3" w:hRule="atLeast"/>
          <w:jc w:val="center"/>
        </w:trPr>
        <w:tc>
          <w:tcPr>
            <w:tcW w:w="749" w:type="dxa"/>
            <w:vMerge w:val="restart"/>
            <w:noWrap w:val="0"/>
            <w:vAlign w:val="center"/>
          </w:tcPr>
          <w:p w14:paraId="6828BAB1">
            <w:pPr>
              <w:spacing w:line="40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1</w:t>
            </w:r>
          </w:p>
        </w:tc>
        <w:tc>
          <w:tcPr>
            <w:tcW w:w="1806" w:type="dxa"/>
            <w:vMerge w:val="restart"/>
            <w:noWrap w:val="0"/>
            <w:vAlign w:val="center"/>
          </w:tcPr>
          <w:p w14:paraId="47CBA88F">
            <w:pPr>
              <w:spacing w:line="400" w:lineRule="exact"/>
              <w:jc w:val="center"/>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lang w:eastAsia="zh-CN"/>
              </w:rPr>
              <w:t>始兴县顿岗镇全域土地综合整治（乡村空间“三提三化”）项目光伏项目（</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期）设计、施工总承包</w:t>
            </w:r>
          </w:p>
        </w:tc>
        <w:tc>
          <w:tcPr>
            <w:tcW w:w="973" w:type="dxa"/>
            <w:noWrap w:val="0"/>
            <w:vAlign w:val="center"/>
          </w:tcPr>
          <w:p w14:paraId="13B73830">
            <w:pPr>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建安费</w:t>
            </w:r>
          </w:p>
        </w:tc>
        <w:tc>
          <w:tcPr>
            <w:tcW w:w="1452" w:type="dxa"/>
            <w:noWrap w:val="0"/>
            <w:vAlign w:val="center"/>
          </w:tcPr>
          <w:p w14:paraId="5EB17658">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1"/>
                <w:sz w:val="24"/>
                <w:szCs w:val="24"/>
                <w:highlight w:val="none"/>
                <w:lang w:val="en-US" w:eastAsia="zh-CN"/>
              </w:rPr>
              <w:t>1730000.00</w:t>
            </w:r>
          </w:p>
        </w:tc>
        <w:tc>
          <w:tcPr>
            <w:tcW w:w="1235" w:type="dxa"/>
            <w:noWrap w:val="0"/>
            <w:vAlign w:val="center"/>
          </w:tcPr>
          <w:p w14:paraId="54B600F9">
            <w:pPr>
              <w:spacing w:line="36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u w:val="single"/>
                <w:lang w:eastAsia="zh-CN"/>
              </w:rPr>
              <w:t xml:space="preserve">      </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w:t>
            </w:r>
          </w:p>
        </w:tc>
        <w:tc>
          <w:tcPr>
            <w:tcW w:w="1513" w:type="dxa"/>
            <w:noWrap w:val="0"/>
            <w:vAlign w:val="center"/>
          </w:tcPr>
          <w:p w14:paraId="2FA4E5D6">
            <w:pPr>
              <w:spacing w:line="360" w:lineRule="exact"/>
              <w:jc w:val="center"/>
              <w:rPr>
                <w:rFonts w:hint="eastAsia" w:ascii="宋体" w:hAnsi="宋体" w:eastAsia="宋体" w:cs="宋体"/>
                <w:color w:val="auto"/>
                <w:sz w:val="24"/>
                <w:szCs w:val="24"/>
                <w:highlight w:val="none"/>
              </w:rPr>
            </w:pPr>
          </w:p>
        </w:tc>
        <w:tc>
          <w:tcPr>
            <w:tcW w:w="2679" w:type="dxa"/>
            <w:vMerge w:val="restart"/>
            <w:noWrap w:val="0"/>
            <w:vAlign w:val="center"/>
          </w:tcPr>
          <w:p w14:paraId="53EDA193">
            <w:pPr>
              <w:spacing w:line="360" w:lineRule="exact"/>
              <w:jc w:val="left"/>
              <w:rPr>
                <w:rFonts w:hint="eastAsia" w:ascii="宋体" w:hAnsi="宋体" w:eastAsia="宋体" w:cs="宋体"/>
                <w:color w:val="auto"/>
                <w:kern w:val="1"/>
                <w:sz w:val="24"/>
                <w:szCs w:val="24"/>
                <w:highlight w:val="none"/>
              </w:rPr>
            </w:pPr>
            <w:r>
              <w:rPr>
                <w:rFonts w:hint="eastAsia" w:ascii="宋体" w:hAnsi="宋体" w:eastAsia="宋体" w:cs="宋体"/>
                <w:color w:val="auto"/>
                <w:sz w:val="24"/>
                <w:szCs w:val="24"/>
                <w:highlight w:val="none"/>
              </w:rPr>
              <w:t>在项目计划工期内竣工并移交整个工程（具体项目的工期以下达的任务通知书为准，实际开竣工日期分别以开工报告、竣工报告为准）</w:t>
            </w:r>
          </w:p>
        </w:tc>
      </w:tr>
      <w:tr w14:paraId="5BB40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3" w:hRule="atLeast"/>
          <w:jc w:val="center"/>
        </w:trPr>
        <w:tc>
          <w:tcPr>
            <w:tcW w:w="749" w:type="dxa"/>
            <w:vMerge w:val="continue"/>
            <w:noWrap w:val="0"/>
            <w:vAlign w:val="center"/>
          </w:tcPr>
          <w:p w14:paraId="6ED9D7AA">
            <w:pPr>
              <w:spacing w:line="400" w:lineRule="exact"/>
              <w:jc w:val="center"/>
              <w:rPr>
                <w:rFonts w:hint="eastAsia" w:ascii="宋体" w:hAnsi="宋体" w:eastAsia="宋体" w:cs="宋体"/>
                <w:color w:val="auto"/>
                <w:kern w:val="1"/>
                <w:sz w:val="24"/>
                <w:szCs w:val="24"/>
                <w:highlight w:val="none"/>
                <w:lang w:val="en-US" w:eastAsia="zh-CN"/>
              </w:rPr>
            </w:pPr>
          </w:p>
        </w:tc>
        <w:tc>
          <w:tcPr>
            <w:tcW w:w="1806" w:type="dxa"/>
            <w:vMerge w:val="continue"/>
            <w:noWrap w:val="0"/>
            <w:vAlign w:val="center"/>
          </w:tcPr>
          <w:p w14:paraId="3B38906D">
            <w:pPr>
              <w:spacing w:line="400" w:lineRule="exact"/>
              <w:jc w:val="center"/>
              <w:rPr>
                <w:rFonts w:hint="eastAsia" w:ascii="宋体" w:hAnsi="宋体" w:eastAsia="宋体" w:cs="宋体"/>
                <w:color w:val="auto"/>
                <w:sz w:val="24"/>
                <w:szCs w:val="24"/>
                <w:highlight w:val="none"/>
                <w:lang w:eastAsia="zh-CN"/>
              </w:rPr>
            </w:pPr>
          </w:p>
        </w:tc>
        <w:tc>
          <w:tcPr>
            <w:tcW w:w="973" w:type="dxa"/>
            <w:noWrap w:val="0"/>
            <w:vAlign w:val="center"/>
          </w:tcPr>
          <w:p w14:paraId="4F14B9B7">
            <w:pPr>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设计费</w:t>
            </w:r>
          </w:p>
        </w:tc>
        <w:tc>
          <w:tcPr>
            <w:tcW w:w="1452" w:type="dxa"/>
            <w:noWrap w:val="0"/>
            <w:vAlign w:val="center"/>
          </w:tcPr>
          <w:p w14:paraId="5487E70D">
            <w:pPr>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70000.00</w:t>
            </w:r>
          </w:p>
        </w:tc>
        <w:tc>
          <w:tcPr>
            <w:tcW w:w="1235" w:type="dxa"/>
            <w:noWrap w:val="0"/>
            <w:vAlign w:val="center"/>
          </w:tcPr>
          <w:p w14:paraId="6689D5AC">
            <w:pPr>
              <w:spacing w:line="360" w:lineRule="auto"/>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u w:val="single"/>
                <w:lang w:eastAsia="zh-CN"/>
              </w:rPr>
              <w:t xml:space="preserve">      </w:t>
            </w:r>
            <w:r>
              <w:rPr>
                <w:rFonts w:hint="eastAsia" w:ascii="宋体" w:hAnsi="宋体" w:eastAsia="宋体" w:cs="宋体"/>
                <w:color w:val="auto"/>
                <w:kern w:val="1"/>
                <w:sz w:val="24"/>
                <w:szCs w:val="24"/>
                <w:highlight w:val="none"/>
                <w:u w:val="single"/>
              </w:rPr>
              <w:t xml:space="preserve"> </w:t>
            </w:r>
            <w:r>
              <w:rPr>
                <w:rFonts w:hint="eastAsia" w:ascii="宋体" w:hAnsi="宋体" w:eastAsia="宋体" w:cs="宋体"/>
                <w:color w:val="auto"/>
                <w:kern w:val="1"/>
                <w:sz w:val="24"/>
                <w:szCs w:val="24"/>
                <w:highlight w:val="none"/>
              </w:rPr>
              <w:t>%</w:t>
            </w:r>
          </w:p>
        </w:tc>
        <w:tc>
          <w:tcPr>
            <w:tcW w:w="1513" w:type="dxa"/>
            <w:noWrap w:val="0"/>
            <w:vAlign w:val="center"/>
          </w:tcPr>
          <w:p w14:paraId="00AA940C">
            <w:pPr>
              <w:spacing w:line="360" w:lineRule="exact"/>
              <w:jc w:val="center"/>
              <w:rPr>
                <w:rFonts w:hint="eastAsia" w:ascii="宋体" w:hAnsi="宋体" w:eastAsia="宋体" w:cs="宋体"/>
                <w:color w:val="auto"/>
                <w:sz w:val="24"/>
                <w:szCs w:val="24"/>
                <w:highlight w:val="none"/>
              </w:rPr>
            </w:pPr>
          </w:p>
        </w:tc>
        <w:tc>
          <w:tcPr>
            <w:tcW w:w="2679" w:type="dxa"/>
            <w:vMerge w:val="continue"/>
            <w:noWrap w:val="0"/>
            <w:vAlign w:val="center"/>
          </w:tcPr>
          <w:p w14:paraId="53621C09">
            <w:pPr>
              <w:spacing w:line="360" w:lineRule="exact"/>
              <w:jc w:val="left"/>
              <w:rPr>
                <w:rFonts w:hint="eastAsia" w:ascii="宋体" w:hAnsi="宋体" w:eastAsia="宋体" w:cs="宋体"/>
                <w:color w:val="auto"/>
                <w:sz w:val="24"/>
                <w:szCs w:val="24"/>
                <w:highlight w:val="none"/>
              </w:rPr>
            </w:pPr>
          </w:p>
        </w:tc>
      </w:tr>
      <w:tr w14:paraId="5B508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3" w:hRule="atLeast"/>
          <w:jc w:val="center"/>
        </w:trPr>
        <w:tc>
          <w:tcPr>
            <w:tcW w:w="3528" w:type="dxa"/>
            <w:gridSpan w:val="3"/>
            <w:noWrap w:val="0"/>
            <w:vAlign w:val="center"/>
          </w:tcPr>
          <w:p w14:paraId="1601636A">
            <w:pPr>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合计</w:t>
            </w:r>
          </w:p>
        </w:tc>
        <w:tc>
          <w:tcPr>
            <w:tcW w:w="1452" w:type="dxa"/>
            <w:noWrap w:val="0"/>
            <w:vAlign w:val="center"/>
          </w:tcPr>
          <w:p w14:paraId="54492245">
            <w:pPr>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1800000.00</w:t>
            </w:r>
          </w:p>
        </w:tc>
        <w:tc>
          <w:tcPr>
            <w:tcW w:w="1235" w:type="dxa"/>
            <w:noWrap w:val="0"/>
            <w:vAlign w:val="center"/>
          </w:tcPr>
          <w:p w14:paraId="09ED7906">
            <w:pPr>
              <w:snapToGrid w:val="0"/>
              <w:spacing w:line="400" w:lineRule="exact"/>
              <w:jc w:val="center"/>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lang w:val="en-US" w:eastAsia="zh-CN"/>
              </w:rPr>
              <w:t>/</w:t>
            </w:r>
          </w:p>
        </w:tc>
        <w:tc>
          <w:tcPr>
            <w:tcW w:w="1513" w:type="dxa"/>
            <w:noWrap w:val="0"/>
            <w:vAlign w:val="center"/>
          </w:tcPr>
          <w:p w14:paraId="339E3A1F">
            <w:pPr>
              <w:spacing w:line="360" w:lineRule="exact"/>
              <w:jc w:val="center"/>
              <w:rPr>
                <w:rFonts w:hint="eastAsia" w:ascii="宋体" w:hAnsi="宋体" w:eastAsia="宋体" w:cs="宋体"/>
                <w:color w:val="auto"/>
                <w:sz w:val="24"/>
                <w:szCs w:val="24"/>
                <w:highlight w:val="none"/>
              </w:rPr>
            </w:pPr>
          </w:p>
        </w:tc>
        <w:tc>
          <w:tcPr>
            <w:tcW w:w="2679" w:type="dxa"/>
            <w:noWrap w:val="0"/>
            <w:vAlign w:val="center"/>
          </w:tcPr>
          <w:p w14:paraId="6AFA321E">
            <w:pPr>
              <w:spacing w:line="360" w:lineRule="exact"/>
              <w:jc w:val="left"/>
              <w:rPr>
                <w:rFonts w:hint="eastAsia" w:ascii="宋体" w:hAnsi="宋体" w:eastAsia="宋体" w:cs="宋体"/>
                <w:color w:val="auto"/>
                <w:sz w:val="24"/>
                <w:szCs w:val="24"/>
                <w:highlight w:val="none"/>
              </w:rPr>
            </w:pPr>
          </w:p>
        </w:tc>
      </w:tr>
    </w:tbl>
    <w:p w14:paraId="6D2F41D5">
      <w:pPr>
        <w:rPr>
          <w:rFonts w:hint="eastAsia" w:ascii="宋体" w:hAnsi="宋体" w:eastAsia="宋体" w:cs="宋体"/>
          <w:color w:val="auto"/>
          <w:sz w:val="24"/>
          <w:szCs w:val="24"/>
          <w:highlight w:val="none"/>
        </w:rPr>
      </w:pPr>
    </w:p>
    <w:p w14:paraId="771340FF">
      <w:pPr>
        <w:tabs>
          <w:tab w:val="left" w:pos="3808"/>
        </w:tabs>
        <w:spacing w:line="360" w:lineRule="auto"/>
        <w:ind w:firstLine="482" w:firstLineChars="20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备注：投标报价及报价</w:t>
      </w:r>
      <w:r>
        <w:rPr>
          <w:rFonts w:hint="eastAsia" w:ascii="宋体" w:hAnsi="宋体" w:eastAsia="宋体" w:cs="宋体"/>
          <w:b/>
          <w:color w:val="auto"/>
          <w:szCs w:val="24"/>
          <w:highlight w:val="none"/>
          <w:lang w:val="en-US" w:eastAsia="zh-CN"/>
        </w:rPr>
        <w:t>费</w:t>
      </w:r>
      <w:r>
        <w:rPr>
          <w:rFonts w:hint="eastAsia" w:ascii="宋体" w:hAnsi="宋体" w:eastAsia="宋体" w:cs="宋体"/>
          <w:b/>
          <w:color w:val="auto"/>
          <w:szCs w:val="24"/>
          <w:highlight w:val="none"/>
        </w:rPr>
        <w:t>率均保留至小数点后两位。</w:t>
      </w:r>
    </w:p>
    <w:p w14:paraId="403ECD09">
      <w:pPr>
        <w:pStyle w:val="6"/>
        <w:ind w:firstLine="0"/>
        <w:rPr>
          <w:rFonts w:hint="eastAsia" w:ascii="宋体" w:hAnsi="宋体" w:eastAsia="宋体" w:cs="宋体"/>
          <w:snapToGrid w:val="0"/>
          <w:color w:val="auto"/>
          <w:sz w:val="24"/>
          <w:szCs w:val="24"/>
          <w:highlight w:val="none"/>
        </w:rPr>
      </w:pPr>
    </w:p>
    <w:p w14:paraId="768CD89C">
      <w:pPr>
        <w:wordWrap w:val="0"/>
        <w:adjustRightInd w:val="0"/>
        <w:snapToGrid w:val="0"/>
        <w:spacing w:line="276" w:lineRule="auto"/>
        <w:jc w:val="right"/>
        <w:rPr>
          <w:rFonts w:hint="eastAsia" w:ascii="宋体" w:hAnsi="宋体" w:eastAsia="宋体" w:cs="宋体"/>
          <w:snapToGrid w:val="0"/>
          <w:color w:val="auto"/>
          <w:kern w:val="0"/>
          <w:szCs w:val="24"/>
          <w:highlight w:val="none"/>
        </w:rPr>
      </w:pPr>
    </w:p>
    <w:p w14:paraId="608E468B">
      <w:pPr>
        <w:bidi w:val="0"/>
        <w:rPr>
          <w:rFonts w:hint="eastAsia" w:ascii="宋体" w:hAnsi="宋体" w:eastAsia="宋体" w:cs="宋体"/>
          <w:color w:val="auto"/>
        </w:rPr>
      </w:pPr>
    </w:p>
    <w:p w14:paraId="5C77028A">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4671DA5B">
      <w:pPr>
        <w:wordWrap w:val="0"/>
        <w:adjustRightInd w:val="0"/>
        <w:snapToGrid w:val="0"/>
        <w:spacing w:line="276" w:lineRule="auto"/>
        <w:jc w:val="right"/>
        <w:rPr>
          <w:rFonts w:hint="eastAsia" w:ascii="宋体" w:hAnsi="宋体" w:eastAsia="宋体" w:cs="宋体"/>
          <w:snapToGrid w:val="0"/>
          <w:color w:val="auto"/>
          <w:kern w:val="0"/>
          <w:sz w:val="24"/>
          <w:szCs w:val="24"/>
          <w:highlight w:val="none"/>
        </w:rPr>
      </w:pPr>
    </w:p>
    <w:p w14:paraId="2FC3F70C">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53234E9">
      <w:pPr>
        <w:wordWrap w:val="0"/>
        <w:adjustRightInd w:val="0"/>
        <w:snapToGrid w:val="0"/>
        <w:spacing w:line="276" w:lineRule="auto"/>
        <w:ind w:firstLine="480" w:firstLineChars="200"/>
        <w:jc w:val="right"/>
        <w:rPr>
          <w:rFonts w:hint="eastAsia" w:ascii="宋体" w:hAnsi="宋体" w:eastAsia="宋体" w:cs="宋体"/>
          <w:snapToGrid w:val="0"/>
          <w:color w:val="auto"/>
          <w:kern w:val="0"/>
          <w:sz w:val="24"/>
          <w:szCs w:val="24"/>
          <w:highlight w:val="none"/>
        </w:rPr>
      </w:pPr>
    </w:p>
    <w:p w14:paraId="589DA967">
      <w:pPr>
        <w:spacing w:line="276" w:lineRule="auto"/>
        <w:rPr>
          <w:rFonts w:hint="eastAsia" w:ascii="宋体" w:hAnsi="宋体" w:eastAsia="宋体" w:cs="宋体"/>
          <w:color w:val="auto"/>
          <w:szCs w:val="24"/>
          <w:highlight w:val="none"/>
        </w:rPr>
        <w:sectPr>
          <w:endnotePr>
            <w:numFmt w:val="decimal"/>
          </w:endnotePr>
          <w:pgSz w:w="11906" w:h="16838"/>
          <w:pgMar w:top="1134" w:right="1134" w:bottom="1134" w:left="1134" w:header="567" w:footer="567" w:gutter="0"/>
          <w:pgNumType w:fmt="decimal"/>
          <w:cols w:space="720" w:num="1"/>
          <w:docGrid w:linePitch="327" w:charSpace="0"/>
        </w:sect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2D78A92">
      <w:pPr>
        <w:pStyle w:val="3"/>
        <w:spacing w:before="120"/>
        <w:rPr>
          <w:rStyle w:val="60"/>
          <w:rFonts w:hint="eastAsia" w:ascii="宋体" w:hAnsi="宋体" w:eastAsia="宋体" w:cs="宋体"/>
          <w:color w:val="auto"/>
          <w:sz w:val="24"/>
          <w:szCs w:val="24"/>
          <w:highlight w:val="none"/>
        </w:rPr>
      </w:pPr>
      <w:bookmarkStart w:id="321" w:name="_Toc919"/>
      <w:bookmarkStart w:id="322" w:name="_Toc20987"/>
      <w:bookmarkStart w:id="323" w:name="_Toc28529"/>
      <w:bookmarkStart w:id="324" w:name="_Toc12608"/>
      <w:bookmarkStart w:id="325" w:name="_Toc32555"/>
      <w:bookmarkStart w:id="326" w:name="_Toc21928"/>
      <w:bookmarkStart w:id="327" w:name="_Toc1017"/>
      <w:r>
        <w:rPr>
          <w:rStyle w:val="60"/>
          <w:rFonts w:hint="eastAsia" w:ascii="宋体" w:hAnsi="宋体" w:eastAsia="宋体" w:cs="宋体"/>
          <w:color w:val="auto"/>
          <w:sz w:val="24"/>
          <w:szCs w:val="24"/>
          <w:highlight w:val="none"/>
        </w:rPr>
        <w:t>格式三 各项</w:t>
      </w:r>
      <w:r>
        <w:rPr>
          <w:rFonts w:hint="eastAsia" w:ascii="宋体" w:hAnsi="宋体" w:eastAsia="宋体" w:cs="宋体"/>
          <w:b/>
          <w:bCs/>
          <w:color w:val="auto"/>
          <w:szCs w:val="24"/>
          <w:highlight w:val="none"/>
        </w:rPr>
        <w:t>承诺</w:t>
      </w:r>
      <w:r>
        <w:rPr>
          <w:rStyle w:val="60"/>
          <w:rFonts w:hint="eastAsia" w:ascii="宋体" w:hAnsi="宋体" w:eastAsia="宋体" w:cs="宋体"/>
          <w:color w:val="auto"/>
          <w:sz w:val="24"/>
          <w:szCs w:val="24"/>
          <w:highlight w:val="none"/>
        </w:rPr>
        <w:t>一览表</w:t>
      </w:r>
      <w:bookmarkEnd w:id="316"/>
      <w:bookmarkEnd w:id="317"/>
      <w:bookmarkEnd w:id="321"/>
      <w:bookmarkEnd w:id="322"/>
      <w:bookmarkEnd w:id="323"/>
      <w:bookmarkEnd w:id="324"/>
    </w:p>
    <w:bookmarkEnd w:id="325"/>
    <w:bookmarkEnd w:id="326"/>
    <w:bookmarkEnd w:id="327"/>
    <w:p w14:paraId="7DCB96BC">
      <w:pPr>
        <w:spacing w:line="480" w:lineRule="auto"/>
        <w:jc w:val="center"/>
        <w:rPr>
          <w:rFonts w:hint="eastAsia" w:ascii="宋体" w:hAnsi="宋体" w:eastAsia="宋体" w:cs="宋体"/>
          <w:b/>
          <w:bCs/>
          <w:color w:val="auto"/>
          <w:szCs w:val="24"/>
          <w:highlight w:val="none"/>
        </w:rPr>
      </w:pPr>
      <w:bookmarkStart w:id="328" w:name="_Toc30877"/>
      <w:bookmarkStart w:id="329" w:name="_Toc20729"/>
      <w:bookmarkStart w:id="330" w:name="_Toc21521"/>
      <w:bookmarkStart w:id="331" w:name="_Toc39136365"/>
      <w:bookmarkStart w:id="332" w:name="_Toc31113"/>
      <w:bookmarkStart w:id="333" w:name="_Toc18136"/>
      <w:bookmarkStart w:id="334" w:name="_Toc15279"/>
      <w:bookmarkStart w:id="335" w:name="_Toc16438"/>
      <w:r>
        <w:rPr>
          <w:rFonts w:hint="eastAsia" w:ascii="宋体" w:hAnsi="宋体" w:eastAsia="宋体" w:cs="宋体"/>
          <w:b/>
          <w:bCs/>
          <w:color w:val="auto"/>
          <w:szCs w:val="24"/>
          <w:highlight w:val="none"/>
        </w:rPr>
        <w:t>各项承诺一览表</w:t>
      </w:r>
      <w:bookmarkEnd w:id="328"/>
      <w:bookmarkEnd w:id="329"/>
      <w:bookmarkEnd w:id="330"/>
      <w:bookmarkEnd w:id="331"/>
    </w:p>
    <w:bookmarkEnd w:id="332"/>
    <w:bookmarkEnd w:id="333"/>
    <w:bookmarkEnd w:id="334"/>
    <w:bookmarkEnd w:id="335"/>
    <w:tbl>
      <w:tblPr>
        <w:tblStyle w:val="25"/>
        <w:tblW w:w="10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7"/>
        <w:gridCol w:w="1133"/>
        <w:gridCol w:w="3166"/>
        <w:gridCol w:w="5529"/>
      </w:tblGrid>
      <w:tr w14:paraId="2D2F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val="0"/>
            <w:vAlign w:val="top"/>
          </w:tcPr>
          <w:p w14:paraId="5C99FE2B">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33" w:type="dxa"/>
            <w:noWrap w:val="0"/>
            <w:vAlign w:val="top"/>
          </w:tcPr>
          <w:p w14:paraId="5863A93D">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承诺标题</w:t>
            </w:r>
          </w:p>
        </w:tc>
        <w:tc>
          <w:tcPr>
            <w:tcW w:w="3166" w:type="dxa"/>
            <w:noWrap w:val="0"/>
            <w:vAlign w:val="top"/>
          </w:tcPr>
          <w:p w14:paraId="2F710DC2">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承诺内容</w:t>
            </w:r>
          </w:p>
        </w:tc>
        <w:tc>
          <w:tcPr>
            <w:tcW w:w="5529" w:type="dxa"/>
            <w:tcBorders>
              <w:bottom w:val="single" w:color="auto" w:sz="4" w:space="0"/>
            </w:tcBorders>
            <w:noWrap w:val="0"/>
            <w:vAlign w:val="top"/>
          </w:tcPr>
          <w:p w14:paraId="23CD7E61">
            <w:pPr>
              <w:pStyle w:val="36"/>
              <w:spacing w:line="3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违约承诺</w:t>
            </w:r>
          </w:p>
        </w:tc>
      </w:tr>
      <w:tr w14:paraId="0B56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118EE045">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33" w:type="dxa"/>
            <w:noWrap w:val="0"/>
            <w:vAlign w:val="center"/>
          </w:tcPr>
          <w:p w14:paraId="73CC8F17">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对招标文件条款自愿接受承诺书</w:t>
            </w:r>
          </w:p>
        </w:tc>
        <w:tc>
          <w:tcPr>
            <w:tcW w:w="3166" w:type="dxa"/>
            <w:noWrap w:val="0"/>
            <w:vAlign w:val="center"/>
          </w:tcPr>
          <w:p w14:paraId="2E0C4B99">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我方保证接受招标文件的所有条款，响应招标文件的</w:t>
            </w:r>
            <w:bookmarkStart w:id="336" w:name="_Hlt66510765"/>
            <w:bookmarkEnd w:id="336"/>
            <w:r>
              <w:rPr>
                <w:rFonts w:hint="eastAsia" w:ascii="宋体" w:hAnsi="宋体" w:eastAsia="宋体" w:cs="宋体"/>
                <w:color w:val="auto"/>
                <w:sz w:val="21"/>
                <w:szCs w:val="21"/>
                <w:highlight w:val="none"/>
              </w:rPr>
              <w:t>所有要求，并同意招标文件为施工承包合同的组成部分</w:t>
            </w:r>
          </w:p>
        </w:tc>
        <w:tc>
          <w:tcPr>
            <w:tcW w:w="5529" w:type="dxa"/>
            <w:tcBorders>
              <w:tr2bl w:val="single" w:color="auto" w:sz="4" w:space="0"/>
            </w:tcBorders>
            <w:noWrap w:val="0"/>
            <w:vAlign w:val="center"/>
          </w:tcPr>
          <w:p w14:paraId="123EEF3C">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p>
        </w:tc>
      </w:tr>
      <w:tr w14:paraId="042C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30755BB1">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33" w:type="dxa"/>
            <w:noWrap w:val="0"/>
            <w:vAlign w:val="center"/>
          </w:tcPr>
          <w:p w14:paraId="6974259B">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履约保证金承诺书</w:t>
            </w:r>
          </w:p>
        </w:tc>
        <w:tc>
          <w:tcPr>
            <w:tcW w:w="3166" w:type="dxa"/>
            <w:noWrap w:val="0"/>
            <w:vAlign w:val="center"/>
          </w:tcPr>
          <w:p w14:paraId="3DF51CC5">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我方保证按时缴纳全部履约保证金</w:t>
            </w:r>
            <w:bookmarkStart w:id="337" w:name="_Hlt104711307"/>
            <w:bookmarkEnd w:id="337"/>
          </w:p>
        </w:tc>
        <w:tc>
          <w:tcPr>
            <w:tcW w:w="5529" w:type="dxa"/>
            <w:noWrap w:val="0"/>
            <w:vAlign w:val="center"/>
          </w:tcPr>
          <w:p w14:paraId="626F533A">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65A1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0" w:hRule="atLeast"/>
          <w:jc w:val="center"/>
        </w:trPr>
        <w:tc>
          <w:tcPr>
            <w:tcW w:w="617" w:type="dxa"/>
            <w:noWrap w:val="0"/>
            <w:vAlign w:val="center"/>
          </w:tcPr>
          <w:p w14:paraId="44FF8E78">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33" w:type="dxa"/>
            <w:noWrap w:val="0"/>
            <w:vAlign w:val="center"/>
          </w:tcPr>
          <w:p w14:paraId="1D93AA6A">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工期、进度承诺书</w:t>
            </w:r>
          </w:p>
        </w:tc>
        <w:tc>
          <w:tcPr>
            <w:tcW w:w="3166" w:type="dxa"/>
            <w:noWrap w:val="0"/>
            <w:vAlign w:val="center"/>
          </w:tcPr>
          <w:p w14:paraId="083FFB70">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rPr>
              <w:t>日历天内（其中：设计工期为：</w:t>
            </w:r>
            <w:r>
              <w:rPr>
                <w:rFonts w:hint="eastAsia" w:ascii="宋体" w:hAnsi="宋体" w:eastAsia="宋体" w:cs="宋体"/>
                <w:color w:val="auto"/>
                <w:sz w:val="21"/>
                <w:szCs w:val="21"/>
                <w:highlight w:val="none"/>
                <w:u w:val="single"/>
                <w:lang w:val="en-US" w:eastAsia="zh-CN"/>
              </w:rPr>
              <w:t>20</w:t>
            </w:r>
            <w:r>
              <w:rPr>
                <w:rFonts w:hint="eastAsia" w:ascii="宋体" w:hAnsi="宋体" w:eastAsia="宋体" w:cs="宋体"/>
                <w:color w:val="auto"/>
                <w:sz w:val="21"/>
                <w:szCs w:val="21"/>
                <w:highlight w:val="none"/>
              </w:rPr>
              <w:t>日历天；施工工期为：</w:t>
            </w:r>
            <w:r>
              <w:rPr>
                <w:rFonts w:hint="eastAsia" w:ascii="宋体" w:hAnsi="宋体" w:eastAsia="宋体" w:cs="宋体"/>
                <w:color w:val="auto"/>
                <w:sz w:val="21"/>
                <w:szCs w:val="21"/>
                <w:highlight w:val="none"/>
                <w:u w:val="single"/>
                <w:lang w:val="en-US" w:eastAsia="zh-CN"/>
              </w:rPr>
              <w:t>40</w:t>
            </w:r>
            <w:r>
              <w:rPr>
                <w:rFonts w:hint="eastAsia" w:ascii="宋体" w:hAnsi="宋体" w:eastAsia="宋体" w:cs="宋体"/>
                <w:color w:val="auto"/>
                <w:sz w:val="21"/>
                <w:szCs w:val="21"/>
                <w:highlight w:val="none"/>
              </w:rPr>
              <w:t>日历天内）完成工程设计、施工并通过竣工验收。</w:t>
            </w:r>
          </w:p>
          <w:p w14:paraId="0716899F">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我方保证各分部、分项工程的施工进度按我方投标文件中的施工进度计划完成施工任务。</w:t>
            </w:r>
          </w:p>
        </w:tc>
        <w:tc>
          <w:tcPr>
            <w:tcW w:w="5529" w:type="dxa"/>
            <w:noWrap w:val="0"/>
            <w:vAlign w:val="center"/>
          </w:tcPr>
          <w:p w14:paraId="1FBE5E5B">
            <w:pPr>
              <w:pStyle w:val="9"/>
              <w:keepNext w:val="0"/>
              <w:keepLines w:val="0"/>
              <w:pageBreakBefore w:val="0"/>
              <w:widowControl w:val="0"/>
              <w:kinsoku/>
              <w:overflowPunct/>
              <w:topLinePunct w:val="0"/>
              <w:autoSpaceDE/>
              <w:autoSpaceDN/>
              <w:bidi w:val="0"/>
              <w:spacing w:line="36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若因我方原因，没有按期完成设计任务、工程没有按期竣工时，我方在逾期第壹天起每天分别按设计、施工合同价款的</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向招标人缴纳逾期违约金，分别累计最高不超过设计、施工合同价款的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%向招标人缴纳逾期违约金。</w:t>
            </w:r>
          </w:p>
          <w:p w14:paraId="10D9F9B7">
            <w:pPr>
              <w:pStyle w:val="9"/>
              <w:keepNext w:val="0"/>
              <w:keepLines w:val="0"/>
              <w:pageBreakBefore w:val="0"/>
              <w:widowControl w:val="0"/>
              <w:kinsoku/>
              <w:overflowPunct/>
              <w:topLinePunct w:val="0"/>
              <w:autoSpaceDE/>
              <w:autoSpaceDN/>
              <w:bidi w:val="0"/>
              <w:spacing w:line="36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若因我方原因，各分部、分项工程的施工进度未能按我方投标文件中的施工进度计划完成施工任务，延期达到30日历天，招标人有权终止合同。我方愿意承担所有由此引起的责任及经济损失。</w:t>
            </w:r>
          </w:p>
        </w:tc>
      </w:tr>
      <w:tr w14:paraId="4677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617" w:type="dxa"/>
            <w:noWrap w:val="0"/>
            <w:vAlign w:val="center"/>
          </w:tcPr>
          <w:p w14:paraId="45747913">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133" w:type="dxa"/>
            <w:noWrap w:val="0"/>
            <w:vAlign w:val="center"/>
          </w:tcPr>
          <w:p w14:paraId="1914890B">
            <w:pPr>
              <w:pStyle w:val="62"/>
              <w:spacing w:line="380" w:lineRule="exact"/>
              <w:ind w:firstLine="0" w:firstLineChars="0"/>
              <w:rPr>
                <w:rFonts w:hint="eastAsia" w:ascii="宋体" w:hAnsi="宋体" w:eastAsia="宋体" w:cs="宋体"/>
                <w:color w:val="auto"/>
                <w:sz w:val="21"/>
                <w:szCs w:val="21"/>
                <w:highlight w:val="none"/>
              </w:rPr>
            </w:pPr>
            <w:bookmarkStart w:id="338" w:name="_Hlt98038044"/>
            <w:r>
              <w:rPr>
                <w:rFonts w:hint="eastAsia" w:ascii="宋体" w:hAnsi="宋体" w:eastAsia="宋体" w:cs="宋体"/>
                <w:color w:val="auto"/>
                <w:sz w:val="21"/>
                <w:szCs w:val="21"/>
                <w:highlight w:val="none"/>
              </w:rPr>
              <w:t>安全、文明施工承诺</w:t>
            </w:r>
            <w:bookmarkEnd w:id="338"/>
            <w:r>
              <w:rPr>
                <w:rFonts w:hint="eastAsia" w:ascii="宋体" w:hAnsi="宋体" w:eastAsia="宋体" w:cs="宋体"/>
                <w:color w:val="auto"/>
                <w:sz w:val="21"/>
                <w:szCs w:val="21"/>
                <w:highlight w:val="none"/>
              </w:rPr>
              <w:t>书</w:t>
            </w:r>
          </w:p>
        </w:tc>
        <w:tc>
          <w:tcPr>
            <w:tcW w:w="3166" w:type="dxa"/>
            <w:noWrap w:val="0"/>
            <w:vAlign w:val="center"/>
          </w:tcPr>
          <w:p w14:paraId="05905AF3">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我方保证在施工期间严格遵守国家、省、市有关安全、文明施工规定，确保施工安全和第三者的安全，根据施工现场情况保证绿色施工安全防护措施费投入。</w:t>
            </w:r>
          </w:p>
        </w:tc>
        <w:tc>
          <w:tcPr>
            <w:tcW w:w="5529" w:type="dxa"/>
            <w:noWrap w:val="0"/>
            <w:vAlign w:val="center"/>
          </w:tcPr>
          <w:p w14:paraId="19C0D1BE">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若因我方原因，在施工期间发生安全事故，造成施工人员或第三者的伤亡，我方愿意承担由此造成的一切经济损失和法律责任。</w:t>
            </w:r>
          </w:p>
          <w:p w14:paraId="73DB8097">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若我方在施工中发生一般事故及以上等级生产安全事故，可扣除相当于所有“绿色施工安全防护措施费”的管理费。</w:t>
            </w:r>
          </w:p>
        </w:tc>
      </w:tr>
      <w:tr w14:paraId="65F0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30" w:hRule="atLeast"/>
          <w:jc w:val="center"/>
        </w:trPr>
        <w:tc>
          <w:tcPr>
            <w:tcW w:w="617" w:type="dxa"/>
            <w:noWrap w:val="0"/>
            <w:vAlign w:val="center"/>
          </w:tcPr>
          <w:p w14:paraId="7B9E3028">
            <w:pPr>
              <w:pStyle w:val="50"/>
              <w:wordWrap w:val="0"/>
              <w:adjustRightInd w:val="0"/>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5</w:t>
            </w:r>
          </w:p>
        </w:tc>
        <w:tc>
          <w:tcPr>
            <w:tcW w:w="1133" w:type="dxa"/>
            <w:noWrap w:val="0"/>
            <w:vAlign w:val="center"/>
          </w:tcPr>
          <w:p w14:paraId="76BF7473">
            <w:pPr>
              <w:pStyle w:val="62"/>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69A64316">
            <w:pPr>
              <w:pStyle w:val="62"/>
              <w:wordWrap w:val="0"/>
              <w:adjustRightInd w:val="0"/>
              <w:snapToGrid w:val="0"/>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任职承诺</w:t>
            </w:r>
          </w:p>
        </w:tc>
        <w:tc>
          <w:tcPr>
            <w:tcW w:w="3166" w:type="dxa"/>
            <w:noWrap w:val="0"/>
            <w:vAlign w:val="center"/>
          </w:tcPr>
          <w:p w14:paraId="75FD4A49">
            <w:pPr>
              <w:pStyle w:val="62"/>
              <w:keepNext w:val="0"/>
              <w:keepLines w:val="0"/>
              <w:pageBreakBefore w:val="0"/>
              <w:widowControl w:val="0"/>
              <w:kinsoku/>
              <w:wordWrap w:val="0"/>
              <w:overflowPunct/>
              <w:topLinePunct w:val="0"/>
              <w:autoSpaceDE/>
              <w:autoSpaceDN/>
              <w:bidi w:val="0"/>
              <w:adjustRightInd w:val="0"/>
              <w:snapToGrid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我方拟派项目经理现阶段没有担任任何在施（包括已中标或已签订合同未开工、已开工未竣工、已建成未竣工）建设工程项目的项目经理。</w:t>
            </w:r>
          </w:p>
        </w:tc>
        <w:tc>
          <w:tcPr>
            <w:tcW w:w="5529" w:type="dxa"/>
            <w:noWrap w:val="0"/>
            <w:vAlign w:val="center"/>
          </w:tcPr>
          <w:p w14:paraId="4A514502">
            <w:pPr>
              <w:pStyle w:val="62"/>
              <w:keepNext w:val="0"/>
              <w:keepLines w:val="0"/>
              <w:pageBreakBefore w:val="0"/>
              <w:widowControl w:val="0"/>
              <w:kinsoku/>
              <w:wordWrap w:val="0"/>
              <w:overflowPunct/>
              <w:topLinePunct w:val="0"/>
              <w:autoSpaceDE/>
              <w:autoSpaceDN/>
              <w:bidi w:val="0"/>
              <w:adjustRightInd w:val="0"/>
              <w:snapToGrid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如果我方拟派项目经理在本工程招标投标活动期间有担任其他任何在施（包括已中标或已签订合同未开工、已开工未竣工、已建成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6CE7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617" w:type="dxa"/>
            <w:noWrap w:val="0"/>
            <w:vAlign w:val="center"/>
          </w:tcPr>
          <w:p w14:paraId="3FD7EBAE">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133" w:type="dxa"/>
            <w:noWrap w:val="0"/>
            <w:vAlign w:val="center"/>
          </w:tcPr>
          <w:p w14:paraId="28AC8E7D">
            <w:pPr>
              <w:pStyle w:val="62"/>
              <w:spacing w:line="38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质量承诺书</w:t>
            </w:r>
          </w:p>
        </w:tc>
        <w:tc>
          <w:tcPr>
            <w:tcW w:w="3166" w:type="dxa"/>
            <w:noWrap w:val="0"/>
            <w:vAlign w:val="center"/>
          </w:tcPr>
          <w:p w14:paraId="07700263">
            <w:pPr>
              <w:pStyle w:val="36"/>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我方保证按照现行的国家和广东省的有关施工技术规范及现行标准，达</w:t>
            </w:r>
            <w:bookmarkStart w:id="339" w:name="_Hlt112573700"/>
            <w:bookmarkEnd w:id="339"/>
            <w:r>
              <w:rPr>
                <w:rFonts w:hint="eastAsia" w:ascii="宋体" w:hAnsi="宋体" w:eastAsia="宋体" w:cs="宋体"/>
                <w:color w:val="auto"/>
                <w:sz w:val="21"/>
                <w:szCs w:val="21"/>
                <w:highlight w:val="none"/>
              </w:rPr>
              <w:t>到合格标准。</w:t>
            </w:r>
          </w:p>
          <w:p w14:paraId="44DE4D58">
            <w:pPr>
              <w:pStyle w:val="36"/>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p>
        </w:tc>
        <w:tc>
          <w:tcPr>
            <w:tcW w:w="5529" w:type="dxa"/>
            <w:noWrap w:val="0"/>
            <w:vAlign w:val="center"/>
          </w:tcPr>
          <w:p w14:paraId="1B7A399B">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若因我方原因，工程在竣工验收或分部分项工程验收时没有达到合格标准</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我方每次（每分部每分项次）验收检查时按</w:t>
            </w:r>
            <w:r>
              <w:rPr>
                <w:rFonts w:hint="eastAsia" w:ascii="宋体" w:hAnsi="宋体" w:eastAsia="宋体" w:cs="宋体"/>
                <w:color w:val="auto"/>
                <w:sz w:val="21"/>
                <w:szCs w:val="21"/>
                <w:highlight w:val="none"/>
              </w:rPr>
              <w:t>合同价款的</w:t>
            </w:r>
            <w:r>
              <w:rPr>
                <w:rFonts w:hint="eastAsia" w:ascii="宋体" w:hAnsi="宋体" w:eastAsia="宋体" w:cs="宋体"/>
                <w:color w:val="auto"/>
                <w:sz w:val="21"/>
                <w:szCs w:val="21"/>
                <w:highlight w:val="none"/>
                <w:u w:val="single"/>
              </w:rPr>
              <w:t>1％</w:t>
            </w:r>
            <w:r>
              <w:rPr>
                <w:rFonts w:hint="eastAsia" w:ascii="宋体" w:hAnsi="宋体" w:eastAsia="宋体" w:cs="宋体"/>
                <w:color w:val="auto"/>
                <w:sz w:val="21"/>
                <w:szCs w:val="21"/>
                <w:highlight w:val="none"/>
              </w:rPr>
              <w:t>向招标人缴纳质量违约金。并达到合格标准为止，同时承担所有的责任及经济损失。</w:t>
            </w:r>
          </w:p>
          <w:p w14:paraId="64C86012">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在建设或监理</w:t>
            </w:r>
            <w:r>
              <w:rPr>
                <w:rFonts w:hint="eastAsia" w:ascii="宋体" w:hAnsi="宋体" w:eastAsia="宋体" w:cs="宋体"/>
                <w:color w:val="auto"/>
                <w:sz w:val="21"/>
                <w:szCs w:val="21"/>
                <w:highlight w:val="none"/>
                <w:lang w:eastAsia="zh-CN"/>
              </w:rPr>
              <w:t>单位</w:t>
            </w:r>
            <w:r>
              <w:rPr>
                <w:rFonts w:hint="eastAsia" w:ascii="宋体" w:hAnsi="宋体" w:eastAsia="宋体" w:cs="宋体"/>
                <w:color w:val="auto"/>
                <w:sz w:val="21"/>
                <w:szCs w:val="21"/>
                <w:highlight w:val="none"/>
              </w:rPr>
              <w:t>组织的质量检查中，一次一个分项工程实测或其他项、程序不合格不符合要求的，一次向建设单位交纳质量违约金¥1000元/次项，分部工程不合格的一次、一个分部向建设（委托）单位交纳违约金¥2000元/次、项；</w:t>
            </w:r>
          </w:p>
          <w:p w14:paraId="434859DD">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7CC1E552">
            <w:pPr>
              <w:pStyle w:val="64"/>
              <w:keepNext w:val="0"/>
              <w:keepLines w:val="0"/>
              <w:pageBreakBefore w:val="0"/>
              <w:widowControl w:val="0"/>
              <w:kinsoku/>
              <w:overflowPunct/>
              <w:topLinePunct w:val="0"/>
              <w:autoSpaceDE/>
              <w:autoSpaceDN/>
              <w:bidi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未能在限期内完成质量安全隐患整改的，每逾期一天，向建设单位交纳罚金¥1000元；</w:t>
            </w:r>
          </w:p>
          <w:p w14:paraId="0D173B91">
            <w:pPr>
              <w:pStyle w:val="64"/>
              <w:keepNext w:val="0"/>
              <w:keepLines w:val="0"/>
              <w:pageBreakBefore w:val="0"/>
              <w:widowControl w:val="0"/>
              <w:kinsoku/>
              <w:overflowPunct/>
              <w:topLinePunct w:val="0"/>
              <w:autoSpaceDE/>
              <w:autoSpaceDN/>
              <w:bidi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未按规定委派专业人员参加检验批、分部分项工程验收，不及时签署验收记录的，一次向建设（委托）单位交纳违约金¥2000元/次、项；</w:t>
            </w:r>
          </w:p>
          <w:p w14:paraId="3BFF6772">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不按规定委派相关人员参加项目竣工验收的，一次向建设单位交纳违约金¥50000元/项，不签署意见的交纳违约金¥50000元。</w:t>
            </w:r>
          </w:p>
        </w:tc>
      </w:tr>
      <w:tr w14:paraId="2253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617" w:type="dxa"/>
            <w:noWrap w:val="0"/>
            <w:vAlign w:val="center"/>
          </w:tcPr>
          <w:p w14:paraId="03EDCCA4">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133" w:type="dxa"/>
            <w:noWrap w:val="0"/>
            <w:vAlign w:val="center"/>
          </w:tcPr>
          <w:p w14:paraId="0E4B4CC0">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账户承诺</w:t>
            </w:r>
          </w:p>
        </w:tc>
        <w:tc>
          <w:tcPr>
            <w:tcW w:w="3166" w:type="dxa"/>
            <w:noWrap w:val="0"/>
            <w:vAlign w:val="center"/>
          </w:tcPr>
          <w:p w14:paraId="692B83B0">
            <w:pPr>
              <w:pStyle w:val="36"/>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我方保证招标人的资金随时可划入合同中规</w:t>
            </w:r>
            <w:bookmarkStart w:id="340" w:name="_Hlt127094672"/>
            <w:bookmarkEnd w:id="340"/>
            <w:r>
              <w:rPr>
                <w:rFonts w:hint="eastAsia" w:ascii="宋体" w:hAnsi="宋体" w:eastAsia="宋体" w:cs="宋体"/>
                <w:color w:val="auto"/>
                <w:spacing w:val="-2"/>
                <w:sz w:val="21"/>
                <w:szCs w:val="21"/>
                <w:highlight w:val="none"/>
              </w:rPr>
              <w:t>定的我方</w:t>
            </w:r>
            <w:r>
              <w:rPr>
                <w:rFonts w:hint="eastAsia" w:ascii="宋体" w:hAnsi="宋体" w:eastAsia="宋体" w:cs="宋体"/>
                <w:color w:val="auto"/>
                <w:sz w:val="21"/>
                <w:szCs w:val="21"/>
                <w:highlight w:val="none"/>
              </w:rPr>
              <w:t>账</w:t>
            </w:r>
            <w:r>
              <w:rPr>
                <w:rFonts w:hint="eastAsia" w:ascii="宋体" w:hAnsi="宋体" w:eastAsia="宋体" w:cs="宋体"/>
                <w:color w:val="auto"/>
                <w:spacing w:val="-2"/>
                <w:sz w:val="21"/>
                <w:szCs w:val="21"/>
                <w:highlight w:val="none"/>
              </w:rPr>
              <w:t>户。</w:t>
            </w:r>
          </w:p>
        </w:tc>
        <w:tc>
          <w:tcPr>
            <w:tcW w:w="5529" w:type="dxa"/>
            <w:noWrap w:val="0"/>
            <w:vAlign w:val="center"/>
          </w:tcPr>
          <w:p w14:paraId="5F1E0C6D">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若因我方原因造成招标人的资金无法划入合同中规定的我方</w:t>
            </w:r>
            <w:r>
              <w:rPr>
                <w:rFonts w:hint="eastAsia" w:ascii="宋体" w:hAnsi="宋体" w:eastAsia="宋体" w:cs="宋体"/>
                <w:color w:val="auto"/>
                <w:sz w:val="21"/>
                <w:szCs w:val="21"/>
                <w:highlight w:val="none"/>
              </w:rPr>
              <w:t>账</w:t>
            </w:r>
            <w:r>
              <w:rPr>
                <w:rFonts w:hint="eastAsia" w:ascii="宋体" w:hAnsi="宋体" w:eastAsia="宋体" w:cs="宋体"/>
                <w:color w:val="auto"/>
                <w:spacing w:val="-2"/>
                <w:sz w:val="21"/>
                <w:szCs w:val="21"/>
                <w:highlight w:val="none"/>
              </w:rPr>
              <w:t>户，如时间达到30日历天，招标人有权终止合同。我方承担由此造成的所有责任及经济损失。</w:t>
            </w:r>
          </w:p>
        </w:tc>
      </w:tr>
      <w:tr w14:paraId="453F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0"/>
            <w:vAlign w:val="center"/>
          </w:tcPr>
          <w:p w14:paraId="0939B495">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133" w:type="dxa"/>
            <w:noWrap w:val="0"/>
            <w:vAlign w:val="center"/>
          </w:tcPr>
          <w:p w14:paraId="007DE373">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工程的配合服务承诺</w:t>
            </w:r>
          </w:p>
        </w:tc>
        <w:tc>
          <w:tcPr>
            <w:tcW w:w="3166" w:type="dxa"/>
            <w:noWrap w:val="0"/>
            <w:vAlign w:val="center"/>
          </w:tcPr>
          <w:p w14:paraId="62336201">
            <w:pPr>
              <w:pStyle w:val="36"/>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我方服从业主管理，保证配合与工程承包范围内相关的其他标段（工种、分项）工程施工单位的工程施工，不提出额外增加费用的要求。</w:t>
            </w:r>
          </w:p>
        </w:tc>
        <w:tc>
          <w:tcPr>
            <w:tcW w:w="5529" w:type="dxa"/>
            <w:noWrap w:val="0"/>
            <w:vAlign w:val="center"/>
          </w:tcPr>
          <w:p w14:paraId="124BB998">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若因我方未及时配合与工程承包范围内相关的其他标段（工种、分项）工程施工单位的工程施工，给招标人或其他施工单位造成损失的，我方承担所有的责任及经济损失。</w:t>
            </w:r>
          </w:p>
        </w:tc>
      </w:tr>
      <w:tr w14:paraId="4920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9" w:hRule="atLeast"/>
          <w:jc w:val="center"/>
        </w:trPr>
        <w:tc>
          <w:tcPr>
            <w:tcW w:w="617" w:type="dxa"/>
            <w:noWrap w:val="0"/>
            <w:vAlign w:val="center"/>
          </w:tcPr>
          <w:p w14:paraId="27BEB7DA">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133" w:type="dxa"/>
            <w:noWrap w:val="0"/>
            <w:vAlign w:val="center"/>
          </w:tcPr>
          <w:p w14:paraId="2CAE870A">
            <w:pPr>
              <w:pStyle w:val="66"/>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中标人员承诺</w:t>
            </w:r>
          </w:p>
        </w:tc>
        <w:tc>
          <w:tcPr>
            <w:tcW w:w="3166" w:type="dxa"/>
            <w:noWrap w:val="0"/>
            <w:vAlign w:val="center"/>
          </w:tcPr>
          <w:p w14:paraId="3F91D485">
            <w:pPr>
              <w:pStyle w:val="66"/>
              <w:keepNext w:val="0"/>
              <w:keepLines w:val="0"/>
              <w:pageBreakBefore w:val="0"/>
              <w:widowControl w:val="0"/>
              <w:kinsoku/>
              <w:overflowPunct/>
              <w:topLinePunct w:val="0"/>
              <w:autoSpaceDE/>
              <w:autoSpaceDN/>
              <w:bidi w:val="0"/>
              <w:spacing w:line="30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我方保证投标文件中所拟派的中标人员全部配合施工现场管理施工。</w:t>
            </w:r>
          </w:p>
        </w:tc>
        <w:tc>
          <w:tcPr>
            <w:tcW w:w="5529" w:type="dxa"/>
            <w:noWrap w:val="0"/>
            <w:vAlign w:val="center"/>
          </w:tcPr>
          <w:p w14:paraId="34650B0F">
            <w:pPr>
              <w:pStyle w:val="67"/>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设计单位未能在招标人通知的时间内（提前一天通知，紧急情况随时通知）参加设计交底、处理有关设计问题、参加必要部位隐蔽验收和竣工验收等工作，每人次交纳违约金</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1000元。</w:t>
            </w:r>
          </w:p>
          <w:p w14:paraId="41D67AD6">
            <w:pPr>
              <w:pStyle w:val="67"/>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设计单位驻韶办公的项目负责人（即投标文件所拟派的项目负责人）必须负责本项目设计全过程（包括施工图设计审查、施工图设计修编、预算跟踪服务、图纸会审和技术交底）。项目负责人未准时参加上述环节工作的，每缺席一次交纳违约金</w:t>
            </w:r>
            <w:r>
              <w:rPr>
                <w:rFonts w:hint="eastAsia" w:ascii="宋体" w:hAnsi="宋体" w:eastAsia="宋体" w:cs="宋体"/>
                <w:color w:val="auto"/>
                <w:sz w:val="21"/>
                <w:szCs w:val="21"/>
                <w:highlight w:val="none"/>
              </w:rPr>
              <w:t>¥</w:t>
            </w:r>
            <w:r>
              <w:rPr>
                <w:rFonts w:hint="eastAsia" w:ascii="宋体" w:hAnsi="宋体" w:eastAsia="宋体" w:cs="宋体"/>
                <w:snapToGrid w:val="0"/>
                <w:color w:val="auto"/>
                <w:sz w:val="21"/>
                <w:szCs w:val="21"/>
                <w:highlight w:val="none"/>
              </w:rPr>
              <w:t>5000元（以招标人发出的违约通知为准）。</w:t>
            </w:r>
          </w:p>
          <w:p w14:paraId="489CFD83">
            <w:pPr>
              <w:pStyle w:val="67"/>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z w:val="21"/>
                <w:szCs w:val="21"/>
                <w:highlight w:val="none"/>
              </w:rPr>
              <w:t>设计单位应委派1名参与并熟悉本项目设计任务，有现场处理经验的设计代表常驻项目现场。中标人应为派驻现场的设计工作人员提供工作、生活及交通等方面的便利条件及准备必要的劳动保护装备。在正常施工阶段，每月应保证最少20天在现场。未经招标人书面许可，缺少1天向建设单位每人每天支付违约金¥2000元/天。</w:t>
            </w:r>
          </w:p>
        </w:tc>
      </w:tr>
      <w:tr w14:paraId="0707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9" w:hRule="atLeast"/>
          <w:jc w:val="center"/>
        </w:trPr>
        <w:tc>
          <w:tcPr>
            <w:tcW w:w="617" w:type="dxa"/>
            <w:noWrap w:val="0"/>
            <w:vAlign w:val="center"/>
          </w:tcPr>
          <w:p w14:paraId="284983AA">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133" w:type="dxa"/>
            <w:noWrap w:val="0"/>
            <w:vAlign w:val="center"/>
          </w:tcPr>
          <w:p w14:paraId="46DA4777">
            <w:pPr>
              <w:pStyle w:val="62"/>
              <w:spacing w:line="380" w:lineRule="exact"/>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166" w:type="dxa"/>
            <w:noWrap w:val="0"/>
            <w:vAlign w:val="center"/>
          </w:tcPr>
          <w:p w14:paraId="575894DA">
            <w:pPr>
              <w:pStyle w:val="36"/>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我方保证投标文件中所拟派的项目经理、技术负责人、安全员等工程管理人员全部在施工现场管理施工</w:t>
            </w:r>
          </w:p>
        </w:tc>
        <w:tc>
          <w:tcPr>
            <w:tcW w:w="5529" w:type="dxa"/>
            <w:noWrap w:val="0"/>
            <w:vAlign w:val="center"/>
          </w:tcPr>
          <w:p w14:paraId="5DF0A4F1">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3000元（项目经理未签到每天支付违约金</w:t>
            </w:r>
            <w:r>
              <w:rPr>
                <w:rFonts w:hint="eastAsia" w:ascii="宋体" w:hAnsi="宋体" w:eastAsia="宋体" w:cs="宋体"/>
                <w:color w:val="auto"/>
                <w:sz w:val="21"/>
                <w:szCs w:val="21"/>
                <w:highlight w:val="none"/>
              </w:rPr>
              <w:t>¥</w:t>
            </w:r>
            <w:r>
              <w:rPr>
                <w:rFonts w:hint="eastAsia" w:ascii="宋体" w:hAnsi="宋体" w:eastAsia="宋体" w:cs="宋体"/>
                <w:color w:val="auto"/>
                <w:spacing w:val="-2"/>
                <w:sz w:val="21"/>
                <w:szCs w:val="21"/>
                <w:highlight w:val="none"/>
              </w:rPr>
              <w:t>3000元）；</w:t>
            </w:r>
          </w:p>
          <w:p w14:paraId="7524EF2D">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22天的，招标人有权终止合同。我方承担由此造成的所有责任及经济损失。</w:t>
            </w:r>
          </w:p>
        </w:tc>
      </w:tr>
      <w:tr w14:paraId="3CD9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0" w:hRule="atLeast"/>
          <w:jc w:val="center"/>
        </w:trPr>
        <w:tc>
          <w:tcPr>
            <w:tcW w:w="617" w:type="dxa"/>
            <w:noWrap w:val="0"/>
            <w:vAlign w:val="center"/>
          </w:tcPr>
          <w:p w14:paraId="4E9577B2">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133" w:type="dxa"/>
            <w:noWrap w:val="0"/>
            <w:vAlign w:val="center"/>
          </w:tcPr>
          <w:p w14:paraId="2A8D7071">
            <w:pPr>
              <w:pStyle w:val="62"/>
              <w:spacing w:line="380" w:lineRule="exact"/>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对支付农民工工资的承诺</w:t>
            </w:r>
          </w:p>
        </w:tc>
        <w:tc>
          <w:tcPr>
            <w:tcW w:w="3166" w:type="dxa"/>
            <w:noWrap w:val="0"/>
            <w:vAlign w:val="center"/>
          </w:tcPr>
          <w:p w14:paraId="1D1901E0">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w:t>
            </w:r>
          </w:p>
        </w:tc>
        <w:tc>
          <w:tcPr>
            <w:tcW w:w="5529" w:type="dxa"/>
            <w:noWrap w:val="0"/>
            <w:vAlign w:val="center"/>
          </w:tcPr>
          <w:p w14:paraId="4C001A11">
            <w:pPr>
              <w:pStyle w:val="62"/>
              <w:keepNext w:val="0"/>
              <w:keepLines w:val="0"/>
              <w:pageBreakBefore w:val="0"/>
              <w:widowControl w:val="0"/>
              <w:kinsoku/>
              <w:overflowPunct/>
              <w:topLinePunct w:val="0"/>
              <w:autoSpaceDE/>
              <w:autoSpaceDN/>
              <w:bidi w:val="0"/>
              <w:spacing w:line="380" w:lineRule="exact"/>
              <w:ind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农民工工资。否则，招标人有权终止合同，扣除履约保证金，并由招标人先行垫付农民工被拖欠的工资，数额以未结清的工程数为限。</w:t>
            </w:r>
          </w:p>
        </w:tc>
      </w:tr>
      <w:tr w14:paraId="7097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617" w:type="dxa"/>
            <w:noWrap w:val="0"/>
            <w:vAlign w:val="center"/>
          </w:tcPr>
          <w:p w14:paraId="3574EB71">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133" w:type="dxa"/>
            <w:noWrap w:val="0"/>
            <w:vAlign w:val="center"/>
          </w:tcPr>
          <w:p w14:paraId="563F06A4">
            <w:pPr>
              <w:pStyle w:val="62"/>
              <w:spacing w:line="380" w:lineRule="exact"/>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施工组织设计承诺</w:t>
            </w:r>
          </w:p>
        </w:tc>
        <w:tc>
          <w:tcPr>
            <w:tcW w:w="3166" w:type="dxa"/>
            <w:noWrap w:val="0"/>
            <w:vAlign w:val="center"/>
          </w:tcPr>
          <w:p w14:paraId="51BCE95D">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我方保证施工组织设计按照国家省市有关规定进行编写。</w:t>
            </w:r>
          </w:p>
        </w:tc>
        <w:tc>
          <w:tcPr>
            <w:tcW w:w="5529" w:type="dxa"/>
            <w:noWrap w:val="0"/>
            <w:vAlign w:val="center"/>
          </w:tcPr>
          <w:p w14:paraId="35462F45">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如我方的施工组织设计未根据招标项目情况按照国家省市有关规定进行编写的，扣除全部履约保证金。</w:t>
            </w:r>
          </w:p>
        </w:tc>
      </w:tr>
      <w:tr w14:paraId="5F34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5" w:hRule="atLeast"/>
          <w:jc w:val="center"/>
        </w:trPr>
        <w:tc>
          <w:tcPr>
            <w:tcW w:w="617" w:type="dxa"/>
            <w:noWrap w:val="0"/>
            <w:vAlign w:val="center"/>
          </w:tcPr>
          <w:p w14:paraId="20FB5E5C">
            <w:pPr>
              <w:pStyle w:val="68"/>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133" w:type="dxa"/>
            <w:noWrap w:val="0"/>
            <w:vAlign w:val="center"/>
          </w:tcPr>
          <w:p w14:paraId="3F2BD491">
            <w:pPr>
              <w:pStyle w:val="68"/>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设计承诺</w:t>
            </w:r>
          </w:p>
        </w:tc>
        <w:tc>
          <w:tcPr>
            <w:tcW w:w="3166" w:type="dxa"/>
            <w:noWrap w:val="0"/>
            <w:vAlign w:val="center"/>
          </w:tcPr>
          <w:p w14:paraId="1361B5E8">
            <w:pPr>
              <w:pStyle w:val="69"/>
              <w:keepNext w:val="0"/>
              <w:keepLines w:val="0"/>
              <w:pageBreakBefore w:val="0"/>
              <w:widowControl w:val="0"/>
              <w:kinsoku/>
              <w:overflowPunct/>
              <w:topLinePunct w:val="0"/>
              <w:autoSpaceDE/>
              <w:autoSpaceDN/>
              <w:bidi w:val="0"/>
              <w:spacing w:line="300" w:lineRule="exact"/>
              <w:ind w:left="0" w:leftChars="0"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如我方中标，我方保证按设计规范及有关法律法规进行设计，并准时提供设计文件和施工图预算，相应设计文件经审图机构审查通过</w:t>
            </w:r>
            <w:r>
              <w:rPr>
                <w:rFonts w:hint="eastAsia" w:ascii="宋体" w:hAnsi="宋体" w:eastAsia="宋体" w:cs="宋体"/>
                <w:color w:val="auto"/>
                <w:sz w:val="21"/>
                <w:szCs w:val="21"/>
                <w:highlight w:val="none"/>
              </w:rPr>
              <w:t>。</w:t>
            </w:r>
          </w:p>
        </w:tc>
        <w:tc>
          <w:tcPr>
            <w:tcW w:w="5529" w:type="dxa"/>
            <w:noWrap w:val="0"/>
            <w:vAlign w:val="center"/>
          </w:tcPr>
          <w:p w14:paraId="2E99BDC4">
            <w:pPr>
              <w:pStyle w:val="69"/>
              <w:keepNext w:val="0"/>
              <w:keepLines w:val="0"/>
              <w:pageBreakBefore w:val="0"/>
              <w:widowControl w:val="0"/>
              <w:kinsoku/>
              <w:overflowPunct/>
              <w:topLinePunct w:val="0"/>
              <w:autoSpaceDE/>
              <w:autoSpaceDN/>
              <w:bidi w:val="0"/>
              <w:spacing w:line="300" w:lineRule="exact"/>
              <w:ind w:left="0" w:leftChars="0" w:firstLine="206"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如我方中标，未能按招标文件要求提供设计文件和施工图预算</w:t>
            </w:r>
            <w:r>
              <w:rPr>
                <w:rFonts w:hint="eastAsia" w:ascii="宋体" w:hAnsi="宋体" w:eastAsia="宋体" w:cs="宋体"/>
                <w:color w:val="auto"/>
                <w:sz w:val="21"/>
                <w:szCs w:val="21"/>
                <w:highlight w:val="none"/>
              </w:rPr>
              <w:t>，招标人有权终止合同，扣除设计费的10%作为违约罚款，并由招标人另行委托相应资质的单位进行设计，其费用由中标人支付，施工工期不予顺延且不另外计取赶工措施费。</w:t>
            </w:r>
          </w:p>
          <w:p w14:paraId="306D9358">
            <w:pPr>
              <w:pStyle w:val="69"/>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由于设计单位设计工作错误造成工程设计质量事故，根据责任情况，按招标文件及合同相应违约条款的约定处理。负责采取补救措施。</w:t>
            </w:r>
          </w:p>
          <w:p w14:paraId="574D9B6C">
            <w:pPr>
              <w:pStyle w:val="69"/>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施工期间</w:t>
            </w:r>
            <w:r>
              <w:rPr>
                <w:rFonts w:hint="eastAsia" w:ascii="宋体" w:hAnsi="宋体" w:eastAsia="宋体" w:cs="宋体"/>
                <w:bCs/>
                <w:snapToGrid w:val="0"/>
                <w:color w:val="auto"/>
                <w:sz w:val="21"/>
                <w:szCs w:val="21"/>
                <w:highlight w:val="none"/>
              </w:rPr>
              <w:t>除招标人要求或特殊地质原因外，</w:t>
            </w:r>
            <w:r>
              <w:rPr>
                <w:rFonts w:hint="eastAsia" w:ascii="宋体" w:hAnsi="宋体" w:eastAsia="宋体" w:cs="宋体"/>
                <w:snapToGrid w:val="0"/>
                <w:color w:val="auto"/>
                <w:sz w:val="21"/>
                <w:szCs w:val="21"/>
                <w:highlight w:val="none"/>
              </w:rPr>
              <w:t>因设计质量和深度不够的原因引起的工程返工或需要设计变更引起工程造价增加的，每次扣减设计合同价款中设计费的2％，扣完为止。</w:t>
            </w:r>
          </w:p>
          <w:p w14:paraId="20CA6230">
            <w:pPr>
              <w:pStyle w:val="69"/>
              <w:keepNext w:val="0"/>
              <w:keepLines w:val="0"/>
              <w:pageBreakBefore w:val="0"/>
              <w:widowControl w:val="0"/>
              <w:kinsoku/>
              <w:overflowPunct/>
              <w:topLinePunct w:val="0"/>
              <w:autoSpaceDE/>
              <w:autoSpaceDN/>
              <w:bidi w:val="0"/>
              <w:spacing w:line="300" w:lineRule="exact"/>
              <w:ind w:left="0" w:leftChars="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因设计单位自身原因造成工程结算超施工招标中标价的，扣除应付设计合同价款中的余款。</w:t>
            </w:r>
          </w:p>
        </w:tc>
      </w:tr>
      <w:tr w14:paraId="27D6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617" w:type="dxa"/>
            <w:noWrap w:val="0"/>
            <w:vAlign w:val="center"/>
          </w:tcPr>
          <w:p w14:paraId="67D9934E">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133" w:type="dxa"/>
            <w:noWrap w:val="0"/>
            <w:vAlign w:val="center"/>
          </w:tcPr>
          <w:p w14:paraId="2FDFE8BE">
            <w:pPr>
              <w:pStyle w:val="62"/>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综合服务能力承诺</w:t>
            </w:r>
          </w:p>
        </w:tc>
        <w:tc>
          <w:tcPr>
            <w:tcW w:w="3166" w:type="dxa"/>
            <w:noWrap w:val="0"/>
            <w:vAlign w:val="center"/>
          </w:tcPr>
          <w:p w14:paraId="69A95F45">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我方保证中标后，自行解决施工中遇到的各种外部问题，协调周边企业、村民关系，并承担由此产生</w:t>
            </w:r>
            <w:r>
              <w:rPr>
                <w:rFonts w:hint="eastAsia" w:ascii="宋体" w:hAnsi="宋体" w:eastAsia="宋体" w:cs="宋体"/>
                <w:color w:val="auto"/>
                <w:sz w:val="21"/>
                <w:szCs w:val="21"/>
                <w:highlight w:val="none"/>
                <w:lang w:eastAsia="zh-CN"/>
              </w:rPr>
              <w:t>的所有责任</w:t>
            </w:r>
            <w:r>
              <w:rPr>
                <w:rFonts w:hint="eastAsia" w:ascii="宋体" w:hAnsi="宋体" w:eastAsia="宋体" w:cs="宋体"/>
                <w:color w:val="auto"/>
                <w:sz w:val="21"/>
                <w:szCs w:val="21"/>
                <w:highlight w:val="none"/>
              </w:rPr>
              <w:t>及损失。</w:t>
            </w:r>
          </w:p>
        </w:tc>
        <w:tc>
          <w:tcPr>
            <w:tcW w:w="5529" w:type="dxa"/>
            <w:noWrap w:val="0"/>
            <w:vAlign w:val="center"/>
          </w:tcPr>
          <w:p w14:paraId="769DB769">
            <w:pPr>
              <w:pStyle w:val="62"/>
              <w:keepNext w:val="0"/>
              <w:keepLines w:val="0"/>
              <w:pageBreakBefore w:val="0"/>
              <w:widowControl w:val="0"/>
              <w:kinsoku/>
              <w:overflowPunct/>
              <w:topLinePunct w:val="0"/>
              <w:autoSpaceDE/>
              <w:autoSpaceDN/>
              <w:bidi w:val="0"/>
              <w:spacing w:line="38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若我方未能按招标文件所承诺的各项承诺完成时，我方同意按比例扣除相应履约保证金，并承担由此引起的所有责任。</w:t>
            </w:r>
          </w:p>
        </w:tc>
      </w:tr>
      <w:tr w14:paraId="6867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617" w:type="dxa"/>
            <w:noWrap w:val="0"/>
            <w:vAlign w:val="center"/>
          </w:tcPr>
          <w:p w14:paraId="4CDEA384">
            <w:pPr>
              <w:pStyle w:val="36"/>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133" w:type="dxa"/>
            <w:noWrap w:val="0"/>
            <w:vAlign w:val="center"/>
          </w:tcPr>
          <w:p w14:paraId="3F7C137C">
            <w:pPr>
              <w:pStyle w:val="62"/>
              <w:spacing w:line="3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廉政承诺</w:t>
            </w:r>
          </w:p>
        </w:tc>
        <w:tc>
          <w:tcPr>
            <w:tcW w:w="3166" w:type="dxa"/>
            <w:noWrap w:val="0"/>
            <w:vAlign w:val="center"/>
          </w:tcPr>
          <w:p w14:paraId="7A27C8F7">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如我方中标，我方将严格执行国家、广东省、韶关市有关工程建设廉政的有关法律法规及双方签订的廉政合同。</w:t>
            </w:r>
          </w:p>
        </w:tc>
        <w:tc>
          <w:tcPr>
            <w:tcW w:w="5529" w:type="dxa"/>
            <w:noWrap w:val="0"/>
            <w:vAlign w:val="center"/>
          </w:tcPr>
          <w:p w14:paraId="237BA2A0">
            <w:pPr>
              <w:pStyle w:val="62"/>
              <w:keepNext w:val="0"/>
              <w:keepLines w:val="0"/>
              <w:pageBreakBefore w:val="0"/>
              <w:widowControl w:val="0"/>
              <w:kinsoku/>
              <w:overflowPunct/>
              <w:topLinePunct w:val="0"/>
              <w:autoSpaceDE/>
              <w:autoSpaceDN/>
              <w:bidi w:val="0"/>
              <w:spacing w:line="38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2D85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4" w:hRule="atLeast"/>
          <w:jc w:val="center"/>
        </w:trPr>
        <w:tc>
          <w:tcPr>
            <w:tcW w:w="617" w:type="dxa"/>
            <w:noWrap w:val="0"/>
            <w:vAlign w:val="center"/>
          </w:tcPr>
          <w:p w14:paraId="56EDB921">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1133" w:type="dxa"/>
            <w:noWrap w:val="0"/>
            <w:vAlign w:val="center"/>
          </w:tcPr>
          <w:p w14:paraId="372DB7B6">
            <w:pPr>
              <w:pStyle w:val="62"/>
              <w:snapToGrid w:val="0"/>
              <w:spacing w:line="40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w:t>
            </w:r>
          </w:p>
          <w:p w14:paraId="3D535B08">
            <w:pPr>
              <w:pStyle w:val="62"/>
              <w:snapToGrid w:val="0"/>
              <w:spacing w:line="40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信息公开承诺</w:t>
            </w:r>
          </w:p>
        </w:tc>
        <w:tc>
          <w:tcPr>
            <w:tcW w:w="3166" w:type="dxa"/>
            <w:noWrap w:val="0"/>
            <w:vAlign w:val="center"/>
          </w:tcPr>
          <w:p w14:paraId="03BDC69E">
            <w:pPr>
              <w:pStyle w:val="62"/>
              <w:keepNext w:val="0"/>
              <w:keepLines w:val="0"/>
              <w:pageBreakBefore w:val="0"/>
              <w:widowControl w:val="0"/>
              <w:kinsoku/>
              <w:overflowPunct/>
              <w:topLinePunct w:val="0"/>
              <w:autoSpaceDE/>
              <w:autoSpaceDN/>
              <w:bidi w:val="0"/>
              <w:snapToGrid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我方提供完整的电子文件。如</w:t>
            </w:r>
            <w:r>
              <w:rPr>
                <w:rFonts w:hint="eastAsia" w:ascii="宋体" w:hAnsi="宋体" w:eastAsia="宋体" w:cs="宋体"/>
                <w:color w:val="auto"/>
                <w:sz w:val="21"/>
                <w:szCs w:val="21"/>
                <w:highlight w:val="none"/>
                <w:lang w:eastAsia="zh-CN"/>
              </w:rPr>
              <w:t>果</w:t>
            </w:r>
            <w:r>
              <w:rPr>
                <w:rFonts w:hint="eastAsia" w:ascii="宋体" w:hAnsi="宋体" w:eastAsia="宋体" w:cs="宋体"/>
                <w:color w:val="auto"/>
                <w:sz w:val="21"/>
                <w:szCs w:val="21"/>
                <w:highlight w:val="none"/>
              </w:rPr>
              <w:t>我方成为本项目中标候选人，我方同意并授权招标人</w:t>
            </w:r>
            <w:r>
              <w:rPr>
                <w:rFonts w:hint="eastAsia" w:ascii="宋体" w:hAnsi="宋体" w:eastAsia="宋体" w:cs="宋体"/>
                <w:color w:val="auto"/>
                <w:sz w:val="21"/>
                <w:szCs w:val="21"/>
                <w:highlight w:val="none"/>
                <w:lang w:eastAsia="zh-CN"/>
              </w:rPr>
              <w:t>在评标结果公示期内公开</w:t>
            </w:r>
            <w:r>
              <w:rPr>
                <w:rFonts w:hint="eastAsia" w:ascii="宋体" w:hAnsi="宋体" w:eastAsia="宋体" w:cs="宋体"/>
                <w:color w:val="auto"/>
                <w:sz w:val="21"/>
                <w:szCs w:val="21"/>
                <w:highlight w:val="none"/>
              </w:rPr>
              <w:t>我方商务部分的</w:t>
            </w:r>
            <w:r>
              <w:rPr>
                <w:rFonts w:hint="eastAsia" w:ascii="宋体" w:hAnsi="宋体" w:eastAsia="宋体" w:cs="宋体"/>
                <w:color w:val="auto"/>
                <w:sz w:val="21"/>
                <w:szCs w:val="21"/>
                <w:highlight w:val="none"/>
                <w:lang w:eastAsia="zh-CN"/>
              </w:rPr>
              <w:t>全部</w:t>
            </w:r>
            <w:r>
              <w:rPr>
                <w:rFonts w:hint="eastAsia" w:ascii="宋体" w:hAnsi="宋体" w:eastAsia="宋体" w:cs="宋体"/>
                <w:color w:val="auto"/>
                <w:sz w:val="21"/>
                <w:szCs w:val="21"/>
                <w:highlight w:val="none"/>
              </w:rPr>
              <w:t>内容。</w:t>
            </w:r>
          </w:p>
        </w:tc>
        <w:tc>
          <w:tcPr>
            <w:tcW w:w="5529" w:type="dxa"/>
            <w:noWrap w:val="0"/>
            <w:vAlign w:val="center"/>
            <mc:AlternateContent>
              <mc:Choice Requires="wpsCustomData">
                <wpsCustomData:diagonals>
                  <wpsCustomData:diagonal from="20000" to="0">
                    <wpsCustomData:border w:val="single" w:color="auto" w:sz="4" w:space="0"/>
                  </wpsCustomData:diagonal>
                </wpsCustomData:diagonals>
              </mc:Choice>
            </mc:AlternateContent>
          </w:tcPr>
          <w:p w14:paraId="0F6960DB">
            <w:pPr>
              <w:pStyle w:val="62"/>
              <w:keepNext w:val="0"/>
              <w:keepLines w:val="0"/>
              <w:pageBreakBefore w:val="0"/>
              <w:widowControl w:val="0"/>
              <w:kinsoku/>
              <w:overflowPunct/>
              <w:topLinePunct w:val="0"/>
              <w:autoSpaceDE/>
              <w:autoSpaceDN/>
              <w:bidi w:val="0"/>
              <w:snapToGrid w:val="0"/>
              <w:spacing w:line="240" w:lineRule="auto"/>
              <w:ind w:left="0" w:leftChars="0" w:firstLine="210" w:firstLineChars="100"/>
              <w:textAlignment w:val="auto"/>
              <mc:AlternateContent>
                <mc:Choice Requires="wpsCustomData">
                  <wpsCustomData:diagonalParaType/>
                </mc:Choice>
              </mc:AlternateContent>
              <w:rPr>
                <w:rFonts w:hint="eastAsia" w:ascii="宋体" w:hAnsi="宋体" w:eastAsia="宋体" w:cs="宋体"/>
                <w:color w:val="auto"/>
                <w:sz w:val="21"/>
                <w:szCs w:val="21"/>
                <w:highlight w:val="none"/>
              </w:rPr>
            </w:pPr>
          </w:p>
          <w:p w14:paraId="71926FCB">
            <w:pPr>
              <w:pStyle w:val="62"/>
              <w:keepNext w:val="0"/>
              <w:keepLines w:val="0"/>
              <w:pageBreakBefore w:val="0"/>
              <w:widowControl w:val="0"/>
              <w:kinsoku/>
              <w:overflowPunct/>
              <w:topLinePunct w:val="0"/>
              <w:autoSpaceDE/>
              <w:autoSpaceDN/>
              <w:bidi w:val="0"/>
              <w:snapToGrid w:val="0"/>
              <w:spacing w:line="400" w:lineRule="exact"/>
              <w:ind w:left="0" w:leftChars="0" w:firstLine="210" w:firstLineChars="100"/>
              <w:textAlignment w:val="auto"/>
              <w:rPr>
                <w:rFonts w:hint="eastAsia" w:ascii="宋体" w:hAnsi="宋体" w:eastAsia="宋体" w:cs="宋体"/>
                <w:color w:val="auto"/>
                <w:sz w:val="21"/>
                <w:szCs w:val="21"/>
                <w:highlight w:val="none"/>
              </w:rPr>
            </w:pPr>
          </w:p>
        </w:tc>
      </w:tr>
      <w:tr w14:paraId="52B2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1" w:hRule="atLeast"/>
          <w:jc w:val="center"/>
        </w:trPr>
        <w:tc>
          <w:tcPr>
            <w:tcW w:w="617" w:type="dxa"/>
            <w:noWrap w:val="0"/>
            <w:vAlign w:val="center"/>
          </w:tcPr>
          <w:p w14:paraId="209DAF11">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1133" w:type="dxa"/>
            <w:noWrap w:val="0"/>
            <w:vAlign w:val="center"/>
          </w:tcPr>
          <w:p w14:paraId="44C38788">
            <w:pPr>
              <w:pStyle w:val="62"/>
              <w:snapToGrid w:val="0"/>
              <w:spacing w:line="40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质量安全受检承诺</w:t>
            </w:r>
          </w:p>
        </w:tc>
        <w:tc>
          <w:tcPr>
            <w:tcW w:w="3166" w:type="dxa"/>
            <w:noWrap w:val="0"/>
            <w:vAlign w:val="center"/>
          </w:tcPr>
          <w:p w14:paraId="5D8D3304">
            <w:pPr>
              <w:pStyle w:val="62"/>
              <w:keepNext w:val="0"/>
              <w:keepLines w:val="0"/>
              <w:pageBreakBefore w:val="0"/>
              <w:widowControl w:val="0"/>
              <w:kinsoku/>
              <w:overflowPunct/>
              <w:topLinePunct w:val="0"/>
              <w:autoSpaceDE/>
              <w:autoSpaceDN/>
              <w:bidi w:val="0"/>
              <w:snapToGrid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中标，我方承诺本项目在建设过程中，设计及施工的质量安全等相关实施内容按照业主单位、发包单位的相关管理规定和质量安全考核要求，随时接受业主单位、发包单位自行或委托的第三方的监督检查及考核，我方保证无条件配合。</w:t>
            </w:r>
          </w:p>
        </w:tc>
        <w:tc>
          <w:tcPr>
            <w:tcW w:w="5529" w:type="dxa"/>
            <w:noWrap w:val="0"/>
            <w:vAlign w:val="center"/>
          </w:tcPr>
          <w:p w14:paraId="109A2570">
            <w:pPr>
              <w:pStyle w:val="62"/>
              <w:keepNext w:val="0"/>
              <w:keepLines w:val="0"/>
              <w:pageBreakBefore w:val="0"/>
              <w:widowControl w:val="0"/>
              <w:kinsoku/>
              <w:overflowPunct/>
              <w:topLinePunct w:val="0"/>
              <w:autoSpaceDE/>
              <w:autoSpaceDN/>
              <w:bidi w:val="0"/>
              <w:snapToGrid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如我方不配合或未通过相关的监督检查及考核，我方承诺接受业主单位、发包单位的相关管理规定和处罚，并承担相应的责任。</w:t>
            </w:r>
          </w:p>
        </w:tc>
      </w:tr>
      <w:tr w14:paraId="50A1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617" w:type="dxa"/>
            <w:noWrap w:val="0"/>
            <w:vAlign w:val="center"/>
          </w:tcPr>
          <w:p w14:paraId="74EDFCEA">
            <w:pPr>
              <w:pStyle w:val="7"/>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1133" w:type="dxa"/>
            <w:noWrap w:val="0"/>
            <w:vAlign w:val="center"/>
          </w:tcPr>
          <w:p w14:paraId="5A4A3A45">
            <w:pPr>
              <w:pStyle w:val="62"/>
              <w:snapToGrid w:val="0"/>
              <w:spacing w:line="40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对工程预付款的使用承诺</w:t>
            </w:r>
          </w:p>
        </w:tc>
        <w:tc>
          <w:tcPr>
            <w:tcW w:w="3166" w:type="dxa"/>
            <w:noWrap w:val="0"/>
            <w:vAlign w:val="center"/>
          </w:tcPr>
          <w:p w14:paraId="3433A433">
            <w:pPr>
              <w:pStyle w:val="62"/>
              <w:keepNext w:val="0"/>
              <w:keepLines w:val="0"/>
              <w:pageBreakBefore w:val="0"/>
              <w:widowControl w:val="0"/>
              <w:kinsoku/>
              <w:overflowPunct/>
              <w:topLinePunct w:val="0"/>
              <w:autoSpaceDE/>
              <w:autoSpaceDN/>
              <w:bidi w:val="0"/>
              <w:snapToGrid w:val="0"/>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我方保证工程预付款用于主要建筑材料的备料及支付工人工资。</w:t>
            </w:r>
          </w:p>
        </w:tc>
        <w:tc>
          <w:tcPr>
            <w:tcW w:w="5529" w:type="dxa"/>
            <w:noWrap w:val="0"/>
            <w:vAlign w:val="center"/>
          </w:tcPr>
          <w:p w14:paraId="3F167C4A">
            <w:pPr>
              <w:pStyle w:val="62"/>
              <w:keepNext w:val="0"/>
              <w:keepLines w:val="0"/>
              <w:pageBreakBefore w:val="0"/>
              <w:widowControl w:val="0"/>
              <w:kinsoku/>
              <w:overflowPunct/>
              <w:topLinePunct w:val="0"/>
              <w:autoSpaceDE/>
              <w:autoSpaceDN/>
              <w:bidi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50165</wp:posOffset>
                      </wp:positionV>
                      <wp:extent cx="3055620" cy="815975"/>
                      <wp:effectExtent l="1270" t="4445" r="10160" b="17780"/>
                      <wp:wrapNone/>
                      <wp:docPr id="2" name="直线 18"/>
                      <wp:cNvGraphicFramePr/>
                      <a:graphic xmlns:a="http://schemas.openxmlformats.org/drawingml/2006/main">
                        <a:graphicData uri="http://schemas.microsoft.com/office/word/2010/wordprocessingShape">
                          <wps:wsp>
                            <wps:cNvCnPr/>
                            <wps:spPr>
                              <a:xfrm flipV="1">
                                <a:off x="0" y="0"/>
                                <a:ext cx="3055620" cy="8159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18" o:spid="_x0000_s1026" o:spt="20" style="position:absolute;left:0pt;flip:y;margin-left:1.2pt;margin-top:3.95pt;height:64.25pt;width:240.6pt;z-index:251662336;mso-width-relative:page;mso-height-relative:page;" filled="f" stroked="t" coordsize="21600,21600" o:gfxdata="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Tw3wdUAAAAHAQAADwAAAAAAAAABACAAAAAiAAAAZHJzL2Rvd25yZXYueG1sUEsB&#10;AhQAFAAAAAgAh07iQAC7bs34AQAA+QMAAA4AAAAAAAAAAQAgAAAAJAEAAGRycy9lMm9Eb2MueG1s&#10;UEsFBgAAAAAGAAYAWQEAAI4FAAAAAA==&#10;">
                      <v:fill on="f" focussize="0,0"/>
                      <v:stroke color="#000000" joinstyle="round"/>
                      <v:imagedata o:title=""/>
                      <o:lock v:ext="edit" aspectratio="f"/>
                    </v:line>
                  </w:pict>
                </mc:Fallback>
              </mc:AlternateContent>
            </w:r>
          </w:p>
        </w:tc>
      </w:tr>
    </w:tbl>
    <w:p w14:paraId="1C0451D9">
      <w:pPr>
        <w:pStyle w:val="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注：所有违约金均从中标人的进度款中扣除，最终结算以扣除违约金总数后的金额为准。</w:t>
      </w:r>
    </w:p>
    <w:p w14:paraId="0B502A2A">
      <w:pPr>
        <w:pStyle w:val="36"/>
        <w:spacing w:line="400" w:lineRule="exact"/>
        <w:jc w:val="left"/>
        <w:rPr>
          <w:rFonts w:hint="eastAsia" w:ascii="宋体" w:hAnsi="宋体" w:eastAsia="宋体" w:cs="宋体"/>
          <w:color w:val="auto"/>
          <w:szCs w:val="24"/>
          <w:highlight w:val="none"/>
        </w:rPr>
      </w:pPr>
    </w:p>
    <w:p w14:paraId="47430C0D">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3CA5AC0">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p>
    <w:p w14:paraId="2A517079">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67ED6B0D">
      <w:pPr>
        <w:pStyle w:val="12"/>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p>
    <w:p w14:paraId="1322B03F">
      <w:pPr>
        <w:widowControl/>
        <w:jc w:val="right"/>
        <w:rPr>
          <w:rFonts w:hint="eastAsia" w:ascii="宋体" w:hAnsi="宋体" w:eastAsia="宋体" w:cs="宋体"/>
          <w:b/>
          <w:bCs/>
          <w:snapToGrid w:val="0"/>
          <w:color w:val="auto"/>
          <w:kern w:val="0"/>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r>
        <w:rPr>
          <w:rFonts w:hint="eastAsia" w:ascii="宋体" w:hAnsi="宋体" w:eastAsia="宋体" w:cs="宋体"/>
          <w:b/>
          <w:bCs/>
          <w:snapToGrid w:val="0"/>
          <w:color w:val="auto"/>
          <w:kern w:val="0"/>
          <w:szCs w:val="24"/>
          <w:highlight w:val="none"/>
        </w:rPr>
        <w:br w:type="page"/>
      </w:r>
    </w:p>
    <w:p w14:paraId="1E45A9F3">
      <w:pPr>
        <w:pStyle w:val="3"/>
        <w:spacing w:before="120"/>
        <w:rPr>
          <w:rFonts w:hint="eastAsia" w:ascii="宋体" w:hAnsi="宋体" w:eastAsia="宋体" w:cs="宋体"/>
          <w:b/>
          <w:bCs/>
          <w:color w:val="auto"/>
          <w:szCs w:val="24"/>
          <w:highlight w:val="none"/>
        </w:rPr>
      </w:pPr>
      <w:bookmarkStart w:id="341" w:name="_Toc10981"/>
      <w:bookmarkStart w:id="342" w:name="_Toc30463"/>
      <w:bookmarkStart w:id="343" w:name="_Toc30764"/>
      <w:bookmarkStart w:id="344" w:name="_Toc3752"/>
      <w:bookmarkStart w:id="345" w:name="_Toc6896"/>
      <w:r>
        <w:rPr>
          <w:rFonts w:hint="eastAsia" w:ascii="宋体" w:hAnsi="宋体" w:eastAsia="宋体" w:cs="宋体"/>
          <w:b/>
          <w:bCs/>
          <w:color w:val="auto"/>
          <w:szCs w:val="24"/>
          <w:highlight w:val="none"/>
        </w:rPr>
        <w:t>格式四 授权委托书</w:t>
      </w:r>
      <w:bookmarkEnd w:id="341"/>
      <w:bookmarkEnd w:id="342"/>
      <w:bookmarkEnd w:id="343"/>
      <w:bookmarkEnd w:id="344"/>
      <w:bookmarkEnd w:id="345"/>
    </w:p>
    <w:p w14:paraId="62696386">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2EC96F81">
      <w:pPr>
        <w:wordWrap w:val="0"/>
        <w:adjustRightInd w:val="0"/>
        <w:snapToGrid w:val="0"/>
        <w:spacing w:before="260" w:after="260" w:line="440" w:lineRule="exact"/>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授权委托书</w:t>
      </w:r>
    </w:p>
    <w:p w14:paraId="165590F7">
      <w:pPr>
        <w:wordWrap w:val="0"/>
        <w:adjustRightInd w:val="0"/>
        <w:snapToGrid w:val="0"/>
        <w:spacing w:line="440" w:lineRule="exact"/>
        <w:rPr>
          <w:rFonts w:hint="eastAsia" w:ascii="宋体" w:hAnsi="宋体" w:eastAsia="宋体" w:cs="宋体"/>
          <w:snapToGrid w:val="0"/>
          <w:color w:val="auto"/>
          <w:kern w:val="0"/>
          <w:szCs w:val="24"/>
          <w:highlight w:val="none"/>
        </w:rPr>
      </w:pPr>
    </w:p>
    <w:p w14:paraId="55914574">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（姓名）系</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（投标人名称）的法定代表人，现委托</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（姓名）为我方代理人。代理人根据授权，以我方名义签署、澄清、说明、补正、递交、撤回、修改</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（项目名称）投标文件、签订合同和处理有关事宜，其法律后果由我方承担。</w:t>
      </w:r>
    </w:p>
    <w:p w14:paraId="177C9AE2">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委托期限：至</w:t>
      </w:r>
      <w:r>
        <w:rPr>
          <w:rFonts w:hint="eastAsia" w:ascii="宋体" w:hAnsi="宋体" w:eastAsia="宋体" w:cs="宋体"/>
          <w:snapToGrid w:val="0"/>
          <w:color w:val="auto"/>
          <w:kern w:val="0"/>
          <w:szCs w:val="24"/>
          <w:highlight w:val="none"/>
          <w:u w:val="single"/>
        </w:rPr>
        <w:t xml:space="preserve">     年   月   日</w:t>
      </w:r>
      <w:r>
        <w:rPr>
          <w:rFonts w:hint="eastAsia" w:ascii="宋体" w:hAnsi="宋体" w:eastAsia="宋体" w:cs="宋体"/>
          <w:i/>
          <w:iCs/>
          <w:snapToGrid w:val="0"/>
          <w:color w:val="auto"/>
          <w:kern w:val="0"/>
          <w:szCs w:val="24"/>
          <w:highlight w:val="none"/>
          <w:u w:val="single"/>
        </w:rPr>
        <w:t>（不得短于招标文件规定的投标有效期）</w:t>
      </w:r>
      <w:r>
        <w:rPr>
          <w:rFonts w:hint="eastAsia" w:ascii="宋体" w:hAnsi="宋体" w:eastAsia="宋体" w:cs="宋体"/>
          <w:snapToGrid w:val="0"/>
          <w:color w:val="auto"/>
          <w:kern w:val="0"/>
          <w:szCs w:val="24"/>
          <w:highlight w:val="none"/>
        </w:rPr>
        <w:t xml:space="preserve"> 。</w:t>
      </w:r>
    </w:p>
    <w:p w14:paraId="725EDC78">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代理人无转委托权。</w:t>
      </w:r>
    </w:p>
    <w:p w14:paraId="51266686">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p>
    <w:p w14:paraId="35AE1996">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p>
    <w:p w14:paraId="66250D64">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  标  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1D943548">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p>
    <w:p w14:paraId="12FDB4D0">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15C9906A">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p>
    <w:p w14:paraId="57DF70FF">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4A37934B">
      <w:pPr>
        <w:wordWrap w:val="0"/>
        <w:adjustRightInd w:val="0"/>
        <w:snapToGrid w:val="0"/>
        <w:spacing w:line="44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2EC0D6B2">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p>
    <w:p w14:paraId="0A75EA1B">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p>
    <w:p w14:paraId="168D05E6">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p>
    <w:p w14:paraId="697069B5">
      <w:pPr>
        <w:wordWrap w:val="0"/>
        <w:adjustRightInd w:val="0"/>
        <w:snapToGrid w:val="0"/>
        <w:ind w:firstLine="552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58388AB">
                            <w:pPr>
                              <w:jc w:val="center"/>
                              <w:rPr>
                                <w:rFonts w:hint="default"/>
                                <w:szCs w:val="21"/>
                              </w:rPr>
                            </w:pPr>
                          </w:p>
                          <w:p w14:paraId="1915B07E">
                            <w:pPr>
                              <w:jc w:val="center"/>
                              <w:rPr>
                                <w:rFonts w:hint="default"/>
                                <w:szCs w:val="21"/>
                              </w:rPr>
                            </w:pPr>
                          </w:p>
                          <w:p w14:paraId="102F67A9">
                            <w:pPr>
                              <w:jc w:val="center"/>
                              <w:rPr>
                                <w:rFonts w:hint="default"/>
                                <w:szCs w:val="21"/>
                              </w:rPr>
                            </w:pPr>
                          </w:p>
                          <w:p w14:paraId="6D3D889B">
                            <w:pPr>
                              <w:jc w:val="center"/>
                              <w:rPr>
                                <w:rFonts w:hint="default"/>
                                <w:szCs w:val="21"/>
                              </w:rPr>
                            </w:pPr>
                            <w:r>
                              <w:rPr>
                                <w:szCs w:val="21"/>
                              </w:rPr>
                              <w:t>委托代理人身份证扫描件正、反面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058388AB">
                      <w:pPr>
                        <w:jc w:val="center"/>
                        <w:rPr>
                          <w:rFonts w:hint="default"/>
                          <w:szCs w:val="21"/>
                        </w:rPr>
                      </w:pPr>
                    </w:p>
                    <w:p w14:paraId="1915B07E">
                      <w:pPr>
                        <w:jc w:val="center"/>
                        <w:rPr>
                          <w:rFonts w:hint="default"/>
                          <w:szCs w:val="21"/>
                        </w:rPr>
                      </w:pPr>
                    </w:p>
                    <w:p w14:paraId="102F67A9">
                      <w:pPr>
                        <w:jc w:val="center"/>
                        <w:rPr>
                          <w:rFonts w:hint="default"/>
                          <w:szCs w:val="21"/>
                        </w:rPr>
                      </w:pPr>
                    </w:p>
                    <w:p w14:paraId="6D3D889B">
                      <w:pPr>
                        <w:jc w:val="center"/>
                        <w:rPr>
                          <w:rFonts w:hint="default"/>
                          <w:szCs w:val="21"/>
                        </w:rPr>
                      </w:pPr>
                      <w:r>
                        <w:rPr>
                          <w:szCs w:val="21"/>
                        </w:rPr>
                        <w:t>委托代理人身份证扫描件正、反面</w:t>
                      </w:r>
                    </w:p>
                  </w:txbxContent>
                </v:textbox>
              </v:shape>
            </w:pict>
          </mc:Fallback>
        </mc:AlternateContent>
      </w:r>
    </w:p>
    <w:p w14:paraId="62D77650">
      <w:pPr>
        <w:pStyle w:val="8"/>
        <w:wordWrap w:val="0"/>
        <w:adjustRightInd w:val="0"/>
        <w:snapToGrid w:val="0"/>
        <w:rPr>
          <w:rFonts w:hint="eastAsia" w:ascii="宋体" w:hAnsi="宋体" w:eastAsia="宋体" w:cs="宋体"/>
          <w:snapToGrid w:val="0"/>
          <w:color w:val="auto"/>
          <w:kern w:val="0"/>
          <w:szCs w:val="24"/>
          <w:highlight w:val="none"/>
        </w:rPr>
      </w:pPr>
    </w:p>
    <w:p w14:paraId="7CB9B177">
      <w:pPr>
        <w:rPr>
          <w:rFonts w:hint="eastAsia" w:ascii="宋体" w:hAnsi="宋体" w:eastAsia="宋体" w:cs="宋体"/>
          <w:color w:val="auto"/>
          <w:szCs w:val="24"/>
          <w:highlight w:val="none"/>
        </w:rPr>
      </w:pPr>
    </w:p>
    <w:p w14:paraId="17518681">
      <w:pPr>
        <w:wordWrap w:val="0"/>
        <w:adjustRightInd w:val="0"/>
        <w:snapToGrid w:val="0"/>
        <w:rPr>
          <w:rFonts w:hint="eastAsia" w:ascii="宋体" w:hAnsi="宋体" w:eastAsia="宋体" w:cs="宋体"/>
          <w:snapToGrid w:val="0"/>
          <w:color w:val="auto"/>
          <w:kern w:val="0"/>
          <w:szCs w:val="24"/>
          <w:highlight w:val="none"/>
        </w:rPr>
        <w:sectPr>
          <w:headerReference r:id="rId6" w:type="default"/>
          <w:footerReference r:id="rId7" w:type="default"/>
          <w:endnotePr>
            <w:numFmt w:val="decimal"/>
          </w:endnotePr>
          <w:pgSz w:w="11906" w:h="16838"/>
          <w:pgMar w:top="1134" w:right="1134" w:bottom="1134" w:left="1134" w:header="567" w:footer="567" w:gutter="0"/>
          <w:pgNumType w:fmt="decimal"/>
          <w:cols w:space="720" w:num="1"/>
          <w:docGrid w:linePitch="327" w:charSpace="0"/>
        </w:sectPr>
      </w:pPr>
    </w:p>
    <w:p w14:paraId="4354A372">
      <w:pPr>
        <w:pStyle w:val="3"/>
        <w:spacing w:before="120"/>
        <w:rPr>
          <w:rFonts w:hint="eastAsia" w:ascii="宋体" w:hAnsi="宋体" w:eastAsia="宋体" w:cs="宋体"/>
          <w:b/>
          <w:bCs/>
          <w:color w:val="auto"/>
          <w:szCs w:val="24"/>
          <w:highlight w:val="none"/>
        </w:rPr>
      </w:pPr>
      <w:bookmarkStart w:id="346" w:name="_Toc9798"/>
      <w:bookmarkStart w:id="347" w:name="_Toc12031"/>
      <w:r>
        <w:rPr>
          <w:rFonts w:hint="eastAsia" w:ascii="宋体" w:hAnsi="宋体" w:eastAsia="宋体" w:cs="宋体"/>
          <w:b/>
          <w:bCs/>
          <w:color w:val="auto"/>
          <w:szCs w:val="24"/>
          <w:highlight w:val="none"/>
        </w:rPr>
        <w:t>格式五 法定代表人身份证明</w:t>
      </w:r>
      <w:bookmarkEnd w:id="346"/>
      <w:bookmarkEnd w:id="347"/>
    </w:p>
    <w:p w14:paraId="2351A656">
      <w:pPr>
        <w:wordWrap w:val="0"/>
        <w:adjustRightInd w:val="0"/>
        <w:snapToGrid w:val="0"/>
        <w:spacing w:line="440" w:lineRule="exact"/>
        <w:rPr>
          <w:rFonts w:hint="eastAsia" w:ascii="宋体" w:hAnsi="宋体" w:eastAsia="宋体" w:cs="宋体"/>
          <w:b/>
          <w:snapToGrid w:val="0"/>
          <w:color w:val="auto"/>
          <w:kern w:val="0"/>
          <w:szCs w:val="24"/>
          <w:highlight w:val="none"/>
        </w:rPr>
      </w:pPr>
    </w:p>
    <w:p w14:paraId="1B1DAF87">
      <w:pPr>
        <w:wordWrap w:val="0"/>
        <w:adjustRightInd w:val="0"/>
        <w:snapToGrid w:val="0"/>
        <w:spacing w:before="260" w:after="260" w:line="440" w:lineRule="exact"/>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法定代表人身份证明</w:t>
      </w:r>
    </w:p>
    <w:p w14:paraId="7D59D64F">
      <w:pPr>
        <w:wordWrap w:val="0"/>
        <w:adjustRightInd w:val="0"/>
        <w:snapToGrid w:val="0"/>
        <w:spacing w:line="440" w:lineRule="exact"/>
        <w:rPr>
          <w:rFonts w:hint="eastAsia" w:ascii="宋体" w:hAnsi="宋体" w:eastAsia="宋体" w:cs="宋体"/>
          <w:snapToGrid w:val="0"/>
          <w:color w:val="auto"/>
          <w:kern w:val="0"/>
          <w:szCs w:val="24"/>
          <w:highlight w:val="none"/>
        </w:rPr>
      </w:pPr>
    </w:p>
    <w:p w14:paraId="40059B0C">
      <w:pPr>
        <w:wordWrap w:val="0"/>
        <w:adjustRightInd w:val="0"/>
        <w:snapToGrid w:val="0"/>
        <w:spacing w:line="440" w:lineRule="exact"/>
        <w:rPr>
          <w:rFonts w:hint="eastAsia" w:ascii="宋体" w:hAnsi="宋体" w:eastAsia="宋体" w:cs="宋体"/>
          <w:snapToGrid w:val="0"/>
          <w:color w:val="auto"/>
          <w:kern w:val="0"/>
          <w:szCs w:val="24"/>
          <w:highlight w:val="none"/>
          <w:u w:val="single"/>
        </w:rPr>
      </w:pPr>
      <w:r>
        <w:rPr>
          <w:rFonts w:hint="eastAsia" w:ascii="宋体" w:hAnsi="宋体" w:eastAsia="宋体" w:cs="宋体"/>
          <w:snapToGrid w:val="0"/>
          <w:color w:val="auto"/>
          <w:kern w:val="0"/>
          <w:szCs w:val="24"/>
          <w:highlight w:val="none"/>
        </w:rPr>
        <w:t>投标人名称：</w:t>
      </w:r>
      <w:r>
        <w:rPr>
          <w:rFonts w:hint="eastAsia" w:ascii="宋体" w:hAnsi="宋体" w:eastAsia="宋体" w:cs="宋体"/>
          <w:snapToGrid w:val="0"/>
          <w:color w:val="auto"/>
          <w:kern w:val="0"/>
          <w:szCs w:val="24"/>
          <w:highlight w:val="none"/>
          <w:u w:val="single"/>
        </w:rPr>
        <w:t xml:space="preserve">                  </w:t>
      </w:r>
    </w:p>
    <w:p w14:paraId="177CEF7F">
      <w:pPr>
        <w:wordWrap w:val="0"/>
        <w:adjustRightInd w:val="0"/>
        <w:snapToGrid w:val="0"/>
        <w:spacing w:line="440" w:lineRule="exact"/>
        <w:rPr>
          <w:rFonts w:hint="eastAsia" w:ascii="宋体" w:hAnsi="宋体" w:eastAsia="宋体" w:cs="宋体"/>
          <w:snapToGrid w:val="0"/>
          <w:color w:val="auto"/>
          <w:kern w:val="0"/>
          <w:szCs w:val="24"/>
          <w:highlight w:val="none"/>
          <w:u w:val="single"/>
        </w:rPr>
      </w:pPr>
      <w:r>
        <w:rPr>
          <w:rFonts w:hint="eastAsia" w:ascii="宋体" w:hAnsi="宋体" w:eastAsia="宋体" w:cs="宋体"/>
          <w:snapToGrid w:val="0"/>
          <w:color w:val="auto"/>
          <w:kern w:val="0"/>
          <w:szCs w:val="24"/>
          <w:highlight w:val="none"/>
        </w:rPr>
        <w:t>姓名：</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性别：</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年龄：</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职务：</w:t>
      </w:r>
      <w:r>
        <w:rPr>
          <w:rFonts w:hint="eastAsia" w:ascii="宋体" w:hAnsi="宋体" w:eastAsia="宋体" w:cs="宋体"/>
          <w:snapToGrid w:val="0"/>
          <w:color w:val="auto"/>
          <w:kern w:val="0"/>
          <w:szCs w:val="24"/>
          <w:highlight w:val="none"/>
          <w:u w:val="single"/>
        </w:rPr>
        <w:t xml:space="preserve">           </w:t>
      </w:r>
    </w:p>
    <w:p w14:paraId="670953E0">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系</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（投标人名称）的法定代表人。</w:t>
      </w:r>
    </w:p>
    <w:p w14:paraId="10C2384B">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特此证明。</w:t>
      </w:r>
    </w:p>
    <w:p w14:paraId="325E7E24">
      <w:pPr>
        <w:wordWrap w:val="0"/>
        <w:adjustRightInd w:val="0"/>
        <w:snapToGrid w:val="0"/>
        <w:spacing w:line="440" w:lineRule="exact"/>
        <w:rPr>
          <w:rFonts w:hint="eastAsia" w:ascii="宋体" w:hAnsi="宋体" w:eastAsia="宋体" w:cs="宋体"/>
          <w:snapToGrid w:val="0"/>
          <w:color w:val="auto"/>
          <w:kern w:val="0"/>
          <w:szCs w:val="24"/>
          <w:highlight w:val="none"/>
        </w:rPr>
      </w:pPr>
    </w:p>
    <w:p w14:paraId="22646B82">
      <w:pPr>
        <w:wordWrap w:val="0"/>
        <w:adjustRightInd w:val="0"/>
        <w:snapToGrid w:val="0"/>
        <w:spacing w:line="440" w:lineRule="exact"/>
        <w:rPr>
          <w:rFonts w:hint="eastAsia" w:ascii="宋体" w:hAnsi="宋体" w:eastAsia="宋体" w:cs="宋体"/>
          <w:snapToGrid w:val="0"/>
          <w:color w:val="auto"/>
          <w:kern w:val="0"/>
          <w:szCs w:val="24"/>
          <w:highlight w:val="none"/>
        </w:rPr>
      </w:pPr>
    </w:p>
    <w:p w14:paraId="0ABD5BA3">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6D84FFCF">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6B59F738">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41276F30">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2598E635">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0AD582D5">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 xml:space="preserve">日       </w:t>
      </w:r>
    </w:p>
    <w:p w14:paraId="04C51D28">
      <w:pPr>
        <w:wordWrap w:val="0"/>
        <w:adjustRightInd w:val="0"/>
        <w:snapToGrid w:val="0"/>
        <w:spacing w:line="440" w:lineRule="exact"/>
        <w:ind w:firstLine="720" w:firstLineChars="300"/>
        <w:rPr>
          <w:rFonts w:hint="eastAsia" w:ascii="宋体" w:hAnsi="宋体" w:eastAsia="宋体" w:cs="宋体"/>
          <w:i/>
          <w:iCs/>
          <w:snapToGrid w:val="0"/>
          <w:color w:val="auto"/>
          <w:kern w:val="0"/>
          <w:szCs w:val="24"/>
          <w:highlight w:val="none"/>
        </w:rPr>
      </w:pPr>
    </w:p>
    <w:p w14:paraId="0578B608">
      <w:pPr>
        <w:wordWrap w:val="0"/>
        <w:adjustRightInd w:val="0"/>
        <w:snapToGrid w:val="0"/>
        <w:spacing w:line="440" w:lineRule="exact"/>
        <w:ind w:firstLine="720" w:firstLineChars="300"/>
        <w:rPr>
          <w:rFonts w:hint="eastAsia" w:ascii="宋体" w:hAnsi="宋体" w:eastAsia="宋体" w:cs="宋体"/>
          <w:i/>
          <w:iCs/>
          <w:snapToGrid w:val="0"/>
          <w:color w:val="auto"/>
          <w:kern w:val="0"/>
          <w:szCs w:val="24"/>
          <w:highlight w:val="none"/>
        </w:rPr>
      </w:pPr>
    </w:p>
    <w:p w14:paraId="6FD33BC2">
      <w:pPr>
        <w:wordWrap w:val="0"/>
        <w:adjustRightInd w:val="0"/>
        <w:snapToGrid w:val="0"/>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1544771">
                            <w:pPr>
                              <w:jc w:val="center"/>
                              <w:rPr>
                                <w:rFonts w:hint="default"/>
                                <w:szCs w:val="21"/>
                              </w:rPr>
                            </w:pPr>
                          </w:p>
                          <w:p w14:paraId="08B1C077">
                            <w:pPr>
                              <w:jc w:val="center"/>
                              <w:rPr>
                                <w:rFonts w:hint="default"/>
                                <w:szCs w:val="21"/>
                              </w:rPr>
                            </w:pPr>
                          </w:p>
                          <w:p w14:paraId="64C679F0">
                            <w:pPr>
                              <w:jc w:val="center"/>
                              <w:rPr>
                                <w:rFonts w:hint="default"/>
                                <w:szCs w:val="21"/>
                              </w:rPr>
                            </w:pPr>
                          </w:p>
                          <w:p w14:paraId="34703B56">
                            <w:pPr>
                              <w:jc w:val="center"/>
                              <w:rPr>
                                <w:rFonts w:hint="default"/>
                                <w:szCs w:val="21"/>
                              </w:rPr>
                            </w:pPr>
                            <w:r>
                              <w:rPr>
                                <w:szCs w:val="21"/>
                              </w:rPr>
                              <w:t>法定代表人身份证扫描件正、反面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41544771">
                      <w:pPr>
                        <w:jc w:val="center"/>
                        <w:rPr>
                          <w:rFonts w:hint="default"/>
                          <w:szCs w:val="21"/>
                        </w:rPr>
                      </w:pPr>
                    </w:p>
                    <w:p w14:paraId="08B1C077">
                      <w:pPr>
                        <w:jc w:val="center"/>
                        <w:rPr>
                          <w:rFonts w:hint="default"/>
                          <w:szCs w:val="21"/>
                        </w:rPr>
                      </w:pPr>
                    </w:p>
                    <w:p w14:paraId="64C679F0">
                      <w:pPr>
                        <w:jc w:val="center"/>
                        <w:rPr>
                          <w:rFonts w:hint="default"/>
                          <w:szCs w:val="21"/>
                        </w:rPr>
                      </w:pPr>
                    </w:p>
                    <w:p w14:paraId="34703B56">
                      <w:pPr>
                        <w:jc w:val="center"/>
                        <w:rPr>
                          <w:rFonts w:hint="default"/>
                          <w:szCs w:val="21"/>
                        </w:rPr>
                      </w:pPr>
                      <w:r>
                        <w:rPr>
                          <w:szCs w:val="21"/>
                        </w:rPr>
                        <w:t>法定代表人身份证扫描件正、反面</w:t>
                      </w:r>
                    </w:p>
                  </w:txbxContent>
                </v:textbox>
              </v:shape>
            </w:pict>
          </mc:Fallback>
        </mc:AlternateContent>
      </w:r>
    </w:p>
    <w:p w14:paraId="48C63E55">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Cs w:val="24"/>
          <w:highlight w:val="none"/>
        </w:rPr>
      </w:pPr>
    </w:p>
    <w:p w14:paraId="1AC9CFD5">
      <w:pPr>
        <w:wordWrap w:val="0"/>
        <w:adjustRightInd w:val="0"/>
        <w:snapToGrid w:val="0"/>
        <w:spacing w:line="480" w:lineRule="exact"/>
        <w:jc w:val="center"/>
        <w:rPr>
          <w:rFonts w:hint="eastAsia" w:ascii="宋体" w:hAnsi="宋体" w:eastAsia="宋体" w:cs="宋体"/>
          <w:b/>
          <w:snapToGrid w:val="0"/>
          <w:color w:val="auto"/>
          <w:kern w:val="0"/>
          <w:szCs w:val="24"/>
          <w:highlight w:val="none"/>
        </w:rPr>
      </w:pPr>
    </w:p>
    <w:p w14:paraId="02B2C081">
      <w:pPr>
        <w:wordWrap w:val="0"/>
        <w:adjustRightInd w:val="0"/>
        <w:snapToGrid w:val="0"/>
        <w:spacing w:line="480" w:lineRule="exact"/>
        <w:jc w:val="center"/>
        <w:rPr>
          <w:rFonts w:hint="eastAsia" w:ascii="宋体" w:hAnsi="宋体" w:eastAsia="宋体" w:cs="宋体"/>
          <w:b/>
          <w:snapToGrid w:val="0"/>
          <w:color w:val="auto"/>
          <w:kern w:val="0"/>
          <w:szCs w:val="24"/>
          <w:highlight w:val="none"/>
        </w:rPr>
      </w:pPr>
    </w:p>
    <w:p w14:paraId="508D7C10">
      <w:pPr>
        <w:wordWrap w:val="0"/>
        <w:adjustRightInd w:val="0"/>
        <w:snapToGrid w:val="0"/>
        <w:spacing w:line="480" w:lineRule="exact"/>
        <w:jc w:val="center"/>
        <w:rPr>
          <w:rFonts w:hint="eastAsia" w:ascii="宋体" w:hAnsi="宋体" w:eastAsia="宋体" w:cs="宋体"/>
          <w:b/>
          <w:snapToGrid w:val="0"/>
          <w:color w:val="auto"/>
          <w:kern w:val="0"/>
          <w:szCs w:val="24"/>
          <w:highlight w:val="none"/>
        </w:rPr>
        <w:sectPr>
          <w:endnotePr>
            <w:numFmt w:val="decimal"/>
          </w:endnotePr>
          <w:pgSz w:w="11906" w:h="16838"/>
          <w:pgMar w:top="1134" w:right="1134" w:bottom="1134" w:left="1134" w:header="850" w:footer="992" w:gutter="0"/>
          <w:pgNumType w:fmt="decimal"/>
          <w:cols w:space="720" w:num="1"/>
          <w:docGrid w:linePitch="327" w:charSpace="0"/>
        </w:sectPr>
      </w:pPr>
    </w:p>
    <w:p w14:paraId="7BDF84ED">
      <w:pPr>
        <w:pStyle w:val="3"/>
        <w:spacing w:before="120"/>
        <w:rPr>
          <w:rFonts w:hint="eastAsia" w:ascii="宋体" w:hAnsi="宋体" w:eastAsia="宋体" w:cs="宋体"/>
          <w:b/>
          <w:bCs/>
          <w:color w:val="auto"/>
          <w:szCs w:val="24"/>
          <w:highlight w:val="none"/>
        </w:rPr>
      </w:pPr>
      <w:bookmarkStart w:id="348" w:name="_Toc30665"/>
      <w:bookmarkStart w:id="349" w:name="_Toc16430"/>
      <w:bookmarkStart w:id="350" w:name="_Toc26395"/>
      <w:bookmarkStart w:id="351" w:name="_Toc26875"/>
      <w:bookmarkStart w:id="352" w:name="_Toc4188"/>
      <w:r>
        <w:rPr>
          <w:rFonts w:hint="eastAsia" w:ascii="宋体" w:hAnsi="宋体" w:eastAsia="宋体" w:cs="宋体"/>
          <w:b/>
          <w:bCs/>
          <w:color w:val="auto"/>
          <w:szCs w:val="24"/>
          <w:highlight w:val="none"/>
        </w:rPr>
        <w:t>格式六 联合体协议书</w:t>
      </w:r>
      <w:bookmarkEnd w:id="348"/>
      <w:bookmarkEnd w:id="349"/>
      <w:bookmarkEnd w:id="350"/>
      <w:bookmarkEnd w:id="351"/>
      <w:bookmarkEnd w:id="352"/>
    </w:p>
    <w:p w14:paraId="2F27ECAB">
      <w:pPr>
        <w:pStyle w:val="49"/>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14:paraId="1881519E">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39578033">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5B13345">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61CC75AD">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4DB7D98A">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5283E2E2">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7A190290">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p>
    <w:p w14:paraId="125EBFAB">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13EBAE36">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7E95C3A3">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11E3AF3C">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486A773F">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409D8BF0">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（项目名称）（以下简称“本项目”）的投标并争取赢得本项目设计、施工总承包合同（以下简称合同）。现就联合体投标事宜订立如下协议：</w:t>
      </w:r>
    </w:p>
    <w:p w14:paraId="3229BC77">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1BDEEF5D">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4FE1C060">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6341273F">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2CF432F9">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5．投标工作和联合体在中标后工程实施过程中的有关费用按各自承担的工作量分摊。</w:t>
      </w:r>
    </w:p>
    <w:p w14:paraId="0E0A9453">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6．联合体中标后，本联合体协议是合同的附件，对联合体各成员单位有合同约束力。</w:t>
      </w:r>
    </w:p>
    <w:p w14:paraId="3AABF413">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7．本协议书自签署之日起生效，联合体未中标或者中标时合同履行完毕后自动失效。</w:t>
      </w:r>
    </w:p>
    <w:p w14:paraId="2CEAD346">
      <w:pPr>
        <w:pStyle w:val="49"/>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54EF1674">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27A5523">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12528DAD">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3DA00B45">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79A1FAD6">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7E980114">
      <w:pPr>
        <w:pStyle w:val="49"/>
        <w:widowControl w:val="0"/>
        <w:wordWrap w:val="0"/>
        <w:adjustRightInd w:val="0"/>
        <w:snapToGrid w:val="0"/>
        <w:spacing w:line="440" w:lineRule="exact"/>
        <w:ind w:firstLine="0"/>
        <w:jc w:val="both"/>
        <w:rPr>
          <w:rFonts w:hint="eastAsia" w:ascii="宋体" w:hAnsi="宋体" w:eastAsia="宋体" w:cs="宋体"/>
          <w:snapToGrid w:val="0"/>
          <w:color w:val="auto"/>
          <w:sz w:val="24"/>
          <w:szCs w:val="24"/>
          <w:highlight w:val="none"/>
        </w:rPr>
      </w:pPr>
    </w:p>
    <w:p w14:paraId="27EE13AD">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A520B16">
      <w:pPr>
        <w:pStyle w:val="49"/>
        <w:widowControl w:val="0"/>
        <w:wordWrap w:val="0"/>
        <w:adjustRightInd w:val="0"/>
        <w:snapToGrid w:val="0"/>
        <w:spacing w:line="440" w:lineRule="exact"/>
        <w:ind w:firstLine="0"/>
        <w:jc w:val="both"/>
        <w:rPr>
          <w:rFonts w:hint="eastAsia" w:ascii="宋体" w:hAnsi="宋体" w:eastAsia="宋体" w:cs="宋体"/>
          <w:snapToGrid w:val="0"/>
          <w:color w:val="auto"/>
          <w:sz w:val="24"/>
          <w:szCs w:val="24"/>
          <w:highlight w:val="none"/>
        </w:rPr>
      </w:pPr>
    </w:p>
    <w:p w14:paraId="35AD6BE4">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77F864C">
      <w:pPr>
        <w:pStyle w:val="49"/>
        <w:widowControl w:val="0"/>
        <w:adjustRightInd w:val="0"/>
        <w:snapToGrid w:val="0"/>
        <w:spacing w:line="440" w:lineRule="exact"/>
        <w:jc w:val="right"/>
        <w:rPr>
          <w:rFonts w:hint="eastAsia" w:ascii="宋体" w:hAnsi="宋体" w:eastAsia="宋体" w:cs="宋体"/>
          <w:snapToGrid w:val="0"/>
          <w:color w:val="auto"/>
          <w:sz w:val="24"/>
          <w:szCs w:val="24"/>
          <w:highlight w:val="none"/>
        </w:rPr>
      </w:pPr>
    </w:p>
    <w:p w14:paraId="7DA6C7DE">
      <w:pPr>
        <w:pStyle w:val="49"/>
        <w:widowControl w:val="0"/>
        <w:wordWrap w:val="0"/>
        <w:adjustRightInd w:val="0"/>
        <w:snapToGrid w:val="0"/>
        <w:spacing w:line="440" w:lineRule="exact"/>
        <w:ind w:firstLine="3840" w:firstLineChars="16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p>
    <w:p w14:paraId="73F159AF">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367B2D3">
      <w:pPr>
        <w:pStyle w:val="4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u w:val="single"/>
          <w:lang w:eastAsia="zh-CN"/>
        </w:rPr>
        <w:t>日</w:t>
      </w:r>
    </w:p>
    <w:p w14:paraId="0628E00A">
      <w:pPr>
        <w:pStyle w:val="4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14:paraId="7A1B7A4F">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59FB43F">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12855EAC">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786A44AA">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3CB2B846">
      <w:pPr>
        <w:pStyle w:val="49"/>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134" w:right="1134" w:bottom="1134" w:left="1134" w:header="850" w:footer="992" w:gutter="0"/>
          <w:pgNumType w:fmt="decimal"/>
          <w:cols w:space="720" w:num="1"/>
          <w:docGrid w:linePitch="327" w:charSpace="0"/>
        </w:sectPr>
      </w:pPr>
    </w:p>
    <w:p w14:paraId="07F280F0">
      <w:pPr>
        <w:pStyle w:val="3"/>
        <w:spacing w:before="120"/>
        <w:rPr>
          <w:rFonts w:hint="eastAsia" w:ascii="宋体" w:hAnsi="宋体" w:eastAsia="宋体" w:cs="宋体"/>
          <w:b/>
          <w:bCs/>
          <w:color w:val="auto"/>
          <w:szCs w:val="24"/>
          <w:highlight w:val="none"/>
        </w:rPr>
      </w:pPr>
      <w:bookmarkStart w:id="353" w:name="_Toc15865"/>
      <w:bookmarkStart w:id="354" w:name="_Toc31264"/>
      <w:r>
        <w:rPr>
          <w:rFonts w:hint="eastAsia" w:ascii="宋体" w:hAnsi="宋体" w:eastAsia="宋体" w:cs="宋体"/>
          <w:b/>
          <w:bCs/>
          <w:color w:val="auto"/>
          <w:szCs w:val="24"/>
          <w:highlight w:val="none"/>
        </w:rPr>
        <w:t>格式七 投标人基本情况表</w:t>
      </w:r>
      <w:bookmarkEnd w:id="353"/>
      <w:bookmarkEnd w:id="354"/>
    </w:p>
    <w:p w14:paraId="1AAF3835">
      <w:pPr>
        <w:pStyle w:val="49"/>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25"/>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541"/>
        <w:gridCol w:w="1140"/>
        <w:gridCol w:w="833"/>
        <w:gridCol w:w="460"/>
        <w:gridCol w:w="832"/>
        <w:gridCol w:w="269"/>
        <w:gridCol w:w="735"/>
        <w:gridCol w:w="1470"/>
      </w:tblGrid>
      <w:tr w14:paraId="661E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9BE9A56">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投标人名称</w:t>
            </w:r>
          </w:p>
        </w:tc>
        <w:tc>
          <w:tcPr>
            <w:tcW w:w="7280" w:type="dxa"/>
            <w:gridSpan w:val="8"/>
            <w:noWrap/>
            <w:vAlign w:val="center"/>
          </w:tcPr>
          <w:p w14:paraId="00380B8E">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4A96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49C0095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注册地址</w:t>
            </w:r>
          </w:p>
        </w:tc>
        <w:tc>
          <w:tcPr>
            <w:tcW w:w="3514" w:type="dxa"/>
            <w:gridSpan w:val="3"/>
            <w:noWrap/>
            <w:vAlign w:val="center"/>
          </w:tcPr>
          <w:p w14:paraId="3806F285">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2" w:type="dxa"/>
            <w:gridSpan w:val="2"/>
            <w:noWrap/>
            <w:vAlign w:val="center"/>
          </w:tcPr>
          <w:p w14:paraId="13E8E92C">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邮政编码</w:t>
            </w:r>
          </w:p>
        </w:tc>
        <w:tc>
          <w:tcPr>
            <w:tcW w:w="2474" w:type="dxa"/>
            <w:gridSpan w:val="3"/>
            <w:noWrap/>
            <w:vAlign w:val="center"/>
          </w:tcPr>
          <w:p w14:paraId="6BC7B7E6">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1EC1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restart"/>
            <w:noWrap/>
            <w:vAlign w:val="center"/>
          </w:tcPr>
          <w:p w14:paraId="1F6AA9F4">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联系方式</w:t>
            </w:r>
          </w:p>
        </w:tc>
        <w:tc>
          <w:tcPr>
            <w:tcW w:w="1541" w:type="dxa"/>
            <w:noWrap/>
            <w:vAlign w:val="center"/>
          </w:tcPr>
          <w:p w14:paraId="66100BA8">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联系人</w:t>
            </w:r>
          </w:p>
        </w:tc>
        <w:tc>
          <w:tcPr>
            <w:tcW w:w="1973" w:type="dxa"/>
            <w:gridSpan w:val="2"/>
            <w:noWrap/>
            <w:vAlign w:val="center"/>
          </w:tcPr>
          <w:p w14:paraId="6A858718">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2" w:type="dxa"/>
            <w:gridSpan w:val="2"/>
            <w:noWrap/>
            <w:vAlign w:val="center"/>
          </w:tcPr>
          <w:p w14:paraId="32A50F05">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  话</w:t>
            </w:r>
          </w:p>
        </w:tc>
        <w:tc>
          <w:tcPr>
            <w:tcW w:w="2474" w:type="dxa"/>
            <w:gridSpan w:val="3"/>
            <w:noWrap/>
            <w:vAlign w:val="center"/>
          </w:tcPr>
          <w:p w14:paraId="1F889CFE">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5820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vMerge w:val="continue"/>
            <w:noWrap/>
            <w:vAlign w:val="center"/>
          </w:tcPr>
          <w:p w14:paraId="25C22A31">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541" w:type="dxa"/>
            <w:noWrap/>
            <w:vAlign w:val="center"/>
          </w:tcPr>
          <w:p w14:paraId="120A9B7B">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传  真</w:t>
            </w:r>
          </w:p>
        </w:tc>
        <w:tc>
          <w:tcPr>
            <w:tcW w:w="1973" w:type="dxa"/>
            <w:gridSpan w:val="2"/>
            <w:noWrap/>
            <w:vAlign w:val="center"/>
          </w:tcPr>
          <w:p w14:paraId="61341714">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2" w:type="dxa"/>
            <w:gridSpan w:val="2"/>
            <w:noWrap/>
            <w:vAlign w:val="center"/>
          </w:tcPr>
          <w:p w14:paraId="1D86D6D4">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电子邮箱</w:t>
            </w:r>
          </w:p>
        </w:tc>
        <w:tc>
          <w:tcPr>
            <w:tcW w:w="2474" w:type="dxa"/>
            <w:gridSpan w:val="3"/>
            <w:noWrap/>
            <w:vAlign w:val="center"/>
          </w:tcPr>
          <w:p w14:paraId="50BC9FA8">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4C7A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884A39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单位性质</w:t>
            </w:r>
          </w:p>
        </w:tc>
        <w:tc>
          <w:tcPr>
            <w:tcW w:w="7280" w:type="dxa"/>
            <w:gridSpan w:val="8"/>
            <w:noWrap/>
            <w:vAlign w:val="center"/>
          </w:tcPr>
          <w:p w14:paraId="6B5C9F6F">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30C6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5F689B33">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w:t>
            </w:r>
          </w:p>
        </w:tc>
        <w:tc>
          <w:tcPr>
            <w:tcW w:w="1541" w:type="dxa"/>
            <w:noWrap/>
            <w:vAlign w:val="center"/>
          </w:tcPr>
          <w:p w14:paraId="14C7CC0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姓名</w:t>
            </w:r>
          </w:p>
        </w:tc>
        <w:tc>
          <w:tcPr>
            <w:tcW w:w="1140" w:type="dxa"/>
            <w:noWrap/>
            <w:vAlign w:val="center"/>
          </w:tcPr>
          <w:p w14:paraId="323DF24D">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noWrap/>
            <w:vAlign w:val="center"/>
          </w:tcPr>
          <w:p w14:paraId="08E733C9">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技术职称</w:t>
            </w:r>
          </w:p>
        </w:tc>
        <w:tc>
          <w:tcPr>
            <w:tcW w:w="1101" w:type="dxa"/>
            <w:gridSpan w:val="2"/>
            <w:noWrap/>
            <w:vAlign w:val="center"/>
          </w:tcPr>
          <w:p w14:paraId="70172885">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735" w:type="dxa"/>
            <w:noWrap/>
            <w:vAlign w:val="center"/>
          </w:tcPr>
          <w:p w14:paraId="3F5CABD8">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电话</w:t>
            </w:r>
          </w:p>
        </w:tc>
        <w:tc>
          <w:tcPr>
            <w:tcW w:w="1470" w:type="dxa"/>
            <w:noWrap/>
            <w:vAlign w:val="center"/>
          </w:tcPr>
          <w:p w14:paraId="560B293E">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2D53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02055175">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成立时间</w:t>
            </w:r>
          </w:p>
        </w:tc>
        <w:tc>
          <w:tcPr>
            <w:tcW w:w="2681" w:type="dxa"/>
            <w:gridSpan w:val="2"/>
            <w:noWrap/>
            <w:vAlign w:val="center"/>
          </w:tcPr>
          <w:p w14:paraId="6488C4DD">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4599" w:type="dxa"/>
            <w:gridSpan w:val="6"/>
            <w:noWrap/>
            <w:vAlign w:val="center"/>
          </w:tcPr>
          <w:p w14:paraId="3FC19D66">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员工总人数（个）：</w:t>
            </w:r>
          </w:p>
        </w:tc>
      </w:tr>
      <w:tr w14:paraId="0D47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1540" w:type="dxa"/>
            <w:noWrap/>
            <w:vAlign w:val="center"/>
          </w:tcPr>
          <w:p w14:paraId="59AC06B9">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企业资质</w:t>
            </w:r>
          </w:p>
          <w:p w14:paraId="4B2412EE">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类型和等级</w:t>
            </w:r>
          </w:p>
        </w:tc>
        <w:tc>
          <w:tcPr>
            <w:tcW w:w="2681" w:type="dxa"/>
            <w:gridSpan w:val="2"/>
            <w:noWrap/>
            <w:vAlign w:val="center"/>
          </w:tcPr>
          <w:p w14:paraId="3E497D2F">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vMerge w:val="restart"/>
            <w:noWrap/>
            <w:vAlign w:val="center"/>
          </w:tcPr>
          <w:p w14:paraId="5B53D13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其中</w:t>
            </w:r>
          </w:p>
        </w:tc>
        <w:tc>
          <w:tcPr>
            <w:tcW w:w="1836" w:type="dxa"/>
            <w:gridSpan w:val="3"/>
            <w:noWrap/>
            <w:vAlign w:val="center"/>
          </w:tcPr>
          <w:p w14:paraId="439A5312">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项目经理</w:t>
            </w:r>
          </w:p>
        </w:tc>
        <w:tc>
          <w:tcPr>
            <w:tcW w:w="1470" w:type="dxa"/>
            <w:noWrap/>
            <w:vAlign w:val="center"/>
          </w:tcPr>
          <w:p w14:paraId="44939BEF">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11FA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39FB579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营业执照号</w:t>
            </w:r>
          </w:p>
        </w:tc>
        <w:tc>
          <w:tcPr>
            <w:tcW w:w="2681" w:type="dxa"/>
            <w:gridSpan w:val="2"/>
            <w:noWrap/>
            <w:vAlign w:val="center"/>
          </w:tcPr>
          <w:p w14:paraId="06656BE9">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vMerge w:val="continue"/>
            <w:noWrap/>
            <w:vAlign w:val="center"/>
          </w:tcPr>
          <w:p w14:paraId="05C3AA3F">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836" w:type="dxa"/>
            <w:gridSpan w:val="3"/>
            <w:noWrap/>
            <w:vAlign w:val="center"/>
          </w:tcPr>
          <w:p w14:paraId="7AA0E477">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高级职称人员</w:t>
            </w:r>
          </w:p>
        </w:tc>
        <w:tc>
          <w:tcPr>
            <w:tcW w:w="1470" w:type="dxa"/>
            <w:noWrap/>
            <w:vAlign w:val="center"/>
          </w:tcPr>
          <w:p w14:paraId="432DCCD1">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2A39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40" w:type="dxa"/>
            <w:noWrap/>
            <w:vAlign w:val="center"/>
          </w:tcPr>
          <w:p w14:paraId="597CBD50">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注册资金</w:t>
            </w:r>
          </w:p>
        </w:tc>
        <w:tc>
          <w:tcPr>
            <w:tcW w:w="2681" w:type="dxa"/>
            <w:gridSpan w:val="2"/>
            <w:noWrap/>
            <w:vAlign w:val="center"/>
          </w:tcPr>
          <w:p w14:paraId="0CCCDF16">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vMerge w:val="continue"/>
            <w:noWrap/>
            <w:vAlign w:val="center"/>
          </w:tcPr>
          <w:p w14:paraId="3627388F">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836" w:type="dxa"/>
            <w:gridSpan w:val="3"/>
            <w:noWrap/>
            <w:vAlign w:val="center"/>
          </w:tcPr>
          <w:p w14:paraId="5AEF409F">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中级职称人员</w:t>
            </w:r>
          </w:p>
        </w:tc>
        <w:tc>
          <w:tcPr>
            <w:tcW w:w="1470" w:type="dxa"/>
            <w:noWrap/>
            <w:vAlign w:val="center"/>
          </w:tcPr>
          <w:p w14:paraId="481DD8E7">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08B1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540" w:type="dxa"/>
            <w:noWrap/>
            <w:vAlign w:val="center"/>
          </w:tcPr>
          <w:p w14:paraId="66F1E167">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基本账户</w:t>
            </w:r>
          </w:p>
          <w:p w14:paraId="2CDF0567">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开户银行</w:t>
            </w:r>
          </w:p>
        </w:tc>
        <w:tc>
          <w:tcPr>
            <w:tcW w:w="2681" w:type="dxa"/>
            <w:gridSpan w:val="2"/>
            <w:noWrap/>
            <w:vAlign w:val="center"/>
          </w:tcPr>
          <w:p w14:paraId="5A260E0C">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vMerge w:val="continue"/>
            <w:noWrap/>
            <w:vAlign w:val="center"/>
          </w:tcPr>
          <w:p w14:paraId="5E270CEB">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836" w:type="dxa"/>
            <w:gridSpan w:val="3"/>
            <w:noWrap/>
            <w:vAlign w:val="center"/>
          </w:tcPr>
          <w:p w14:paraId="0EC331D0">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初级职称人员</w:t>
            </w:r>
          </w:p>
        </w:tc>
        <w:tc>
          <w:tcPr>
            <w:tcW w:w="1470" w:type="dxa"/>
            <w:noWrap/>
            <w:vAlign w:val="center"/>
          </w:tcPr>
          <w:p w14:paraId="1BC35A1E">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6B31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jc w:val="center"/>
        </w:trPr>
        <w:tc>
          <w:tcPr>
            <w:tcW w:w="1540" w:type="dxa"/>
            <w:noWrap/>
            <w:vAlign w:val="center"/>
          </w:tcPr>
          <w:p w14:paraId="606A4E8E">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基本账户</w:t>
            </w:r>
          </w:p>
          <w:p w14:paraId="1E93E867">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银行账号</w:t>
            </w:r>
          </w:p>
        </w:tc>
        <w:tc>
          <w:tcPr>
            <w:tcW w:w="2681" w:type="dxa"/>
            <w:gridSpan w:val="2"/>
            <w:noWrap/>
            <w:vAlign w:val="center"/>
          </w:tcPr>
          <w:p w14:paraId="7A848BB3">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293" w:type="dxa"/>
            <w:gridSpan w:val="2"/>
            <w:vMerge w:val="continue"/>
            <w:noWrap/>
            <w:vAlign w:val="center"/>
          </w:tcPr>
          <w:p w14:paraId="6EE06CB3">
            <w:pPr>
              <w:pStyle w:val="45"/>
              <w:wordWrap w:val="0"/>
              <w:adjustRightInd w:val="0"/>
              <w:snapToGrid w:val="0"/>
              <w:jc w:val="center"/>
              <w:rPr>
                <w:rFonts w:hint="eastAsia" w:ascii="宋体" w:hAnsi="宋体" w:eastAsia="宋体" w:cs="宋体"/>
                <w:snapToGrid w:val="0"/>
                <w:color w:val="auto"/>
                <w:kern w:val="0"/>
                <w:sz w:val="24"/>
                <w:highlight w:val="none"/>
              </w:rPr>
            </w:pPr>
          </w:p>
        </w:tc>
        <w:tc>
          <w:tcPr>
            <w:tcW w:w="1836" w:type="dxa"/>
            <w:gridSpan w:val="3"/>
            <w:noWrap/>
            <w:vAlign w:val="center"/>
          </w:tcPr>
          <w:p w14:paraId="113317E8">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技术员</w:t>
            </w:r>
          </w:p>
        </w:tc>
        <w:tc>
          <w:tcPr>
            <w:tcW w:w="1470" w:type="dxa"/>
            <w:noWrap/>
            <w:vAlign w:val="center"/>
          </w:tcPr>
          <w:p w14:paraId="2B55A45C">
            <w:pPr>
              <w:pStyle w:val="45"/>
              <w:wordWrap w:val="0"/>
              <w:adjustRightInd w:val="0"/>
              <w:snapToGrid w:val="0"/>
              <w:jc w:val="center"/>
              <w:rPr>
                <w:rFonts w:hint="eastAsia" w:ascii="宋体" w:hAnsi="宋体" w:eastAsia="宋体" w:cs="宋体"/>
                <w:snapToGrid w:val="0"/>
                <w:color w:val="auto"/>
                <w:kern w:val="0"/>
                <w:sz w:val="24"/>
                <w:highlight w:val="none"/>
              </w:rPr>
            </w:pPr>
          </w:p>
        </w:tc>
      </w:tr>
      <w:tr w14:paraId="5C67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1540" w:type="dxa"/>
            <w:noWrap/>
            <w:vAlign w:val="center"/>
          </w:tcPr>
          <w:p w14:paraId="08935310">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经营范围</w:t>
            </w:r>
          </w:p>
        </w:tc>
        <w:tc>
          <w:tcPr>
            <w:tcW w:w="7280" w:type="dxa"/>
            <w:gridSpan w:val="8"/>
            <w:noWrap/>
            <w:vAlign w:val="center"/>
          </w:tcPr>
          <w:p w14:paraId="4E5DF0CB">
            <w:pPr>
              <w:pStyle w:val="45"/>
              <w:wordWrap w:val="0"/>
              <w:adjustRightInd w:val="0"/>
              <w:snapToGrid w:val="0"/>
              <w:jc w:val="left"/>
              <w:rPr>
                <w:rFonts w:hint="eastAsia" w:ascii="宋体" w:hAnsi="宋体" w:eastAsia="宋体" w:cs="宋体"/>
                <w:snapToGrid w:val="0"/>
                <w:color w:val="auto"/>
                <w:kern w:val="0"/>
                <w:sz w:val="24"/>
                <w:highlight w:val="none"/>
              </w:rPr>
            </w:pPr>
          </w:p>
        </w:tc>
      </w:tr>
      <w:tr w14:paraId="6F86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540" w:type="dxa"/>
            <w:noWrap/>
            <w:vAlign w:val="center"/>
          </w:tcPr>
          <w:p w14:paraId="2778339D">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关联企业情况</w:t>
            </w:r>
          </w:p>
        </w:tc>
        <w:tc>
          <w:tcPr>
            <w:tcW w:w="7280" w:type="dxa"/>
            <w:gridSpan w:val="8"/>
            <w:noWrap/>
            <w:vAlign w:val="center"/>
          </w:tcPr>
          <w:p w14:paraId="068CCBEB">
            <w:pPr>
              <w:pStyle w:val="45"/>
              <w:wordWrap w:val="0"/>
              <w:adjustRightInd w:val="0"/>
              <w:snapToGrid w:val="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包括但不限于与投标人存在以下关系的不同单位：</w:t>
            </w:r>
          </w:p>
          <w:p w14:paraId="2FF80B84">
            <w:pPr>
              <w:pStyle w:val="45"/>
              <w:wordWrap w:val="0"/>
              <w:adjustRightInd w:val="0"/>
              <w:snapToGrid w:val="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1．法定代表人为同一人的。</w:t>
            </w:r>
          </w:p>
          <w:p w14:paraId="0FA8BC45">
            <w:pPr>
              <w:pStyle w:val="45"/>
              <w:wordWrap w:val="0"/>
              <w:adjustRightInd w:val="0"/>
              <w:snapToGrid w:val="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2．存在控股、管理关系的。</w:t>
            </w:r>
          </w:p>
          <w:p w14:paraId="31501AB3">
            <w:pPr>
              <w:pStyle w:val="45"/>
              <w:wordWrap w:val="0"/>
              <w:adjustRightInd w:val="0"/>
              <w:snapToGrid w:val="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3．主要人员相互任职的。</w:t>
            </w:r>
          </w:p>
        </w:tc>
      </w:tr>
      <w:tr w14:paraId="4E95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40" w:type="dxa"/>
            <w:noWrap/>
            <w:vAlign w:val="center"/>
          </w:tcPr>
          <w:p w14:paraId="32254593">
            <w:pPr>
              <w:pStyle w:val="45"/>
              <w:wordWrap w:val="0"/>
              <w:adjustRightInd w:val="0"/>
              <w:snapToGrid w:val="0"/>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tc>
        <w:tc>
          <w:tcPr>
            <w:tcW w:w="7280" w:type="dxa"/>
            <w:gridSpan w:val="8"/>
            <w:noWrap/>
            <w:vAlign w:val="center"/>
          </w:tcPr>
          <w:p w14:paraId="51D46F7C">
            <w:pPr>
              <w:pStyle w:val="45"/>
              <w:wordWrap w:val="0"/>
              <w:adjustRightInd w:val="0"/>
              <w:snapToGrid w:val="0"/>
              <w:jc w:val="center"/>
              <w:rPr>
                <w:rFonts w:hint="eastAsia" w:ascii="宋体" w:hAnsi="宋体" w:eastAsia="宋体" w:cs="宋体"/>
                <w:snapToGrid w:val="0"/>
                <w:color w:val="auto"/>
                <w:kern w:val="0"/>
                <w:sz w:val="24"/>
                <w:highlight w:val="none"/>
              </w:rPr>
            </w:pPr>
          </w:p>
        </w:tc>
      </w:tr>
    </w:tbl>
    <w:p w14:paraId="1CD66C6F">
      <w:pPr>
        <w:pStyle w:val="45"/>
        <w:wordWrap w:val="0"/>
        <w:adjustRightInd w:val="0"/>
        <w:snapToGrid w:val="0"/>
        <w:spacing w:line="400" w:lineRule="exact"/>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说明：</w:t>
      </w:r>
    </w:p>
    <w:bookmarkEnd w:id="288"/>
    <w:bookmarkEnd w:id="289"/>
    <w:bookmarkEnd w:id="290"/>
    <w:bookmarkEnd w:id="291"/>
    <w:bookmarkEnd w:id="292"/>
    <w:p w14:paraId="010A1FD3">
      <w:pPr>
        <w:pStyle w:val="49"/>
        <w:widowControl w:val="0"/>
        <w:wordWrap w:val="0"/>
        <w:adjustRightInd w:val="0"/>
        <w:snapToGrid w:val="0"/>
        <w:spacing w:line="360" w:lineRule="auto"/>
        <w:rPr>
          <w:rFonts w:hint="eastAsia" w:ascii="宋体" w:hAnsi="宋体" w:eastAsia="宋体" w:cs="宋体"/>
          <w:snapToGrid w:val="0"/>
          <w:color w:val="auto"/>
          <w:sz w:val="21"/>
          <w:szCs w:val="21"/>
          <w:highlight w:val="none"/>
        </w:rPr>
      </w:pPr>
      <w:bookmarkStart w:id="355" w:name="_Toc1659"/>
      <w:bookmarkStart w:id="356" w:name="_Toc535300004"/>
      <w:bookmarkStart w:id="357" w:name="_Toc534641863"/>
      <w:bookmarkStart w:id="358" w:name="_Toc118541763"/>
      <w:bookmarkStart w:id="359" w:name="_Toc210101349"/>
      <w:bookmarkStart w:id="360" w:name="_Toc48547015"/>
      <w:r>
        <w:rPr>
          <w:rFonts w:hint="eastAsia" w:ascii="宋体" w:hAnsi="宋体" w:eastAsia="宋体" w:cs="宋体"/>
          <w:snapToGrid w:val="0"/>
          <w:color w:val="auto"/>
          <w:sz w:val="21"/>
          <w:szCs w:val="21"/>
          <w:highlight w:val="none"/>
        </w:rPr>
        <w:t>1．《投标人基本情况表》后应附以下资料：</w:t>
      </w:r>
    </w:p>
    <w:p w14:paraId="6736FD68">
      <w:pPr>
        <w:pStyle w:val="49"/>
        <w:widowControl w:val="0"/>
        <w:wordWrap w:val="0"/>
        <w:adjustRightInd w:val="0"/>
        <w:snapToGrid w:val="0"/>
        <w:spacing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（1）企业营业执照、资质证书、安全生产许可证</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施工单位提供）</w:t>
      </w:r>
      <w:r>
        <w:rPr>
          <w:rFonts w:hint="eastAsia" w:ascii="宋体" w:hAnsi="宋体" w:eastAsia="宋体" w:cs="宋体"/>
          <w:snapToGrid w:val="0"/>
          <w:color w:val="auto"/>
          <w:sz w:val="21"/>
          <w:szCs w:val="21"/>
          <w:highlight w:val="none"/>
        </w:rPr>
        <w:t>的</w:t>
      </w:r>
      <w:r>
        <w:rPr>
          <w:rFonts w:hint="eastAsia" w:ascii="宋体" w:hAnsi="宋体" w:eastAsia="宋体" w:cs="宋体"/>
          <w:snapToGrid w:val="0"/>
          <w:color w:val="auto"/>
          <w:sz w:val="21"/>
          <w:szCs w:val="21"/>
          <w:highlight w:val="none"/>
          <w:lang w:val="en-US" w:eastAsia="zh-CN"/>
        </w:rPr>
        <w:t>扫描件</w:t>
      </w:r>
      <w:r>
        <w:rPr>
          <w:rFonts w:hint="eastAsia" w:ascii="宋体" w:hAnsi="宋体" w:eastAsia="宋体" w:cs="宋体"/>
          <w:b/>
          <w:bCs/>
          <w:snapToGrid w:val="0"/>
          <w:color w:val="auto"/>
          <w:sz w:val="21"/>
          <w:szCs w:val="21"/>
          <w:highlight w:val="none"/>
        </w:rPr>
        <w:t>（因推行电子证照，企业的营业执照、资质证书等可以提供电子证照。如中标后，投标单位安全生产许可证发生被暂扣情形，需双方另行协商）；</w:t>
      </w:r>
    </w:p>
    <w:p w14:paraId="5389D31A">
      <w:pPr>
        <w:pStyle w:val="49"/>
        <w:widowControl w:val="0"/>
        <w:wordWrap w:val="0"/>
        <w:adjustRightInd w:val="0"/>
        <w:snapToGrid w:val="0"/>
        <w:spacing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（2）外省建筑企业须提供“进粤企业和人员诚信信息登记平台”企业信息情况打印页。</w:t>
      </w:r>
    </w:p>
    <w:p w14:paraId="6A682EE4">
      <w:pPr>
        <w:pStyle w:val="49"/>
        <w:widowControl w:val="0"/>
        <w:wordWrap w:val="0"/>
        <w:adjustRightInd w:val="0"/>
        <w:snapToGrid w:val="0"/>
        <w:spacing w:line="360" w:lineRule="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lang w:val="en-US" w:eastAsia="zh-CN"/>
        </w:rPr>
        <w:t>3</w:t>
      </w:r>
      <w:r>
        <w:rPr>
          <w:rFonts w:hint="eastAsia" w:ascii="宋体" w:hAnsi="宋体" w:eastAsia="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《法人和非法人组织公共信用信息报告》打印件（在“信用中国”网站企业查询界面中下载）。</w:t>
      </w:r>
    </w:p>
    <w:p w14:paraId="5DE360B7">
      <w:pPr>
        <w:spacing w:line="360" w:lineRule="auto"/>
        <w:rPr>
          <w:rFonts w:hint="eastAsia" w:ascii="宋体" w:hAnsi="宋体" w:eastAsia="宋体" w:cs="宋体"/>
        </w:rPr>
        <w:sectPr>
          <w:endnotePr>
            <w:numFmt w:val="decimal"/>
          </w:endnotePr>
          <w:pgSz w:w="11906" w:h="16838"/>
          <w:pgMar w:top="1134" w:right="1134" w:bottom="1134" w:left="1134" w:header="567" w:footer="567" w:gutter="0"/>
          <w:pgNumType w:fmt="decimal"/>
          <w:cols w:space="720" w:num="1"/>
          <w:docGrid w:linePitch="327" w:charSpace="0"/>
        </w:sectPr>
      </w:pPr>
      <w:r>
        <w:rPr>
          <w:rFonts w:hint="eastAsia" w:ascii="宋体" w:hAnsi="宋体" w:eastAsia="宋体" w:cs="宋体"/>
          <w:snapToGrid w:val="0"/>
          <w:color w:val="auto"/>
          <w:sz w:val="21"/>
          <w:szCs w:val="21"/>
          <w:highlight w:val="none"/>
        </w:rPr>
        <w:t>2．联合体投标的，联合体成员单位均应填写《投标人基本情况表》并提供以上所需资料。</w:t>
      </w:r>
    </w:p>
    <w:p w14:paraId="7B12B7AB">
      <w:pPr>
        <w:pStyle w:val="3"/>
        <w:spacing w:before="120"/>
        <w:rPr>
          <w:rFonts w:hint="eastAsia" w:ascii="宋体" w:hAnsi="宋体" w:eastAsia="宋体" w:cs="宋体"/>
          <w:b/>
          <w:bCs/>
          <w:color w:val="auto"/>
          <w:szCs w:val="24"/>
          <w:highlight w:val="none"/>
        </w:rPr>
      </w:pPr>
      <w:bookmarkStart w:id="361" w:name="_Toc13683"/>
      <w:r>
        <w:rPr>
          <w:rFonts w:hint="eastAsia" w:ascii="宋体" w:hAnsi="宋体" w:eastAsia="宋体" w:cs="宋体"/>
          <w:b/>
          <w:bCs/>
          <w:color w:val="auto"/>
          <w:szCs w:val="24"/>
          <w:highlight w:val="none"/>
        </w:rPr>
        <w:t>格式八 项目经理简历表</w:t>
      </w:r>
      <w:bookmarkEnd w:id="355"/>
      <w:bookmarkEnd w:id="361"/>
    </w:p>
    <w:p w14:paraId="1B60E633">
      <w:pPr>
        <w:wordWrap w:val="0"/>
        <w:adjustRightInd w:val="0"/>
        <w:snapToGrid w:val="0"/>
        <w:spacing w:line="440" w:lineRule="exact"/>
        <w:jc w:val="left"/>
        <w:rPr>
          <w:rFonts w:hint="eastAsia" w:ascii="宋体" w:hAnsi="宋体" w:eastAsia="宋体" w:cs="宋体"/>
          <w:b/>
          <w:bCs/>
          <w:snapToGrid w:val="0"/>
          <w:color w:val="auto"/>
          <w:kern w:val="0"/>
          <w:szCs w:val="24"/>
          <w:highlight w:val="none"/>
        </w:rPr>
      </w:pPr>
    </w:p>
    <w:tbl>
      <w:tblPr>
        <w:tblStyle w:val="25"/>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BDD9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AB693B6">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3AF5AD5">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3B04145F">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662D7FFC">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138FA92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68F92F64">
            <w:pPr>
              <w:wordWrap w:val="0"/>
              <w:adjustRightInd w:val="0"/>
              <w:snapToGrid w:val="0"/>
              <w:jc w:val="center"/>
              <w:rPr>
                <w:rFonts w:hint="eastAsia" w:ascii="宋体" w:hAnsi="宋体" w:eastAsia="宋体" w:cs="宋体"/>
                <w:snapToGrid w:val="0"/>
                <w:color w:val="auto"/>
                <w:kern w:val="0"/>
                <w:szCs w:val="24"/>
                <w:highlight w:val="none"/>
              </w:rPr>
            </w:pPr>
          </w:p>
        </w:tc>
      </w:tr>
      <w:tr w14:paraId="27FFE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6DE21B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6AF14B5F">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08067CA0">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4D10F722">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C2BB3DB">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6E75530">
            <w:pPr>
              <w:wordWrap w:val="0"/>
              <w:adjustRightInd w:val="0"/>
              <w:snapToGrid w:val="0"/>
              <w:jc w:val="center"/>
              <w:rPr>
                <w:rFonts w:hint="eastAsia" w:ascii="宋体" w:hAnsi="宋体" w:eastAsia="宋体" w:cs="宋体"/>
                <w:snapToGrid w:val="0"/>
                <w:color w:val="auto"/>
                <w:kern w:val="0"/>
                <w:szCs w:val="24"/>
                <w:highlight w:val="none"/>
              </w:rPr>
            </w:pPr>
          </w:p>
        </w:tc>
      </w:tr>
      <w:tr w14:paraId="719F6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9D1D3E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3E881015">
            <w:pPr>
              <w:wordWrap w:val="0"/>
              <w:adjustRightInd w:val="0"/>
              <w:snapToGrid w:val="0"/>
              <w:jc w:val="center"/>
              <w:rPr>
                <w:rFonts w:hint="eastAsia" w:ascii="宋体" w:hAnsi="宋体" w:eastAsia="宋体" w:cs="宋体"/>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3099F2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07B9E357">
            <w:pPr>
              <w:wordWrap w:val="0"/>
              <w:adjustRightInd w:val="0"/>
              <w:snapToGrid w:val="0"/>
              <w:jc w:val="center"/>
              <w:rPr>
                <w:rFonts w:hint="eastAsia" w:ascii="宋体" w:hAnsi="宋体" w:eastAsia="宋体" w:cs="宋体"/>
                <w:snapToGrid w:val="0"/>
                <w:color w:val="auto"/>
                <w:kern w:val="0"/>
                <w:szCs w:val="24"/>
                <w:highlight w:val="none"/>
              </w:rPr>
            </w:pPr>
          </w:p>
        </w:tc>
      </w:tr>
      <w:tr w14:paraId="161A4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415689B5">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以项目经理身份参与过的主要业绩（已完工项目）</w:t>
            </w:r>
          </w:p>
        </w:tc>
      </w:tr>
      <w:tr w14:paraId="686F9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12DEB74">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837E266">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33DE015">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35DF6FC">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1553FD36">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BE8C6D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质量等级</w:t>
            </w:r>
          </w:p>
        </w:tc>
      </w:tr>
      <w:tr w14:paraId="3211B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FA2E38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1BB1449B">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DE02043">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14E19C6">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C645930">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7692C79">
            <w:pPr>
              <w:wordWrap w:val="0"/>
              <w:adjustRightInd w:val="0"/>
              <w:snapToGrid w:val="0"/>
              <w:jc w:val="center"/>
              <w:rPr>
                <w:rFonts w:hint="eastAsia" w:ascii="宋体" w:hAnsi="宋体" w:eastAsia="宋体" w:cs="宋体"/>
                <w:snapToGrid w:val="0"/>
                <w:color w:val="auto"/>
                <w:kern w:val="0"/>
                <w:szCs w:val="24"/>
                <w:highlight w:val="none"/>
              </w:rPr>
            </w:pPr>
          </w:p>
        </w:tc>
      </w:tr>
      <w:tr w14:paraId="5CDC99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08FBBAB">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D15B1EA">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D445346">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AA84187">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C968105">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B0D2FCC">
            <w:pPr>
              <w:wordWrap w:val="0"/>
              <w:adjustRightInd w:val="0"/>
              <w:snapToGrid w:val="0"/>
              <w:jc w:val="center"/>
              <w:rPr>
                <w:rFonts w:hint="eastAsia" w:ascii="宋体" w:hAnsi="宋体" w:eastAsia="宋体" w:cs="宋体"/>
                <w:snapToGrid w:val="0"/>
                <w:color w:val="auto"/>
                <w:kern w:val="0"/>
                <w:szCs w:val="24"/>
                <w:highlight w:val="none"/>
              </w:rPr>
            </w:pPr>
          </w:p>
        </w:tc>
      </w:tr>
      <w:tr w14:paraId="1E115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4B51C97">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9722634">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C74033A">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4C6DED2">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8081FAA">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DBCA08A">
            <w:pPr>
              <w:wordWrap w:val="0"/>
              <w:adjustRightInd w:val="0"/>
              <w:snapToGrid w:val="0"/>
              <w:jc w:val="center"/>
              <w:rPr>
                <w:rFonts w:hint="eastAsia" w:ascii="宋体" w:hAnsi="宋体" w:eastAsia="宋体" w:cs="宋体"/>
                <w:snapToGrid w:val="0"/>
                <w:color w:val="auto"/>
                <w:kern w:val="0"/>
                <w:szCs w:val="24"/>
                <w:highlight w:val="none"/>
              </w:rPr>
            </w:pPr>
          </w:p>
        </w:tc>
      </w:tr>
      <w:tr w14:paraId="7F954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6F64DD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4918068">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E98D01D">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FB50F33">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7762973">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5225E80">
            <w:pPr>
              <w:wordWrap w:val="0"/>
              <w:adjustRightInd w:val="0"/>
              <w:snapToGrid w:val="0"/>
              <w:jc w:val="center"/>
              <w:rPr>
                <w:rFonts w:hint="eastAsia" w:ascii="宋体" w:hAnsi="宋体" w:eastAsia="宋体" w:cs="宋体"/>
                <w:snapToGrid w:val="0"/>
                <w:color w:val="auto"/>
                <w:kern w:val="0"/>
                <w:szCs w:val="24"/>
                <w:highlight w:val="none"/>
              </w:rPr>
            </w:pPr>
          </w:p>
        </w:tc>
      </w:tr>
    </w:tbl>
    <w:p w14:paraId="2FF4F699">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Cs w:val="24"/>
          <w:highlight w:val="none"/>
        </w:rPr>
        <w:t>项目经理简历表</w:t>
      </w:r>
    </w:p>
    <w:p w14:paraId="3CC8EC87">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p>
    <w:p w14:paraId="0EFCC31F">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3E0105B1">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49FF831D">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1EA8F7B0">
      <w:pPr>
        <w:wordWrap w:val="0"/>
        <w:adjustRightInd w:val="0"/>
        <w:snapToGrid w:val="0"/>
        <w:spacing w:line="400" w:lineRule="exact"/>
        <w:ind w:firstLine="57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6025B74">
      <w:pPr>
        <w:bidi w:val="0"/>
        <w:rPr>
          <w:rFonts w:hint="eastAsia" w:ascii="宋体" w:hAnsi="宋体" w:eastAsia="宋体" w:cs="宋体"/>
          <w:color w:val="auto"/>
        </w:rPr>
      </w:pPr>
    </w:p>
    <w:p w14:paraId="53D219A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4"/>
          <w:szCs w:val="24"/>
          <w:highlight w:val="none"/>
        </w:rPr>
        <w:t>说明：《项目经理简历表》后应附拟派项目经理以下资料：</w:t>
      </w:r>
    </w:p>
    <w:p w14:paraId="2978522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1．身份证扫描件；</w:t>
      </w:r>
    </w:p>
    <w:p w14:paraId="13431C7A">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2．建造师电子注册证书（在使用有效期内的有效电子证书）扫描件；</w:t>
      </w:r>
    </w:p>
    <w:p w14:paraId="6613D27C">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3．B类安全生产考核合格证书扫描件或广东省建筑施工企业管理人员安全生产考核系统考核合格信息扫描件；</w:t>
      </w:r>
    </w:p>
    <w:p w14:paraId="55BA91B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4．在本单位缴纳社保的证明（至少</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个月，其中必须有</w:t>
      </w:r>
      <w:r>
        <w:rPr>
          <w:rFonts w:hint="eastAsia" w:ascii="宋体" w:hAnsi="宋体" w:eastAsia="宋体" w:cs="宋体"/>
          <w:snapToGrid w:val="0"/>
          <w:color w:val="auto"/>
          <w:kern w:val="0"/>
          <w:sz w:val="24"/>
          <w:szCs w:val="24"/>
          <w:highlight w:val="none"/>
          <w:lang w:val="en-US" w:eastAsia="zh-CN"/>
        </w:rPr>
        <w:t>2025年12</w:t>
      </w:r>
      <w:r>
        <w:rPr>
          <w:rFonts w:hint="eastAsia" w:ascii="宋体" w:hAnsi="宋体" w:eastAsia="宋体" w:cs="宋体"/>
          <w:snapToGrid w:val="0"/>
          <w:color w:val="auto"/>
          <w:kern w:val="0"/>
          <w:sz w:val="24"/>
          <w:szCs w:val="24"/>
          <w:highlight w:val="none"/>
        </w:rPr>
        <w:t>月）扫描件；拟派项目经理为退休返聘人员无法提供社保证明的，提供退休证和劳动合同扫描件。</w:t>
      </w:r>
    </w:p>
    <w:p w14:paraId="63F96D8C">
      <w:pPr>
        <w:wordWrap w:val="0"/>
        <w:adjustRightInd w:val="0"/>
        <w:snapToGrid w:val="0"/>
        <w:spacing w:line="400" w:lineRule="exact"/>
        <w:rPr>
          <w:rFonts w:hint="eastAsia" w:ascii="宋体" w:hAnsi="宋体" w:eastAsia="宋体" w:cs="宋体"/>
          <w:snapToGrid w:val="0"/>
          <w:color w:val="auto"/>
          <w:kern w:val="0"/>
          <w:sz w:val="21"/>
          <w:szCs w:val="21"/>
          <w:highlight w:val="none"/>
        </w:rPr>
        <w:sectPr>
          <w:endnotePr>
            <w:numFmt w:val="decimal"/>
          </w:endnotePr>
          <w:pgSz w:w="11906" w:h="16838"/>
          <w:pgMar w:top="1134" w:right="1134" w:bottom="1134" w:left="1134" w:header="850" w:footer="992" w:gutter="0"/>
          <w:pgNumType w:fmt="decimal"/>
          <w:cols w:space="720" w:num="1"/>
          <w:docGrid w:linePitch="327" w:charSpace="0"/>
        </w:sectPr>
      </w:pPr>
    </w:p>
    <w:p w14:paraId="3F3428F0">
      <w:pPr>
        <w:pStyle w:val="3"/>
        <w:spacing w:before="120"/>
        <w:rPr>
          <w:rFonts w:hint="eastAsia" w:ascii="宋体" w:hAnsi="宋体" w:eastAsia="宋体" w:cs="宋体"/>
          <w:b/>
          <w:bCs/>
          <w:color w:val="auto"/>
          <w:szCs w:val="24"/>
          <w:highlight w:val="none"/>
        </w:rPr>
      </w:pPr>
      <w:bookmarkStart w:id="362" w:name="_Toc16966"/>
      <w:r>
        <w:rPr>
          <w:rFonts w:hint="eastAsia" w:ascii="宋体" w:hAnsi="宋体" w:eastAsia="宋体" w:cs="宋体"/>
          <w:b/>
          <w:bCs/>
          <w:color w:val="auto"/>
          <w:szCs w:val="24"/>
          <w:highlight w:val="none"/>
        </w:rPr>
        <w:t>格式九 项目经理任职声明</w:t>
      </w:r>
      <w:bookmarkEnd w:id="362"/>
    </w:p>
    <w:p w14:paraId="33A0B784">
      <w:pPr>
        <w:wordWrap w:val="0"/>
        <w:adjustRightInd w:val="0"/>
        <w:snapToGrid w:val="0"/>
        <w:spacing w:line="440" w:lineRule="exact"/>
        <w:jc w:val="left"/>
        <w:rPr>
          <w:rFonts w:hint="eastAsia" w:ascii="宋体" w:hAnsi="宋体" w:eastAsia="宋体" w:cs="宋体"/>
          <w:b/>
          <w:snapToGrid w:val="0"/>
          <w:color w:val="auto"/>
          <w:kern w:val="0"/>
          <w:szCs w:val="24"/>
          <w:highlight w:val="none"/>
        </w:rPr>
      </w:pPr>
    </w:p>
    <w:p w14:paraId="4AE62B2C">
      <w:pPr>
        <w:wordWrap w:val="0"/>
        <w:adjustRightInd w:val="0"/>
        <w:snapToGrid w:val="0"/>
        <w:spacing w:before="260" w:after="260" w:line="440" w:lineRule="exact"/>
        <w:jc w:val="center"/>
        <w:rPr>
          <w:rFonts w:hint="eastAsia" w:ascii="宋体" w:hAnsi="宋体" w:eastAsia="宋体" w:cs="宋体"/>
          <w:snapToGrid w:val="0"/>
          <w:color w:val="auto"/>
          <w:kern w:val="0"/>
          <w:szCs w:val="24"/>
          <w:highlight w:val="none"/>
        </w:rPr>
      </w:pPr>
      <w:r>
        <w:rPr>
          <w:rFonts w:hint="eastAsia" w:ascii="宋体" w:hAnsi="宋体" w:eastAsia="宋体" w:cs="宋体"/>
          <w:b/>
          <w:snapToGrid w:val="0"/>
          <w:color w:val="auto"/>
          <w:kern w:val="0"/>
          <w:szCs w:val="24"/>
          <w:highlight w:val="none"/>
        </w:rPr>
        <w:t>项目经理任职声明</w:t>
      </w:r>
    </w:p>
    <w:p w14:paraId="496A06E4">
      <w:pPr>
        <w:wordWrap w:val="0"/>
        <w:adjustRightInd w:val="0"/>
        <w:snapToGrid w:val="0"/>
        <w:spacing w:line="440" w:lineRule="exact"/>
        <w:jc w:val="center"/>
        <w:rPr>
          <w:rFonts w:hint="eastAsia" w:ascii="宋体" w:hAnsi="宋体" w:eastAsia="宋体" w:cs="宋体"/>
          <w:snapToGrid w:val="0"/>
          <w:color w:val="auto"/>
          <w:kern w:val="0"/>
          <w:szCs w:val="24"/>
          <w:highlight w:val="none"/>
        </w:rPr>
      </w:pPr>
    </w:p>
    <w:p w14:paraId="38CEF12D">
      <w:pPr>
        <w:wordWrap w:val="0"/>
        <w:adjustRightInd w:val="0"/>
        <w:snapToGrid w:val="0"/>
        <w:spacing w:line="440" w:lineRule="exact"/>
        <w:rPr>
          <w:rFonts w:hint="eastAsia" w:ascii="宋体" w:hAnsi="宋体" w:eastAsia="宋体" w:cs="宋体"/>
          <w:snapToGrid w:val="0"/>
          <w:color w:val="auto"/>
          <w:kern w:val="0"/>
          <w:szCs w:val="24"/>
          <w:highlight w:val="none"/>
        </w:rPr>
      </w:pPr>
      <w:bookmarkStart w:id="363" w:name="_Toc21599"/>
      <w:r>
        <w:rPr>
          <w:rFonts w:hint="eastAsia" w:ascii="宋体" w:hAnsi="宋体" w:eastAsia="宋体" w:cs="宋体"/>
          <w:snapToGrid w:val="0"/>
          <w:color w:val="auto"/>
          <w:kern w:val="0"/>
          <w:szCs w:val="24"/>
          <w:highlight w:val="none"/>
        </w:rPr>
        <w:t>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（招标人名称）：</w:t>
      </w:r>
    </w:p>
    <w:p w14:paraId="4BCC96E4">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我方在此声明，我方拟派往</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（项目名称）的项目经理</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（项目经理姓名）现阶段没有担任任何在施（包括已中标未开工、已开工未竣工）建设工程项目的项目经理。</w:t>
      </w:r>
    </w:p>
    <w:p w14:paraId="40EC6D92">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我方保证上述信息的真实和准确，并愿意承担因我方就此弄虚作假所引起的一切法律后果。</w:t>
      </w:r>
    </w:p>
    <w:p w14:paraId="070F2E1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w:t>
      </w:r>
    </w:p>
    <w:p w14:paraId="51B32E72">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特此承诺　　</w:t>
      </w:r>
    </w:p>
    <w:p w14:paraId="78C1F8FD">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w:t>
      </w:r>
    </w:p>
    <w:p w14:paraId="6099656D">
      <w:pPr>
        <w:wordWrap w:val="0"/>
        <w:adjustRightInd w:val="0"/>
        <w:snapToGrid w:val="0"/>
        <w:spacing w:line="440" w:lineRule="exac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w:t>
      </w:r>
    </w:p>
    <w:p w14:paraId="77A5F6DF">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145F7654">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3D9C3E84">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42CEF491">
      <w:pPr>
        <w:wordWrap w:val="0"/>
        <w:adjustRightInd w:val="0"/>
        <w:snapToGrid w:val="0"/>
        <w:spacing w:line="440" w:lineRule="exact"/>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6028FA81">
      <w:pPr>
        <w:wordWrap w:val="0"/>
        <w:adjustRightInd w:val="0"/>
        <w:snapToGrid w:val="0"/>
        <w:spacing w:line="440" w:lineRule="exact"/>
        <w:jc w:val="right"/>
        <w:rPr>
          <w:rFonts w:hint="eastAsia" w:ascii="宋体" w:hAnsi="宋体" w:eastAsia="宋体" w:cs="宋体"/>
          <w:snapToGrid w:val="0"/>
          <w:color w:val="auto"/>
          <w:kern w:val="0"/>
          <w:szCs w:val="24"/>
          <w:highlight w:val="none"/>
        </w:rPr>
      </w:pPr>
    </w:p>
    <w:p w14:paraId="19AF4FB6">
      <w:pPr>
        <w:wordWrap w:val="0"/>
        <w:adjustRightInd w:val="0"/>
        <w:snapToGrid w:val="0"/>
        <w:spacing w:line="440" w:lineRule="exact"/>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2A58CF8C">
      <w:pPr>
        <w:bidi w:val="0"/>
        <w:rPr>
          <w:rFonts w:hint="eastAsia" w:ascii="宋体" w:hAnsi="宋体" w:eastAsia="宋体" w:cs="宋体"/>
          <w:color w:val="auto"/>
        </w:rPr>
      </w:pPr>
    </w:p>
    <w:p w14:paraId="4D81D67A">
      <w:pPr>
        <w:bidi w:val="0"/>
        <w:rPr>
          <w:rFonts w:hint="eastAsia" w:ascii="宋体" w:hAnsi="宋体" w:eastAsia="宋体" w:cs="宋体"/>
          <w:color w:val="auto"/>
        </w:rPr>
      </w:pPr>
    </w:p>
    <w:p w14:paraId="2862348A">
      <w:pPr>
        <w:bidi w:val="0"/>
        <w:rPr>
          <w:rFonts w:hint="eastAsia" w:ascii="宋体" w:hAnsi="宋体" w:eastAsia="宋体" w:cs="宋体"/>
          <w:color w:val="auto"/>
        </w:rPr>
      </w:pPr>
    </w:p>
    <w:p w14:paraId="00B084FD">
      <w:pPr>
        <w:bidi w:val="0"/>
        <w:rPr>
          <w:rFonts w:hint="eastAsia" w:ascii="宋体" w:hAnsi="宋体" w:eastAsia="宋体" w:cs="宋体"/>
          <w:color w:val="auto"/>
        </w:rPr>
      </w:pPr>
    </w:p>
    <w:p w14:paraId="28A4FA16">
      <w:pPr>
        <w:bidi w:val="0"/>
        <w:rPr>
          <w:rFonts w:hint="eastAsia" w:ascii="宋体" w:hAnsi="宋体" w:eastAsia="宋体" w:cs="宋体"/>
          <w:color w:val="auto"/>
        </w:rPr>
      </w:pPr>
    </w:p>
    <w:p w14:paraId="16B2D648">
      <w:pPr>
        <w:bidi w:val="0"/>
        <w:rPr>
          <w:rFonts w:hint="eastAsia" w:ascii="宋体" w:hAnsi="宋体" w:eastAsia="宋体" w:cs="宋体"/>
          <w:color w:val="auto"/>
        </w:rPr>
      </w:pPr>
    </w:p>
    <w:p w14:paraId="0DDBD341">
      <w:pPr>
        <w:bidi w:val="0"/>
        <w:rPr>
          <w:rFonts w:hint="eastAsia" w:ascii="宋体" w:hAnsi="宋体" w:eastAsia="宋体" w:cs="宋体"/>
          <w:color w:val="auto"/>
        </w:rPr>
      </w:pPr>
    </w:p>
    <w:p w14:paraId="7B981CE2">
      <w:pPr>
        <w:bidi w:val="0"/>
        <w:rPr>
          <w:rFonts w:hint="eastAsia" w:ascii="宋体" w:hAnsi="宋体" w:eastAsia="宋体" w:cs="宋体"/>
          <w:color w:val="auto"/>
        </w:rPr>
      </w:pPr>
    </w:p>
    <w:p w14:paraId="1C075E8F">
      <w:pPr>
        <w:bidi w:val="0"/>
        <w:rPr>
          <w:rFonts w:hint="eastAsia" w:ascii="宋体" w:hAnsi="宋体" w:eastAsia="宋体" w:cs="宋体"/>
          <w:color w:val="auto"/>
        </w:rPr>
      </w:pPr>
    </w:p>
    <w:p w14:paraId="6CC02912">
      <w:pPr>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br w:type="page"/>
      </w:r>
    </w:p>
    <w:p w14:paraId="02D8DF69">
      <w:pPr>
        <w:pStyle w:val="3"/>
        <w:spacing w:before="120"/>
        <w:rPr>
          <w:rFonts w:hint="eastAsia" w:ascii="宋体" w:hAnsi="宋体" w:eastAsia="宋体" w:cs="宋体"/>
          <w:b/>
          <w:bCs/>
          <w:color w:val="auto"/>
          <w:szCs w:val="24"/>
          <w:highlight w:val="none"/>
        </w:rPr>
      </w:pPr>
      <w:bookmarkStart w:id="364" w:name="_Toc9590"/>
      <w:r>
        <w:rPr>
          <w:rFonts w:hint="eastAsia" w:ascii="宋体" w:hAnsi="宋体" w:eastAsia="宋体" w:cs="宋体"/>
          <w:b/>
          <w:bCs/>
          <w:color w:val="auto"/>
          <w:szCs w:val="24"/>
          <w:highlight w:val="none"/>
        </w:rPr>
        <w:t>格式十 项目技术负责人简历表</w:t>
      </w:r>
      <w:bookmarkEnd w:id="363"/>
      <w:bookmarkEnd w:id="364"/>
    </w:p>
    <w:p w14:paraId="1A7635B4">
      <w:pPr>
        <w:wordWrap w:val="0"/>
        <w:adjustRightInd w:val="0"/>
        <w:snapToGrid w:val="0"/>
        <w:spacing w:line="440" w:lineRule="exact"/>
        <w:jc w:val="left"/>
        <w:rPr>
          <w:rFonts w:hint="eastAsia" w:ascii="宋体" w:hAnsi="宋体" w:eastAsia="宋体" w:cs="宋体"/>
          <w:b/>
          <w:bCs/>
          <w:snapToGrid w:val="0"/>
          <w:color w:val="auto"/>
          <w:kern w:val="0"/>
          <w:szCs w:val="24"/>
          <w:highlight w:val="none"/>
        </w:rPr>
      </w:pPr>
    </w:p>
    <w:tbl>
      <w:tblPr>
        <w:tblStyle w:val="25"/>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66C0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4BC1A9D">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6953D55D">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4D2C3A20">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6E6BE9C8">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20F3FEC1">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2208771C">
            <w:pPr>
              <w:wordWrap w:val="0"/>
              <w:adjustRightInd w:val="0"/>
              <w:snapToGrid w:val="0"/>
              <w:jc w:val="center"/>
              <w:rPr>
                <w:rFonts w:hint="eastAsia" w:ascii="宋体" w:hAnsi="宋体" w:eastAsia="宋体" w:cs="宋体"/>
                <w:snapToGrid w:val="0"/>
                <w:color w:val="auto"/>
                <w:kern w:val="0"/>
                <w:szCs w:val="24"/>
                <w:highlight w:val="none"/>
              </w:rPr>
            </w:pPr>
          </w:p>
        </w:tc>
      </w:tr>
      <w:tr w14:paraId="7A7EE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127B6F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9FC45C8">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0349899">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5BF19DF6">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227B7A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6259601F">
            <w:pPr>
              <w:wordWrap w:val="0"/>
              <w:adjustRightInd w:val="0"/>
              <w:snapToGrid w:val="0"/>
              <w:jc w:val="center"/>
              <w:rPr>
                <w:rFonts w:hint="eastAsia" w:ascii="宋体" w:hAnsi="宋体" w:eastAsia="宋体" w:cs="宋体"/>
                <w:snapToGrid w:val="0"/>
                <w:color w:val="auto"/>
                <w:kern w:val="0"/>
                <w:szCs w:val="24"/>
                <w:highlight w:val="none"/>
              </w:rPr>
            </w:pPr>
          </w:p>
        </w:tc>
      </w:tr>
      <w:tr w14:paraId="54652C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B61BEFB">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021011F1">
            <w:pPr>
              <w:wordWrap w:val="0"/>
              <w:adjustRightInd w:val="0"/>
              <w:snapToGrid w:val="0"/>
              <w:jc w:val="center"/>
              <w:rPr>
                <w:rFonts w:hint="eastAsia" w:ascii="宋体" w:hAnsi="宋体" w:eastAsia="宋体" w:cs="宋体"/>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7F1B59ED">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55348932">
            <w:pPr>
              <w:wordWrap w:val="0"/>
              <w:adjustRightInd w:val="0"/>
              <w:snapToGrid w:val="0"/>
              <w:jc w:val="center"/>
              <w:rPr>
                <w:rFonts w:hint="eastAsia" w:ascii="宋体" w:hAnsi="宋体" w:eastAsia="宋体" w:cs="宋体"/>
                <w:snapToGrid w:val="0"/>
                <w:color w:val="auto"/>
                <w:kern w:val="0"/>
                <w:szCs w:val="24"/>
                <w:highlight w:val="none"/>
              </w:rPr>
            </w:pPr>
          </w:p>
        </w:tc>
      </w:tr>
      <w:tr w14:paraId="5F0D1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F354C07">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以项目技术负责人身份参与过的主要业绩（已完工项目）</w:t>
            </w:r>
          </w:p>
        </w:tc>
      </w:tr>
      <w:tr w14:paraId="7DF0A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75D261F">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A816E29">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20A1DC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5ADED8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4C7E10A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7D91E5D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质量等级</w:t>
            </w:r>
          </w:p>
        </w:tc>
      </w:tr>
      <w:tr w14:paraId="166C5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B56942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24240D5">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9B1426B">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44FEE89">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10BBC4E">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7665610">
            <w:pPr>
              <w:wordWrap w:val="0"/>
              <w:adjustRightInd w:val="0"/>
              <w:snapToGrid w:val="0"/>
              <w:jc w:val="center"/>
              <w:rPr>
                <w:rFonts w:hint="eastAsia" w:ascii="宋体" w:hAnsi="宋体" w:eastAsia="宋体" w:cs="宋体"/>
                <w:snapToGrid w:val="0"/>
                <w:color w:val="auto"/>
                <w:kern w:val="0"/>
                <w:szCs w:val="24"/>
                <w:highlight w:val="none"/>
              </w:rPr>
            </w:pPr>
          </w:p>
        </w:tc>
      </w:tr>
      <w:tr w14:paraId="7701E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7015136">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80228DE">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B075E7A">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E5D059B">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6BA0DCD">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07AFC90">
            <w:pPr>
              <w:wordWrap w:val="0"/>
              <w:adjustRightInd w:val="0"/>
              <w:snapToGrid w:val="0"/>
              <w:jc w:val="center"/>
              <w:rPr>
                <w:rFonts w:hint="eastAsia" w:ascii="宋体" w:hAnsi="宋体" w:eastAsia="宋体" w:cs="宋体"/>
                <w:snapToGrid w:val="0"/>
                <w:color w:val="auto"/>
                <w:kern w:val="0"/>
                <w:szCs w:val="24"/>
                <w:highlight w:val="none"/>
              </w:rPr>
            </w:pPr>
          </w:p>
        </w:tc>
      </w:tr>
      <w:tr w14:paraId="61E915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629E6D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6CA57C">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E1F2AC3">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380F7A2">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7FFB196">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6D5609F">
            <w:pPr>
              <w:wordWrap w:val="0"/>
              <w:adjustRightInd w:val="0"/>
              <w:snapToGrid w:val="0"/>
              <w:jc w:val="center"/>
              <w:rPr>
                <w:rFonts w:hint="eastAsia" w:ascii="宋体" w:hAnsi="宋体" w:eastAsia="宋体" w:cs="宋体"/>
                <w:snapToGrid w:val="0"/>
                <w:color w:val="auto"/>
                <w:kern w:val="0"/>
                <w:szCs w:val="24"/>
                <w:highlight w:val="none"/>
              </w:rPr>
            </w:pPr>
          </w:p>
        </w:tc>
      </w:tr>
      <w:tr w14:paraId="4B026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21B2C5F">
            <w:pPr>
              <w:wordWrap w:val="0"/>
              <w:adjustRightInd w:val="0"/>
              <w:snapToGrid w:val="0"/>
              <w:jc w:val="center"/>
              <w:rPr>
                <w:rFonts w:hint="eastAsia" w:ascii="宋体" w:hAnsi="宋体" w:eastAsia="宋体" w:cs="宋体"/>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897896A">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1EBAFD7">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C6EE0A3">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9353AAB">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EFE8CBB">
            <w:pPr>
              <w:wordWrap w:val="0"/>
              <w:adjustRightInd w:val="0"/>
              <w:snapToGrid w:val="0"/>
              <w:jc w:val="center"/>
              <w:rPr>
                <w:rFonts w:hint="eastAsia" w:ascii="宋体" w:hAnsi="宋体" w:eastAsia="宋体" w:cs="宋体"/>
                <w:snapToGrid w:val="0"/>
                <w:color w:val="auto"/>
                <w:kern w:val="0"/>
                <w:szCs w:val="24"/>
                <w:highlight w:val="none"/>
              </w:rPr>
            </w:pPr>
          </w:p>
        </w:tc>
      </w:tr>
      <w:tr w14:paraId="62D04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54654AE">
            <w:pPr>
              <w:wordWrap w:val="0"/>
              <w:adjustRightInd w:val="0"/>
              <w:snapToGrid w:val="0"/>
              <w:jc w:val="center"/>
              <w:rPr>
                <w:rFonts w:hint="eastAsia" w:ascii="宋体" w:hAnsi="宋体" w:eastAsia="宋体" w:cs="宋体"/>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4D1CF10">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A3659F2">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2D729DD">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A9E7718">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39BC217">
            <w:pPr>
              <w:wordWrap w:val="0"/>
              <w:adjustRightInd w:val="0"/>
              <w:snapToGrid w:val="0"/>
              <w:jc w:val="center"/>
              <w:rPr>
                <w:rFonts w:hint="eastAsia" w:ascii="宋体" w:hAnsi="宋体" w:eastAsia="宋体" w:cs="宋体"/>
                <w:snapToGrid w:val="0"/>
                <w:color w:val="auto"/>
                <w:kern w:val="0"/>
                <w:szCs w:val="24"/>
                <w:highlight w:val="none"/>
              </w:rPr>
            </w:pPr>
          </w:p>
        </w:tc>
      </w:tr>
    </w:tbl>
    <w:p w14:paraId="75FEBD0A">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Cs w:val="24"/>
          <w:highlight w:val="none"/>
        </w:rPr>
        <w:t>项目技术负责人简历表</w:t>
      </w:r>
    </w:p>
    <w:p w14:paraId="3C96FA4F">
      <w:pPr>
        <w:pStyle w:val="50"/>
        <w:wordWrap w:val="0"/>
        <w:adjustRightInd w:val="0"/>
        <w:snapToGrid w:val="0"/>
        <w:spacing w:line="440" w:lineRule="exact"/>
        <w:jc w:val="both"/>
        <w:rPr>
          <w:rFonts w:hint="eastAsia" w:ascii="宋体" w:hAnsi="宋体" w:eastAsia="宋体" w:cs="宋体"/>
          <w:snapToGrid w:val="0"/>
          <w:color w:val="auto"/>
          <w:kern w:val="0"/>
          <w:sz w:val="24"/>
          <w:szCs w:val="24"/>
          <w:highlight w:val="none"/>
        </w:rPr>
      </w:pPr>
    </w:p>
    <w:p w14:paraId="1621A5FD">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6A1B25C6">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72CF609B">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7380BCEA">
      <w:pPr>
        <w:pStyle w:val="50"/>
        <w:wordWrap w:val="0"/>
        <w:adjustRightInd w:val="0"/>
        <w:snapToGrid w:val="0"/>
        <w:spacing w:line="4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9A6B03E">
      <w:pPr>
        <w:wordWrap w:val="0"/>
        <w:adjustRightInd w:val="0"/>
        <w:snapToGrid w:val="0"/>
        <w:spacing w:line="400" w:lineRule="exact"/>
        <w:ind w:firstLine="570"/>
        <w:rPr>
          <w:rFonts w:hint="eastAsia" w:ascii="宋体" w:hAnsi="宋体" w:eastAsia="宋体" w:cs="宋体"/>
          <w:snapToGrid w:val="0"/>
          <w:color w:val="auto"/>
          <w:kern w:val="0"/>
          <w:szCs w:val="24"/>
          <w:highlight w:val="none"/>
        </w:rPr>
      </w:pPr>
    </w:p>
    <w:p w14:paraId="287BABC2">
      <w:pPr>
        <w:pStyle w:val="50"/>
        <w:wordWrap w:val="0"/>
        <w:adjustRightInd w:val="0"/>
        <w:snapToGrid w:val="0"/>
        <w:spacing w:line="440" w:lineRule="exact"/>
        <w:jc w:val="center"/>
        <w:rPr>
          <w:rFonts w:hint="eastAsia" w:ascii="宋体" w:hAnsi="宋体" w:eastAsia="宋体" w:cs="宋体"/>
          <w:snapToGrid w:val="0"/>
          <w:color w:val="auto"/>
          <w:kern w:val="0"/>
          <w:sz w:val="24"/>
          <w:szCs w:val="24"/>
          <w:highlight w:val="none"/>
        </w:rPr>
      </w:pPr>
    </w:p>
    <w:p w14:paraId="09322181">
      <w:pPr>
        <w:wordWrap w:val="0"/>
        <w:adjustRightInd w:val="0"/>
        <w:snapToGrid w:val="0"/>
        <w:spacing w:line="400" w:lineRule="exact"/>
        <w:ind w:firstLine="570"/>
        <w:rPr>
          <w:rFonts w:hint="eastAsia" w:ascii="宋体" w:hAnsi="宋体" w:eastAsia="宋体" w:cs="宋体"/>
          <w:snapToGrid w:val="0"/>
          <w:color w:val="auto"/>
          <w:kern w:val="0"/>
          <w:szCs w:val="24"/>
          <w:highlight w:val="none"/>
        </w:rPr>
      </w:pPr>
    </w:p>
    <w:p w14:paraId="390C3B43">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4"/>
          <w:szCs w:val="24"/>
          <w:highlight w:val="none"/>
        </w:rPr>
        <w:t xml:space="preserve"> 说明：《项目技术负责人简历表》后应附拟派项目技术负责人以下资料：</w:t>
      </w:r>
    </w:p>
    <w:p w14:paraId="297766EA">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1．身份证扫描件；</w:t>
      </w:r>
    </w:p>
    <w:p w14:paraId="41C92C3A">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2．职称证扫描件；</w:t>
      </w:r>
    </w:p>
    <w:p w14:paraId="0BB5DB10">
      <w:pPr>
        <w:wordWrap w:val="0"/>
        <w:adjustRightInd w:val="0"/>
        <w:snapToGrid w:val="0"/>
        <w:spacing w:line="400" w:lineRule="exact"/>
        <w:ind w:firstLine="480" w:firstLineChars="200"/>
        <w:rPr>
          <w:rFonts w:hint="eastAsia" w:ascii="宋体" w:hAnsi="宋体" w:eastAsia="宋体" w:cs="宋体"/>
          <w:snapToGrid w:val="0"/>
          <w:color w:val="auto"/>
          <w:sz w:val="24"/>
          <w:szCs w:val="24"/>
          <w:highlight w:val="none"/>
        </w:rPr>
        <w:sectPr>
          <w:endnotePr>
            <w:numFmt w:val="decimal"/>
          </w:endnotePr>
          <w:pgSz w:w="11906" w:h="16838"/>
          <w:pgMar w:top="1134" w:right="1134" w:bottom="1134" w:left="1134" w:header="850" w:footer="992" w:gutter="0"/>
          <w:pgNumType w:fmt="decimal"/>
          <w:cols w:space="720" w:num="1"/>
          <w:docGrid w:linePitch="327" w:charSpace="0"/>
        </w:sectPr>
      </w:pPr>
      <w:r>
        <w:rPr>
          <w:rFonts w:hint="eastAsia" w:ascii="宋体" w:hAnsi="宋体" w:eastAsia="宋体" w:cs="宋体"/>
          <w:snapToGrid w:val="0"/>
          <w:color w:val="auto"/>
          <w:kern w:val="0"/>
          <w:sz w:val="24"/>
          <w:szCs w:val="24"/>
          <w:highlight w:val="none"/>
        </w:rPr>
        <w:t>3．在本单位缴纳社保的证明（至少</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个月，其中必须有</w:t>
      </w:r>
      <w:r>
        <w:rPr>
          <w:rFonts w:hint="eastAsia" w:ascii="宋体" w:hAnsi="宋体" w:eastAsia="宋体" w:cs="宋体"/>
          <w:snapToGrid w:val="0"/>
          <w:color w:val="auto"/>
          <w:kern w:val="0"/>
          <w:sz w:val="24"/>
          <w:szCs w:val="24"/>
          <w:highlight w:val="none"/>
          <w:lang w:val="en-US" w:eastAsia="zh-CN"/>
        </w:rPr>
        <w:t>2025年12</w:t>
      </w:r>
      <w:r>
        <w:rPr>
          <w:rFonts w:hint="eastAsia" w:ascii="宋体" w:hAnsi="宋体" w:eastAsia="宋体" w:cs="宋体"/>
          <w:snapToGrid w:val="0"/>
          <w:color w:val="auto"/>
          <w:kern w:val="0"/>
          <w:sz w:val="24"/>
          <w:szCs w:val="24"/>
          <w:highlight w:val="none"/>
        </w:rPr>
        <w:t>月）扫描件；拟派技术负责人为退休返聘人员无法提供社保证明的，提供退休证和劳动合同扫描件。</w:t>
      </w:r>
    </w:p>
    <w:p w14:paraId="1833FD13">
      <w:pPr>
        <w:pStyle w:val="3"/>
        <w:spacing w:before="120"/>
        <w:rPr>
          <w:rFonts w:hint="eastAsia" w:ascii="宋体" w:hAnsi="宋体" w:eastAsia="宋体" w:cs="宋体"/>
          <w:b/>
          <w:bCs/>
          <w:color w:val="auto"/>
          <w:szCs w:val="24"/>
          <w:highlight w:val="none"/>
        </w:rPr>
      </w:pPr>
      <w:bookmarkStart w:id="365" w:name="_Toc29849"/>
      <w:bookmarkStart w:id="366" w:name="_Toc31518"/>
      <w:r>
        <w:rPr>
          <w:rFonts w:hint="eastAsia" w:ascii="宋体" w:hAnsi="宋体" w:eastAsia="宋体" w:cs="宋体"/>
          <w:b/>
          <w:bCs/>
          <w:color w:val="auto"/>
          <w:szCs w:val="24"/>
          <w:highlight w:val="none"/>
        </w:rPr>
        <w:t>格式十一 项目设计负责人简历表</w:t>
      </w:r>
      <w:bookmarkEnd w:id="365"/>
      <w:bookmarkEnd w:id="366"/>
    </w:p>
    <w:p w14:paraId="68737285">
      <w:pPr>
        <w:wordWrap w:val="0"/>
        <w:adjustRightInd w:val="0"/>
        <w:snapToGrid w:val="0"/>
        <w:spacing w:line="440" w:lineRule="exact"/>
        <w:jc w:val="left"/>
        <w:rPr>
          <w:rFonts w:hint="eastAsia" w:ascii="宋体" w:hAnsi="宋体" w:eastAsia="宋体" w:cs="宋体"/>
          <w:b/>
          <w:bCs/>
          <w:snapToGrid w:val="0"/>
          <w:color w:val="auto"/>
          <w:kern w:val="0"/>
          <w:szCs w:val="24"/>
          <w:highlight w:val="none"/>
        </w:rPr>
      </w:pPr>
    </w:p>
    <w:tbl>
      <w:tblPr>
        <w:tblStyle w:val="25"/>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0DA2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41B496B">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3F37F8F9">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74D04A6">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性  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750ADFDC">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767A361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年   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627625DE">
            <w:pPr>
              <w:wordWrap w:val="0"/>
              <w:adjustRightInd w:val="0"/>
              <w:snapToGrid w:val="0"/>
              <w:jc w:val="center"/>
              <w:rPr>
                <w:rFonts w:hint="eastAsia" w:ascii="宋体" w:hAnsi="宋体" w:eastAsia="宋体" w:cs="宋体"/>
                <w:snapToGrid w:val="0"/>
                <w:color w:val="auto"/>
                <w:kern w:val="0"/>
                <w:szCs w:val="24"/>
                <w:highlight w:val="none"/>
              </w:rPr>
            </w:pPr>
          </w:p>
        </w:tc>
      </w:tr>
      <w:tr w14:paraId="2F8FC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A1ECF8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17D137F">
            <w:pPr>
              <w:wordWrap w:val="0"/>
              <w:adjustRightInd w:val="0"/>
              <w:snapToGrid w:val="0"/>
              <w:jc w:val="center"/>
              <w:rPr>
                <w:rFonts w:hint="eastAsia" w:ascii="宋体" w:hAnsi="宋体" w:eastAsia="宋体" w:cs="宋体"/>
                <w:snapToGrid w:val="0"/>
                <w:color w:val="auto"/>
                <w:kern w:val="0"/>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2C450621">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  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0C2B18BC">
            <w:pPr>
              <w:wordWrap w:val="0"/>
              <w:adjustRightInd w:val="0"/>
              <w:snapToGrid w:val="0"/>
              <w:jc w:val="center"/>
              <w:rPr>
                <w:rFonts w:hint="eastAsia" w:ascii="宋体" w:hAnsi="宋体" w:eastAsia="宋体" w:cs="宋体"/>
                <w:snapToGrid w:val="0"/>
                <w:color w:val="auto"/>
                <w:kern w:val="0"/>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7B79E8C">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学   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54518D68">
            <w:pPr>
              <w:wordWrap w:val="0"/>
              <w:adjustRightInd w:val="0"/>
              <w:snapToGrid w:val="0"/>
              <w:jc w:val="center"/>
              <w:rPr>
                <w:rFonts w:hint="eastAsia" w:ascii="宋体" w:hAnsi="宋体" w:eastAsia="宋体" w:cs="宋体"/>
                <w:snapToGrid w:val="0"/>
                <w:color w:val="auto"/>
                <w:kern w:val="0"/>
                <w:szCs w:val="24"/>
                <w:highlight w:val="none"/>
              </w:rPr>
            </w:pPr>
          </w:p>
        </w:tc>
      </w:tr>
      <w:tr w14:paraId="425E0C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E3B0FD5">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1774326A">
            <w:pPr>
              <w:wordWrap w:val="0"/>
              <w:adjustRightInd w:val="0"/>
              <w:snapToGrid w:val="0"/>
              <w:jc w:val="center"/>
              <w:rPr>
                <w:rFonts w:hint="eastAsia" w:ascii="宋体" w:hAnsi="宋体" w:eastAsia="宋体" w:cs="宋体"/>
                <w:snapToGrid w:val="0"/>
                <w:color w:val="auto"/>
                <w:kern w:val="0"/>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56D6AF0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406B6321">
            <w:pPr>
              <w:wordWrap w:val="0"/>
              <w:adjustRightInd w:val="0"/>
              <w:snapToGrid w:val="0"/>
              <w:jc w:val="center"/>
              <w:rPr>
                <w:rFonts w:hint="eastAsia" w:ascii="宋体" w:hAnsi="宋体" w:eastAsia="宋体" w:cs="宋体"/>
                <w:snapToGrid w:val="0"/>
                <w:color w:val="auto"/>
                <w:kern w:val="0"/>
                <w:szCs w:val="24"/>
                <w:highlight w:val="none"/>
              </w:rPr>
            </w:pPr>
          </w:p>
        </w:tc>
      </w:tr>
      <w:tr w14:paraId="76158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74DDC0A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以项目设计负责人身份参与过的主要业绩（已完工项目）</w:t>
            </w:r>
          </w:p>
        </w:tc>
      </w:tr>
      <w:tr w14:paraId="379BA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7F9C77C">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EEDF12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A06ADDD">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C373AA0">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51E4C079">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4E09CA4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质量等级</w:t>
            </w:r>
          </w:p>
        </w:tc>
      </w:tr>
      <w:tr w14:paraId="184A1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736F39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B6DDC34">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3E30BBD">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35DCCC7">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2F3E625">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4ACBEF5">
            <w:pPr>
              <w:wordWrap w:val="0"/>
              <w:adjustRightInd w:val="0"/>
              <w:snapToGrid w:val="0"/>
              <w:jc w:val="center"/>
              <w:rPr>
                <w:rFonts w:hint="eastAsia" w:ascii="宋体" w:hAnsi="宋体" w:eastAsia="宋体" w:cs="宋体"/>
                <w:snapToGrid w:val="0"/>
                <w:color w:val="auto"/>
                <w:kern w:val="0"/>
                <w:szCs w:val="24"/>
                <w:highlight w:val="none"/>
              </w:rPr>
            </w:pPr>
          </w:p>
        </w:tc>
      </w:tr>
      <w:tr w14:paraId="157BE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FD10A2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BFEE9DB">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D78D39B">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8C54477">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32B67B0">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27F47C60">
            <w:pPr>
              <w:wordWrap w:val="0"/>
              <w:adjustRightInd w:val="0"/>
              <w:snapToGrid w:val="0"/>
              <w:jc w:val="center"/>
              <w:rPr>
                <w:rFonts w:hint="eastAsia" w:ascii="宋体" w:hAnsi="宋体" w:eastAsia="宋体" w:cs="宋体"/>
                <w:snapToGrid w:val="0"/>
                <w:color w:val="auto"/>
                <w:kern w:val="0"/>
                <w:szCs w:val="24"/>
                <w:highlight w:val="none"/>
              </w:rPr>
            </w:pPr>
          </w:p>
        </w:tc>
      </w:tr>
      <w:tr w14:paraId="365E4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D04D1D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2D1D249">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5F27971E">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F7BE15D">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18EA3C14">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7B899A5">
            <w:pPr>
              <w:wordWrap w:val="0"/>
              <w:adjustRightInd w:val="0"/>
              <w:snapToGrid w:val="0"/>
              <w:jc w:val="center"/>
              <w:rPr>
                <w:rFonts w:hint="eastAsia" w:ascii="宋体" w:hAnsi="宋体" w:eastAsia="宋体" w:cs="宋体"/>
                <w:snapToGrid w:val="0"/>
                <w:color w:val="auto"/>
                <w:kern w:val="0"/>
                <w:szCs w:val="24"/>
                <w:highlight w:val="none"/>
              </w:rPr>
            </w:pPr>
          </w:p>
        </w:tc>
      </w:tr>
      <w:tr w14:paraId="06405A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233647D">
            <w:pPr>
              <w:wordWrap w:val="0"/>
              <w:adjustRightInd w:val="0"/>
              <w:snapToGrid w:val="0"/>
              <w:jc w:val="center"/>
              <w:rPr>
                <w:rFonts w:hint="eastAsia" w:ascii="宋体" w:hAnsi="宋体" w:eastAsia="宋体" w:cs="宋体"/>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35CD7B2">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0643182">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20D8E07">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6BC0FA95">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2B1E330">
            <w:pPr>
              <w:wordWrap w:val="0"/>
              <w:adjustRightInd w:val="0"/>
              <w:snapToGrid w:val="0"/>
              <w:jc w:val="center"/>
              <w:rPr>
                <w:rFonts w:hint="eastAsia" w:ascii="宋体" w:hAnsi="宋体" w:eastAsia="宋体" w:cs="宋体"/>
                <w:snapToGrid w:val="0"/>
                <w:color w:val="auto"/>
                <w:kern w:val="0"/>
                <w:szCs w:val="24"/>
                <w:highlight w:val="none"/>
              </w:rPr>
            </w:pPr>
          </w:p>
        </w:tc>
      </w:tr>
      <w:tr w14:paraId="69307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6A82991">
            <w:pPr>
              <w:wordWrap w:val="0"/>
              <w:adjustRightInd w:val="0"/>
              <w:snapToGrid w:val="0"/>
              <w:jc w:val="center"/>
              <w:rPr>
                <w:rFonts w:hint="eastAsia" w:ascii="宋体" w:hAnsi="宋体" w:eastAsia="宋体" w:cs="宋体"/>
                <w:snapToGrid w:val="0"/>
                <w:color w:val="auto"/>
                <w:kern w:val="0"/>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32D66A6">
            <w:pPr>
              <w:wordWrap w:val="0"/>
              <w:adjustRightInd w:val="0"/>
              <w:snapToGrid w:val="0"/>
              <w:jc w:val="center"/>
              <w:rPr>
                <w:rFonts w:hint="eastAsia" w:ascii="宋体" w:hAnsi="宋体" w:eastAsia="宋体" w:cs="宋体"/>
                <w:snapToGrid w:val="0"/>
                <w:color w:val="auto"/>
                <w:kern w:val="0"/>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210490E">
            <w:pPr>
              <w:wordWrap w:val="0"/>
              <w:adjustRightInd w:val="0"/>
              <w:snapToGrid w:val="0"/>
              <w:jc w:val="center"/>
              <w:rPr>
                <w:rFonts w:hint="eastAsia" w:ascii="宋体" w:hAnsi="宋体" w:eastAsia="宋体" w:cs="宋体"/>
                <w:snapToGrid w:val="0"/>
                <w:color w:val="auto"/>
                <w:kern w:val="0"/>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ACF5D2D">
            <w:pPr>
              <w:wordWrap w:val="0"/>
              <w:adjustRightInd w:val="0"/>
              <w:snapToGrid w:val="0"/>
              <w:jc w:val="center"/>
              <w:rPr>
                <w:rFonts w:hint="eastAsia" w:ascii="宋体" w:hAnsi="宋体" w:eastAsia="宋体" w:cs="宋体"/>
                <w:snapToGrid w:val="0"/>
                <w:color w:val="auto"/>
                <w:kern w:val="0"/>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C8C516">
            <w:pPr>
              <w:wordWrap w:val="0"/>
              <w:adjustRightInd w:val="0"/>
              <w:snapToGrid w:val="0"/>
              <w:jc w:val="center"/>
              <w:rPr>
                <w:rFonts w:hint="eastAsia" w:ascii="宋体" w:hAnsi="宋体" w:eastAsia="宋体" w:cs="宋体"/>
                <w:snapToGrid w:val="0"/>
                <w:color w:val="auto"/>
                <w:kern w:val="0"/>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3BD4A4A">
            <w:pPr>
              <w:wordWrap w:val="0"/>
              <w:adjustRightInd w:val="0"/>
              <w:snapToGrid w:val="0"/>
              <w:jc w:val="center"/>
              <w:rPr>
                <w:rFonts w:hint="eastAsia" w:ascii="宋体" w:hAnsi="宋体" w:eastAsia="宋体" w:cs="宋体"/>
                <w:snapToGrid w:val="0"/>
                <w:color w:val="auto"/>
                <w:kern w:val="0"/>
                <w:szCs w:val="24"/>
                <w:highlight w:val="none"/>
              </w:rPr>
            </w:pPr>
          </w:p>
        </w:tc>
      </w:tr>
    </w:tbl>
    <w:p w14:paraId="416BAFA1">
      <w:pPr>
        <w:wordWrap w:val="0"/>
        <w:adjustRightInd w:val="0"/>
        <w:snapToGrid w:val="0"/>
        <w:spacing w:line="440" w:lineRule="exact"/>
        <w:jc w:val="center"/>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Cs w:val="24"/>
          <w:highlight w:val="none"/>
        </w:rPr>
        <w:t>项目设计负责人简历表</w:t>
      </w:r>
    </w:p>
    <w:p w14:paraId="4946CEA6">
      <w:pPr>
        <w:wordWrap w:val="0"/>
        <w:adjustRightInd w:val="0"/>
        <w:snapToGrid w:val="0"/>
        <w:spacing w:line="440" w:lineRule="exact"/>
        <w:ind w:firstLine="570"/>
        <w:rPr>
          <w:rFonts w:hint="eastAsia" w:ascii="宋体" w:hAnsi="宋体" w:eastAsia="宋体" w:cs="宋体"/>
          <w:snapToGrid w:val="0"/>
          <w:color w:val="auto"/>
          <w:kern w:val="0"/>
          <w:szCs w:val="24"/>
          <w:highlight w:val="none"/>
        </w:rPr>
      </w:pPr>
    </w:p>
    <w:p w14:paraId="0845E0B7">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7799EBED">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r>
        <w:rPr>
          <w:rFonts w:hint="eastAsia" w:ascii="宋体" w:hAnsi="宋体" w:eastAsia="宋体" w:cs="宋体"/>
          <w:snapToGrid w:val="0"/>
          <w:color w:val="auto"/>
          <w:kern w:val="0"/>
          <w:sz w:val="24"/>
          <w:szCs w:val="24"/>
          <w:highlight w:val="none"/>
          <w:lang w:val="en-US" w:eastAsia="zh-CN"/>
        </w:rPr>
        <w:t>设计</w:t>
      </w:r>
      <w:r>
        <w:rPr>
          <w:rFonts w:hint="eastAsia" w:ascii="宋体" w:hAnsi="宋体" w:eastAsia="宋体" w:cs="宋体"/>
          <w:snapToGrid w:val="0"/>
          <w:color w:val="auto"/>
          <w:kern w:val="0"/>
          <w:sz w:val="24"/>
          <w:szCs w:val="24"/>
          <w:highlight w:val="none"/>
        </w:rPr>
        <w:t>负责人：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w:t>
      </w:r>
    </w:p>
    <w:p w14:paraId="18618765">
      <w:pPr>
        <w:pStyle w:val="50"/>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p>
    <w:p w14:paraId="2A3DB0E5">
      <w:pPr>
        <w:pStyle w:val="50"/>
        <w:wordWrap w:val="0"/>
        <w:adjustRightInd w:val="0"/>
        <w:snapToGrid w:val="0"/>
        <w:spacing w:line="44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8217C79">
      <w:pPr>
        <w:wordWrap w:val="0"/>
        <w:adjustRightInd w:val="0"/>
        <w:snapToGrid w:val="0"/>
        <w:spacing w:line="400" w:lineRule="exact"/>
        <w:ind w:firstLine="570"/>
        <w:rPr>
          <w:rFonts w:hint="eastAsia" w:ascii="宋体" w:hAnsi="宋体" w:eastAsia="宋体" w:cs="宋体"/>
          <w:snapToGrid w:val="0"/>
          <w:color w:val="auto"/>
          <w:kern w:val="0"/>
          <w:szCs w:val="24"/>
          <w:highlight w:val="none"/>
        </w:rPr>
      </w:pPr>
    </w:p>
    <w:p w14:paraId="738A3C6B">
      <w:pPr>
        <w:wordWrap w:val="0"/>
        <w:adjustRightInd w:val="0"/>
        <w:snapToGrid w:val="0"/>
        <w:spacing w:line="400" w:lineRule="exact"/>
        <w:ind w:firstLine="570"/>
        <w:rPr>
          <w:rFonts w:hint="eastAsia" w:ascii="宋体" w:hAnsi="宋体" w:eastAsia="宋体" w:cs="宋体"/>
          <w:snapToGrid w:val="0"/>
          <w:color w:val="auto"/>
          <w:kern w:val="0"/>
          <w:szCs w:val="24"/>
          <w:highlight w:val="none"/>
        </w:rPr>
      </w:pPr>
    </w:p>
    <w:p w14:paraId="4B8BA82F">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4"/>
          <w:szCs w:val="24"/>
          <w:highlight w:val="none"/>
        </w:rPr>
        <w:t>说明：《项目设计负责人简历表》后应附拟派项目设计负责人以下资料：</w:t>
      </w:r>
    </w:p>
    <w:p w14:paraId="15EA8073">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1．身份证扫描件；</w:t>
      </w:r>
    </w:p>
    <w:p w14:paraId="7602BDE6">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2．职称证扫描件；</w:t>
      </w:r>
    </w:p>
    <w:p w14:paraId="19AB4903">
      <w:pPr>
        <w:wordWrap w:val="0"/>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3．在本单位缴纳社保的证明（至少</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个月，其中必须有</w:t>
      </w:r>
      <w:r>
        <w:rPr>
          <w:rFonts w:hint="eastAsia" w:ascii="宋体" w:hAnsi="宋体" w:eastAsia="宋体" w:cs="宋体"/>
          <w:snapToGrid w:val="0"/>
          <w:color w:val="auto"/>
          <w:kern w:val="0"/>
          <w:sz w:val="24"/>
          <w:szCs w:val="24"/>
          <w:highlight w:val="none"/>
          <w:lang w:val="en-US" w:eastAsia="zh-CN"/>
        </w:rPr>
        <w:t>2025年12</w:t>
      </w:r>
      <w:r>
        <w:rPr>
          <w:rFonts w:hint="eastAsia" w:ascii="宋体" w:hAnsi="宋体" w:eastAsia="宋体" w:cs="宋体"/>
          <w:snapToGrid w:val="0"/>
          <w:color w:val="auto"/>
          <w:kern w:val="0"/>
          <w:sz w:val="24"/>
          <w:szCs w:val="24"/>
          <w:highlight w:val="none"/>
        </w:rPr>
        <w:t>月）扫描件；拟派设计负责人为退休返聘人员无法提供社保证明的，提供退休证和劳动合同扫描件。</w:t>
      </w:r>
      <w:bookmarkEnd w:id="356"/>
      <w:bookmarkEnd w:id="357"/>
      <w:bookmarkEnd w:id="358"/>
      <w:bookmarkEnd w:id="359"/>
      <w:bookmarkEnd w:id="360"/>
    </w:p>
    <w:p w14:paraId="3C9FE113">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p>
    <w:p w14:paraId="05B461D5">
      <w:pPr>
        <w:pStyle w:val="3"/>
        <w:spacing w:before="120"/>
        <w:rPr>
          <w:rFonts w:hint="eastAsia" w:ascii="宋体" w:hAnsi="宋体" w:eastAsia="宋体" w:cs="宋体"/>
          <w:bCs/>
          <w:snapToGrid w:val="0"/>
          <w:color w:val="auto"/>
          <w:szCs w:val="24"/>
          <w:highlight w:val="none"/>
        </w:rPr>
      </w:pPr>
      <w:r>
        <w:rPr>
          <w:rFonts w:hint="eastAsia" w:ascii="宋体" w:hAnsi="宋体" w:eastAsia="宋体" w:cs="宋体"/>
          <w:bCs/>
          <w:color w:val="auto"/>
          <w:szCs w:val="24"/>
          <w:highlight w:val="none"/>
        </w:rPr>
        <w:br w:type="page"/>
      </w:r>
      <w:bookmarkStart w:id="367" w:name="_Toc7177"/>
      <w:bookmarkStart w:id="368" w:name="_Toc10080"/>
      <w:bookmarkStart w:id="369" w:name="_Toc8264"/>
      <w:r>
        <w:rPr>
          <w:rFonts w:hint="eastAsia" w:ascii="宋体" w:hAnsi="宋体" w:eastAsia="宋体" w:cs="宋体"/>
          <w:b/>
          <w:snapToGrid w:val="0"/>
          <w:color w:val="auto"/>
          <w:szCs w:val="24"/>
          <w:highlight w:val="none"/>
        </w:rPr>
        <w:t>格式十二 项目管理机构组成表</w:t>
      </w:r>
      <w:bookmarkEnd w:id="367"/>
      <w:bookmarkEnd w:id="368"/>
    </w:p>
    <w:p w14:paraId="43038A9F">
      <w:pPr>
        <w:wordWrap w:val="0"/>
        <w:adjustRightInd w:val="0"/>
        <w:snapToGrid w:val="0"/>
        <w:spacing w:before="260" w:after="260" w:line="440" w:lineRule="exact"/>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项目管理机构组成表</w:t>
      </w:r>
    </w:p>
    <w:tbl>
      <w:tblPr>
        <w:tblStyle w:val="25"/>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549B77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74BCDDBC">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40ED2294">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68207DA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67B8A21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2E27A83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32F6E87D">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3D67674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备注</w:t>
            </w:r>
          </w:p>
        </w:tc>
      </w:tr>
      <w:tr w14:paraId="53F4D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632ED9C7">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p>
        </w:tc>
        <w:tc>
          <w:tcPr>
            <w:tcW w:w="1424" w:type="dxa"/>
            <w:tcBorders>
              <w:top w:val="single" w:color="auto" w:sz="6" w:space="0"/>
              <w:left w:val="single" w:color="auto" w:sz="6" w:space="0"/>
              <w:right w:val="single" w:color="auto" w:sz="6" w:space="0"/>
            </w:tcBorders>
            <w:noWrap/>
            <w:vAlign w:val="center"/>
          </w:tcPr>
          <w:p w14:paraId="1E2C8DFA">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4D30280B">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8BB52A4">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38E11C4A">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7DB4C254">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464E845">
            <w:pPr>
              <w:wordWrap w:val="0"/>
              <w:adjustRightInd w:val="0"/>
              <w:snapToGrid w:val="0"/>
              <w:jc w:val="center"/>
              <w:rPr>
                <w:rFonts w:hint="eastAsia" w:ascii="宋体" w:hAnsi="宋体" w:eastAsia="宋体" w:cs="宋体"/>
                <w:snapToGrid w:val="0"/>
                <w:color w:val="auto"/>
                <w:kern w:val="0"/>
                <w:szCs w:val="24"/>
                <w:highlight w:val="none"/>
              </w:rPr>
            </w:pPr>
          </w:p>
        </w:tc>
      </w:tr>
      <w:tr w14:paraId="6AE36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53FAD6C8">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w:t>
            </w:r>
          </w:p>
        </w:tc>
        <w:tc>
          <w:tcPr>
            <w:tcW w:w="1424" w:type="dxa"/>
            <w:tcBorders>
              <w:top w:val="single" w:color="auto" w:sz="6" w:space="0"/>
              <w:left w:val="single" w:color="auto" w:sz="6" w:space="0"/>
              <w:right w:val="single" w:color="auto" w:sz="6" w:space="0"/>
            </w:tcBorders>
            <w:noWrap/>
            <w:vAlign w:val="center"/>
          </w:tcPr>
          <w:p w14:paraId="32D9FAE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项目技术</w:t>
            </w:r>
          </w:p>
          <w:p w14:paraId="3D096C20">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2D1E4E70">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F857302">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984E490">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3DBDD8F">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390574A">
            <w:pPr>
              <w:wordWrap w:val="0"/>
              <w:adjustRightInd w:val="0"/>
              <w:snapToGrid w:val="0"/>
              <w:jc w:val="center"/>
              <w:rPr>
                <w:rFonts w:hint="eastAsia" w:ascii="宋体" w:hAnsi="宋体" w:eastAsia="宋体" w:cs="宋体"/>
                <w:snapToGrid w:val="0"/>
                <w:color w:val="auto"/>
                <w:kern w:val="0"/>
                <w:szCs w:val="24"/>
                <w:highlight w:val="none"/>
              </w:rPr>
            </w:pPr>
          </w:p>
        </w:tc>
      </w:tr>
      <w:tr w14:paraId="672A5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62758139">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w:t>
            </w:r>
          </w:p>
        </w:tc>
        <w:tc>
          <w:tcPr>
            <w:tcW w:w="1424" w:type="dxa"/>
            <w:tcBorders>
              <w:top w:val="single" w:color="auto" w:sz="6" w:space="0"/>
              <w:left w:val="single" w:color="auto" w:sz="6" w:space="0"/>
              <w:right w:val="single" w:color="auto" w:sz="6" w:space="0"/>
            </w:tcBorders>
            <w:noWrap/>
            <w:vAlign w:val="center"/>
          </w:tcPr>
          <w:p w14:paraId="76FC2AB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项目设计</w:t>
            </w:r>
          </w:p>
          <w:p w14:paraId="0997AE72">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7326BD0E">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BC0B1B1">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3E4B5A31">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1FF61C0">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7A56C291">
            <w:pPr>
              <w:wordWrap w:val="0"/>
              <w:adjustRightInd w:val="0"/>
              <w:snapToGrid w:val="0"/>
              <w:jc w:val="center"/>
              <w:rPr>
                <w:rFonts w:hint="eastAsia" w:ascii="宋体" w:hAnsi="宋体" w:eastAsia="宋体" w:cs="宋体"/>
                <w:snapToGrid w:val="0"/>
                <w:color w:val="auto"/>
                <w:kern w:val="0"/>
                <w:szCs w:val="24"/>
                <w:highlight w:val="none"/>
              </w:rPr>
            </w:pPr>
          </w:p>
        </w:tc>
      </w:tr>
      <w:tr w14:paraId="6CDEF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8C13973">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w:t>
            </w:r>
          </w:p>
        </w:tc>
        <w:tc>
          <w:tcPr>
            <w:tcW w:w="1424" w:type="dxa"/>
            <w:tcBorders>
              <w:top w:val="single" w:color="auto" w:sz="6" w:space="0"/>
              <w:left w:val="single" w:color="auto" w:sz="6" w:space="0"/>
              <w:bottom w:val="single" w:color="auto" w:sz="6" w:space="0"/>
              <w:right w:val="single" w:color="auto" w:sz="6" w:space="0"/>
            </w:tcBorders>
            <w:noWrap/>
            <w:vAlign w:val="center"/>
          </w:tcPr>
          <w:p w14:paraId="23E10759">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专职安全员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31AB856D">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BBB79C4">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3D1557CD">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0E8DCC7F">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68A7353">
            <w:pPr>
              <w:wordWrap w:val="0"/>
              <w:adjustRightInd w:val="0"/>
              <w:snapToGrid w:val="0"/>
              <w:jc w:val="center"/>
              <w:rPr>
                <w:rFonts w:hint="eastAsia" w:ascii="宋体" w:hAnsi="宋体" w:eastAsia="宋体" w:cs="宋体"/>
                <w:snapToGrid w:val="0"/>
                <w:color w:val="auto"/>
                <w:kern w:val="0"/>
                <w:szCs w:val="24"/>
                <w:highlight w:val="none"/>
              </w:rPr>
            </w:pPr>
          </w:p>
        </w:tc>
      </w:tr>
      <w:tr w14:paraId="1AE10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7EC252BA">
            <w:pPr>
              <w:wordWrap w:val="0"/>
              <w:adjustRightInd w:val="0"/>
              <w:snapToGrid w:val="0"/>
              <w:ind w:firstLine="360" w:firstLineChars="150"/>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03ED1576">
            <w:pPr>
              <w:wordWrap w:val="0"/>
              <w:adjustRightInd w:val="0"/>
              <w:snapToGrid w:val="0"/>
              <w:jc w:val="center"/>
              <w:rPr>
                <w:rFonts w:hint="eastAsia" w:ascii="宋体" w:hAnsi="宋体" w:eastAsia="宋体" w:cs="宋体"/>
                <w:snapToGrid w:val="0"/>
                <w:color w:val="auto"/>
                <w:kern w:val="0"/>
                <w:szCs w:val="24"/>
                <w:highlight w:val="none"/>
              </w:rPr>
            </w:pPr>
          </w:p>
        </w:tc>
        <w:tc>
          <w:tcPr>
            <w:tcW w:w="1358" w:type="dxa"/>
            <w:tcBorders>
              <w:top w:val="single" w:color="auto" w:sz="6" w:space="0"/>
              <w:left w:val="single" w:color="auto" w:sz="6" w:space="0"/>
              <w:bottom w:val="single" w:color="auto" w:sz="6" w:space="0"/>
              <w:right w:val="single" w:color="auto" w:sz="6" w:space="0"/>
            </w:tcBorders>
            <w:noWrap/>
            <w:vAlign w:val="center"/>
          </w:tcPr>
          <w:p w14:paraId="557D1E5F">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3692315">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E1A45F4">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E42DF27">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9B0A0EF">
            <w:pPr>
              <w:wordWrap w:val="0"/>
              <w:adjustRightInd w:val="0"/>
              <w:snapToGrid w:val="0"/>
              <w:jc w:val="center"/>
              <w:rPr>
                <w:rFonts w:hint="eastAsia" w:ascii="宋体" w:hAnsi="宋体" w:eastAsia="宋体" w:cs="宋体"/>
                <w:snapToGrid w:val="0"/>
                <w:color w:val="auto"/>
                <w:kern w:val="0"/>
                <w:szCs w:val="24"/>
                <w:highlight w:val="none"/>
              </w:rPr>
            </w:pPr>
          </w:p>
        </w:tc>
      </w:tr>
      <w:tr w14:paraId="29520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674E20A7">
            <w:pPr>
              <w:wordWrap w:val="0"/>
              <w:adjustRightInd w:val="0"/>
              <w:snapToGrid w:val="0"/>
              <w:jc w:val="center"/>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07556B76">
            <w:pPr>
              <w:wordWrap w:val="0"/>
              <w:adjustRightInd w:val="0"/>
              <w:snapToGrid w:val="0"/>
              <w:jc w:val="center"/>
              <w:rPr>
                <w:rFonts w:hint="eastAsia" w:ascii="宋体" w:hAnsi="宋体" w:eastAsia="宋体" w:cs="宋体"/>
                <w:snapToGrid w:val="0"/>
                <w:color w:val="auto"/>
                <w:kern w:val="0"/>
                <w:szCs w:val="24"/>
                <w:highlight w:val="none"/>
              </w:rPr>
            </w:pPr>
          </w:p>
        </w:tc>
        <w:tc>
          <w:tcPr>
            <w:tcW w:w="1358" w:type="dxa"/>
            <w:tcBorders>
              <w:top w:val="single" w:color="auto" w:sz="6" w:space="0"/>
              <w:left w:val="single" w:color="auto" w:sz="6" w:space="0"/>
              <w:bottom w:val="single" w:color="auto" w:sz="6" w:space="0"/>
              <w:right w:val="single" w:color="auto" w:sz="6" w:space="0"/>
            </w:tcBorders>
            <w:noWrap/>
            <w:vAlign w:val="center"/>
          </w:tcPr>
          <w:p w14:paraId="12CFA078">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7913F2A5">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1AAFFD33">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4331229C">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3AA88243">
            <w:pPr>
              <w:wordWrap w:val="0"/>
              <w:adjustRightInd w:val="0"/>
              <w:snapToGrid w:val="0"/>
              <w:jc w:val="center"/>
              <w:rPr>
                <w:rFonts w:hint="eastAsia" w:ascii="宋体" w:hAnsi="宋体" w:eastAsia="宋体" w:cs="宋体"/>
                <w:snapToGrid w:val="0"/>
                <w:color w:val="auto"/>
                <w:kern w:val="0"/>
                <w:szCs w:val="24"/>
                <w:highlight w:val="none"/>
              </w:rPr>
            </w:pPr>
          </w:p>
        </w:tc>
      </w:tr>
      <w:tr w14:paraId="52BB1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7550D751">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w:t>
            </w:r>
          </w:p>
        </w:tc>
        <w:tc>
          <w:tcPr>
            <w:tcW w:w="1424" w:type="dxa"/>
            <w:tcBorders>
              <w:top w:val="single" w:color="auto" w:sz="6" w:space="0"/>
              <w:left w:val="single" w:color="auto" w:sz="6" w:space="0"/>
              <w:bottom w:val="single" w:color="auto" w:sz="6" w:space="0"/>
              <w:right w:val="single" w:color="auto" w:sz="6" w:space="0"/>
            </w:tcBorders>
            <w:noWrap/>
            <w:vAlign w:val="center"/>
          </w:tcPr>
          <w:p w14:paraId="5783CD5E">
            <w:pPr>
              <w:wordWrap w:val="0"/>
              <w:adjustRightInd w:val="0"/>
              <w:snapToGrid w:val="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w:t>
            </w:r>
          </w:p>
        </w:tc>
        <w:tc>
          <w:tcPr>
            <w:tcW w:w="1358" w:type="dxa"/>
            <w:tcBorders>
              <w:top w:val="single" w:color="auto" w:sz="6" w:space="0"/>
              <w:left w:val="single" w:color="auto" w:sz="6" w:space="0"/>
              <w:bottom w:val="single" w:color="auto" w:sz="6" w:space="0"/>
              <w:right w:val="single" w:color="auto" w:sz="6" w:space="0"/>
            </w:tcBorders>
            <w:noWrap/>
            <w:vAlign w:val="center"/>
          </w:tcPr>
          <w:p w14:paraId="40940A13">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F073C5C">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30A693BC">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D56E907">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A1AD945">
            <w:pPr>
              <w:wordWrap w:val="0"/>
              <w:adjustRightInd w:val="0"/>
              <w:snapToGrid w:val="0"/>
              <w:jc w:val="center"/>
              <w:rPr>
                <w:rFonts w:hint="eastAsia" w:ascii="宋体" w:hAnsi="宋体" w:eastAsia="宋体" w:cs="宋体"/>
                <w:snapToGrid w:val="0"/>
                <w:color w:val="auto"/>
                <w:kern w:val="0"/>
                <w:szCs w:val="24"/>
                <w:highlight w:val="none"/>
              </w:rPr>
            </w:pPr>
          </w:p>
        </w:tc>
      </w:tr>
      <w:tr w14:paraId="581A31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68DCA7F">
            <w:pPr>
              <w:wordWrap w:val="0"/>
              <w:adjustRightInd w:val="0"/>
              <w:snapToGrid w:val="0"/>
              <w:jc w:val="center"/>
              <w:rPr>
                <w:rFonts w:hint="eastAsia" w:ascii="宋体" w:hAnsi="宋体" w:eastAsia="宋体" w:cs="宋体"/>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6B4DE005">
            <w:pPr>
              <w:wordWrap w:val="0"/>
              <w:adjustRightInd w:val="0"/>
              <w:snapToGrid w:val="0"/>
              <w:jc w:val="center"/>
              <w:rPr>
                <w:rFonts w:hint="eastAsia" w:ascii="宋体" w:hAnsi="宋体" w:eastAsia="宋体" w:cs="宋体"/>
                <w:snapToGrid w:val="0"/>
                <w:color w:val="auto"/>
                <w:kern w:val="0"/>
                <w:szCs w:val="24"/>
                <w:highlight w:val="none"/>
              </w:rPr>
            </w:pPr>
          </w:p>
        </w:tc>
        <w:tc>
          <w:tcPr>
            <w:tcW w:w="1358" w:type="dxa"/>
            <w:tcBorders>
              <w:top w:val="single" w:color="auto" w:sz="6" w:space="0"/>
              <w:left w:val="single" w:color="auto" w:sz="6" w:space="0"/>
              <w:bottom w:val="single" w:color="auto" w:sz="6" w:space="0"/>
              <w:right w:val="single" w:color="auto" w:sz="6" w:space="0"/>
            </w:tcBorders>
            <w:noWrap/>
            <w:vAlign w:val="center"/>
          </w:tcPr>
          <w:p w14:paraId="2ADB8517">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0416EF33">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F302DB3">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1C37B474">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1CF994B0">
            <w:pPr>
              <w:wordWrap w:val="0"/>
              <w:adjustRightInd w:val="0"/>
              <w:snapToGrid w:val="0"/>
              <w:jc w:val="center"/>
              <w:rPr>
                <w:rFonts w:hint="eastAsia" w:ascii="宋体" w:hAnsi="宋体" w:eastAsia="宋体" w:cs="宋体"/>
                <w:snapToGrid w:val="0"/>
                <w:color w:val="auto"/>
                <w:kern w:val="0"/>
                <w:szCs w:val="24"/>
                <w:highlight w:val="none"/>
              </w:rPr>
            </w:pPr>
          </w:p>
        </w:tc>
      </w:tr>
      <w:tr w14:paraId="18227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6"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7710DAE8">
            <w:pPr>
              <w:wordWrap w:val="0"/>
              <w:adjustRightInd w:val="0"/>
              <w:snapToGrid w:val="0"/>
              <w:jc w:val="center"/>
              <w:rPr>
                <w:rFonts w:hint="eastAsia" w:ascii="宋体" w:hAnsi="宋体" w:eastAsia="宋体" w:cs="宋体"/>
                <w:snapToGrid w:val="0"/>
                <w:color w:val="auto"/>
                <w:kern w:val="0"/>
                <w:szCs w:val="24"/>
                <w:highlight w:val="none"/>
              </w:rPr>
            </w:pPr>
          </w:p>
        </w:tc>
        <w:tc>
          <w:tcPr>
            <w:tcW w:w="1424" w:type="dxa"/>
            <w:tcBorders>
              <w:top w:val="single" w:color="auto" w:sz="6" w:space="0"/>
              <w:left w:val="single" w:color="auto" w:sz="6" w:space="0"/>
              <w:bottom w:val="single" w:color="auto" w:sz="6" w:space="0"/>
              <w:right w:val="single" w:color="auto" w:sz="6" w:space="0"/>
            </w:tcBorders>
            <w:noWrap/>
            <w:vAlign w:val="center"/>
          </w:tcPr>
          <w:p w14:paraId="56973585">
            <w:pPr>
              <w:wordWrap w:val="0"/>
              <w:adjustRightInd w:val="0"/>
              <w:snapToGrid w:val="0"/>
              <w:jc w:val="center"/>
              <w:rPr>
                <w:rFonts w:hint="eastAsia" w:ascii="宋体" w:hAnsi="宋体" w:eastAsia="宋体" w:cs="宋体"/>
                <w:snapToGrid w:val="0"/>
                <w:color w:val="auto"/>
                <w:kern w:val="0"/>
                <w:szCs w:val="24"/>
                <w:highlight w:val="none"/>
              </w:rPr>
            </w:pPr>
          </w:p>
        </w:tc>
        <w:tc>
          <w:tcPr>
            <w:tcW w:w="1358" w:type="dxa"/>
            <w:tcBorders>
              <w:top w:val="single" w:color="auto" w:sz="6" w:space="0"/>
              <w:left w:val="single" w:color="auto" w:sz="6" w:space="0"/>
              <w:bottom w:val="single" w:color="auto" w:sz="6" w:space="0"/>
              <w:right w:val="single" w:color="auto" w:sz="6" w:space="0"/>
            </w:tcBorders>
            <w:noWrap/>
            <w:vAlign w:val="center"/>
          </w:tcPr>
          <w:p w14:paraId="70E8FA5F">
            <w:pPr>
              <w:wordWrap w:val="0"/>
              <w:adjustRightInd w:val="0"/>
              <w:snapToGrid w:val="0"/>
              <w:jc w:val="center"/>
              <w:rPr>
                <w:rFonts w:hint="eastAsia" w:ascii="宋体" w:hAnsi="宋体" w:eastAsia="宋体" w:cs="宋体"/>
                <w:snapToGrid w:val="0"/>
                <w:color w:val="auto"/>
                <w:kern w:val="0"/>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9D2A5FF">
            <w:pPr>
              <w:wordWrap w:val="0"/>
              <w:adjustRightInd w:val="0"/>
              <w:snapToGrid w:val="0"/>
              <w:jc w:val="center"/>
              <w:rPr>
                <w:rFonts w:hint="eastAsia" w:ascii="宋体" w:hAnsi="宋体" w:eastAsia="宋体" w:cs="宋体"/>
                <w:snapToGrid w:val="0"/>
                <w:color w:val="auto"/>
                <w:kern w:val="0"/>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25E9BA4">
            <w:pPr>
              <w:wordWrap w:val="0"/>
              <w:adjustRightInd w:val="0"/>
              <w:snapToGrid w:val="0"/>
              <w:jc w:val="center"/>
              <w:rPr>
                <w:rFonts w:hint="eastAsia" w:ascii="宋体" w:hAnsi="宋体" w:eastAsia="宋体" w:cs="宋体"/>
                <w:snapToGrid w:val="0"/>
                <w:color w:val="auto"/>
                <w:kern w:val="0"/>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746ECF1">
            <w:pPr>
              <w:wordWrap w:val="0"/>
              <w:adjustRightInd w:val="0"/>
              <w:snapToGrid w:val="0"/>
              <w:jc w:val="center"/>
              <w:rPr>
                <w:rFonts w:hint="eastAsia" w:ascii="宋体" w:hAnsi="宋体" w:eastAsia="宋体" w:cs="宋体"/>
                <w:snapToGrid w:val="0"/>
                <w:color w:val="auto"/>
                <w:kern w:val="0"/>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76DEC61E">
            <w:pPr>
              <w:wordWrap w:val="0"/>
              <w:adjustRightInd w:val="0"/>
              <w:snapToGrid w:val="0"/>
              <w:jc w:val="center"/>
              <w:rPr>
                <w:rFonts w:hint="eastAsia" w:ascii="宋体" w:hAnsi="宋体" w:eastAsia="宋体" w:cs="宋体"/>
                <w:snapToGrid w:val="0"/>
                <w:color w:val="auto"/>
                <w:kern w:val="0"/>
                <w:szCs w:val="24"/>
                <w:highlight w:val="none"/>
              </w:rPr>
            </w:pPr>
          </w:p>
        </w:tc>
      </w:tr>
      <w:bookmarkEnd w:id="369"/>
    </w:tbl>
    <w:p w14:paraId="62C9F790">
      <w:pPr>
        <w:wordWrap w:val="0"/>
        <w:adjustRightInd w:val="0"/>
        <w:snapToGrid w:val="0"/>
        <w:spacing w:line="400" w:lineRule="exact"/>
        <w:rPr>
          <w:rFonts w:hint="eastAsia" w:ascii="宋体" w:hAnsi="宋体" w:eastAsia="宋体" w:cs="宋体"/>
          <w:snapToGrid w:val="0"/>
          <w:color w:val="auto"/>
          <w:kern w:val="0"/>
          <w:szCs w:val="24"/>
          <w:highlight w:val="none"/>
        </w:rPr>
      </w:pPr>
      <w:bookmarkStart w:id="370" w:name="_Toc25577"/>
      <w:bookmarkStart w:id="371" w:name="_Toc8648"/>
      <w:bookmarkStart w:id="372" w:name="_Toc36804690"/>
    </w:p>
    <w:p w14:paraId="6D722373">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w:t>
      </w:r>
    </w:p>
    <w:p w14:paraId="28B781B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1．《项目管理机构组成表》后应附表中拟派人员（项目经理、项目技术负责人、项目设计负责人除外）以下资料：</w:t>
      </w:r>
    </w:p>
    <w:p w14:paraId="323CEA05">
      <w:pPr>
        <w:wordWrap w:val="0"/>
        <w:adjustRightInd w:val="0"/>
        <w:snapToGrid w:val="0"/>
        <w:spacing w:line="360" w:lineRule="auto"/>
        <w:ind w:left="0" w:leftChars="0"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（1）身份证扫描件；</w:t>
      </w:r>
    </w:p>
    <w:p w14:paraId="6CD40297">
      <w:pPr>
        <w:wordWrap w:val="0"/>
        <w:adjustRightInd w:val="0"/>
        <w:snapToGrid w:val="0"/>
        <w:spacing w:line="360" w:lineRule="auto"/>
        <w:ind w:left="0" w:leftChars="0"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（2）专职安全员须提供C类安全生产考核合格证书扫描件或“广东省建筑施工企业管理人员安全生产考核系统”考核合格信息打印页；</w:t>
      </w:r>
    </w:p>
    <w:p w14:paraId="63AA042E">
      <w:pPr>
        <w:wordWrap w:val="0"/>
        <w:adjustRightInd w:val="0"/>
        <w:snapToGrid w:val="0"/>
        <w:spacing w:line="360" w:lineRule="auto"/>
        <w:ind w:left="0" w:leftChars="0"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）在本单位缴纳社保的证明（至少</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个月，其中必须有</w:t>
      </w:r>
      <w:r>
        <w:rPr>
          <w:rFonts w:hint="eastAsia" w:ascii="宋体" w:hAnsi="宋体" w:eastAsia="宋体" w:cs="宋体"/>
          <w:snapToGrid w:val="0"/>
          <w:color w:val="auto"/>
          <w:kern w:val="0"/>
          <w:sz w:val="24"/>
          <w:szCs w:val="24"/>
          <w:highlight w:val="none"/>
          <w:lang w:val="en-US" w:eastAsia="zh-CN"/>
        </w:rPr>
        <w:t>2025年12</w:t>
      </w:r>
      <w:r>
        <w:rPr>
          <w:rFonts w:hint="eastAsia" w:ascii="宋体" w:hAnsi="宋体" w:eastAsia="宋体" w:cs="宋体"/>
          <w:snapToGrid w:val="0"/>
          <w:color w:val="auto"/>
          <w:kern w:val="0"/>
          <w:sz w:val="24"/>
          <w:szCs w:val="24"/>
          <w:highlight w:val="none"/>
        </w:rPr>
        <w:t>月）扫描件；拟派人员为退休返聘人员无法提供社保证明的，提供退休证和劳动合同扫描件；</w:t>
      </w:r>
    </w:p>
    <w:p w14:paraId="28D47186">
      <w:pPr>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    2．联合体投标的，《项目管理机构组成表》应包括联合体成员单位参与项目管理机构的人员，并提供以上所需资料。</w:t>
      </w:r>
    </w:p>
    <w:p w14:paraId="653608DB">
      <w:pPr>
        <w:bidi w:val="0"/>
        <w:rPr>
          <w:rFonts w:hint="eastAsia" w:ascii="宋体" w:hAnsi="宋体" w:eastAsia="宋体" w:cs="宋体"/>
          <w:color w:val="auto"/>
        </w:rPr>
      </w:pPr>
    </w:p>
    <w:p w14:paraId="2D784CC7">
      <w:pPr>
        <w:bidi w:val="0"/>
        <w:rPr>
          <w:rFonts w:hint="eastAsia" w:ascii="宋体" w:hAnsi="宋体" w:eastAsia="宋体" w:cs="宋体"/>
          <w:color w:val="auto"/>
        </w:rPr>
      </w:pPr>
    </w:p>
    <w:p w14:paraId="3152C215">
      <w:pPr>
        <w:bidi w:val="0"/>
        <w:rPr>
          <w:rFonts w:hint="eastAsia" w:ascii="宋体" w:hAnsi="宋体" w:eastAsia="宋体" w:cs="宋体"/>
          <w:color w:val="auto"/>
        </w:rPr>
      </w:pPr>
    </w:p>
    <w:bookmarkEnd w:id="370"/>
    <w:bookmarkEnd w:id="371"/>
    <w:bookmarkEnd w:id="372"/>
    <w:p w14:paraId="26A7904D">
      <w:pPr>
        <w:rPr>
          <w:rStyle w:val="29"/>
          <w:rFonts w:hint="eastAsia" w:ascii="宋体" w:hAnsi="宋体" w:eastAsia="宋体" w:cs="宋体"/>
          <w:b/>
          <w:bCs/>
          <w:color w:val="auto"/>
          <w:sz w:val="21"/>
          <w:szCs w:val="21"/>
          <w:highlight w:val="none"/>
        </w:rPr>
      </w:pPr>
      <w:bookmarkStart w:id="373" w:name="_Toc10851"/>
      <w:r>
        <w:rPr>
          <w:rStyle w:val="29"/>
          <w:rFonts w:hint="eastAsia" w:ascii="宋体" w:hAnsi="宋体" w:eastAsia="宋体" w:cs="宋体"/>
          <w:b/>
          <w:bCs/>
          <w:color w:val="auto"/>
          <w:sz w:val="21"/>
          <w:szCs w:val="21"/>
          <w:highlight w:val="none"/>
        </w:rPr>
        <w:br w:type="page"/>
      </w:r>
    </w:p>
    <w:p w14:paraId="769E89DF">
      <w:pPr>
        <w:pStyle w:val="49"/>
        <w:widowControl w:val="0"/>
        <w:wordWrap w:val="0"/>
        <w:adjustRightInd w:val="0"/>
        <w:snapToGrid w:val="0"/>
        <w:spacing w:line="360" w:lineRule="auto"/>
        <w:rPr>
          <w:rFonts w:hint="eastAsia" w:ascii="宋体" w:hAnsi="宋体" w:eastAsia="宋体" w:cs="宋体"/>
          <w:snapToGrid w:val="0"/>
          <w:color w:val="auto"/>
          <w:sz w:val="21"/>
          <w:szCs w:val="28"/>
          <w:highlight w:val="none"/>
          <w:lang w:eastAsia="zh-CN"/>
        </w:rPr>
      </w:pPr>
      <w:r>
        <w:rPr>
          <w:rStyle w:val="29"/>
          <w:rFonts w:hint="eastAsia" w:ascii="宋体" w:hAnsi="宋体" w:eastAsia="宋体" w:cs="宋体"/>
          <w:b/>
          <w:bCs/>
          <w:color w:val="auto"/>
          <w:sz w:val="21"/>
          <w:szCs w:val="21"/>
          <w:highlight w:val="none"/>
        </w:rPr>
        <w:t>建造师查询页（有效期）</w:t>
      </w:r>
      <w:bookmarkEnd w:id="373"/>
    </w:p>
    <w:p w14:paraId="6A965DBE">
      <w:pPr>
        <w:bidi w:val="0"/>
        <w:rPr>
          <w:rFonts w:hint="eastAsia" w:ascii="宋体" w:hAnsi="宋体" w:eastAsia="宋体" w:cs="宋体"/>
          <w:color w:val="auto"/>
        </w:rPr>
      </w:pPr>
      <w:r>
        <w:rPr>
          <w:rFonts w:hint="eastAsia" w:ascii="宋体" w:hAnsi="宋体" w:eastAsia="宋体" w:cs="宋体"/>
          <w:color w:val="auto"/>
        </w:rPr>
        <w:drawing>
          <wp:anchor distT="0" distB="0" distL="114300" distR="114300" simplePos="0" relativeHeight="251663360" behindDoc="0" locked="0" layoutInCell="1" allowOverlap="1">
            <wp:simplePos x="0" y="0"/>
            <wp:positionH relativeFrom="column">
              <wp:posOffset>165735</wp:posOffset>
            </wp:positionH>
            <wp:positionV relativeFrom="paragraph">
              <wp:posOffset>12700</wp:posOffset>
            </wp:positionV>
            <wp:extent cx="5767070" cy="8064500"/>
            <wp:effectExtent l="0" t="0" r="8890" b="12700"/>
            <wp:wrapNone/>
            <wp:docPr id="1" name="图片 1" descr="32d7491b2f9802d8de0f2607fe01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d7491b2f9802d8de0f2607fe015bb"/>
                    <pic:cNvPicPr>
                      <a:picLocks noChangeAspect="1"/>
                    </pic:cNvPicPr>
                  </pic:nvPicPr>
                  <pic:blipFill>
                    <a:blip r:embed="rId11"/>
                    <a:stretch>
                      <a:fillRect/>
                    </a:stretch>
                  </pic:blipFill>
                  <pic:spPr>
                    <a:xfrm>
                      <a:off x="0" y="0"/>
                      <a:ext cx="5767070" cy="8064500"/>
                    </a:xfrm>
                    <a:prstGeom prst="rect">
                      <a:avLst/>
                    </a:prstGeom>
                    <a:noFill/>
                    <a:ln>
                      <a:noFill/>
                    </a:ln>
                  </pic:spPr>
                </pic:pic>
              </a:graphicData>
            </a:graphic>
          </wp:anchor>
        </w:drawing>
      </w:r>
    </w:p>
    <w:p w14:paraId="47012038">
      <w:pPr>
        <w:bidi w:val="0"/>
        <w:rPr>
          <w:rFonts w:hint="eastAsia" w:ascii="宋体" w:hAnsi="宋体" w:eastAsia="宋体" w:cs="宋体"/>
          <w:color w:val="auto"/>
        </w:rPr>
      </w:pPr>
      <w:bookmarkStart w:id="374" w:name="_Toc466640622"/>
      <w:bookmarkStart w:id="375" w:name="_Toc3242"/>
      <w:bookmarkStart w:id="376" w:name="_Toc3894"/>
      <w:bookmarkStart w:id="377" w:name="_Toc1879"/>
      <w:bookmarkStart w:id="378" w:name="_Toc26594"/>
      <w:bookmarkStart w:id="379" w:name="_Toc9802"/>
      <w:bookmarkStart w:id="380" w:name="_Toc420"/>
      <w:bookmarkStart w:id="381" w:name="_Toc19434"/>
      <w:bookmarkStart w:id="382" w:name="_Toc13641"/>
    </w:p>
    <w:p w14:paraId="778F4C56">
      <w:pPr>
        <w:bidi w:val="0"/>
        <w:rPr>
          <w:rFonts w:hint="eastAsia" w:ascii="宋体" w:hAnsi="宋体" w:eastAsia="宋体" w:cs="宋体"/>
          <w:color w:val="auto"/>
        </w:rPr>
      </w:pPr>
    </w:p>
    <w:p w14:paraId="34833780">
      <w:pPr>
        <w:bidi w:val="0"/>
        <w:rPr>
          <w:rFonts w:hint="eastAsia" w:ascii="宋体" w:hAnsi="宋体" w:eastAsia="宋体" w:cs="宋体"/>
          <w:color w:val="auto"/>
        </w:rPr>
      </w:pPr>
    </w:p>
    <w:p w14:paraId="33DF98BF">
      <w:pPr>
        <w:bidi w:val="0"/>
        <w:rPr>
          <w:rFonts w:hint="eastAsia" w:ascii="宋体" w:hAnsi="宋体" w:eastAsia="宋体" w:cs="宋体"/>
          <w:color w:val="auto"/>
        </w:rPr>
      </w:pPr>
    </w:p>
    <w:p w14:paraId="23719E1E">
      <w:pPr>
        <w:bidi w:val="0"/>
        <w:rPr>
          <w:rFonts w:hint="eastAsia" w:ascii="宋体" w:hAnsi="宋体" w:eastAsia="宋体" w:cs="宋体"/>
          <w:color w:val="auto"/>
        </w:rPr>
      </w:pPr>
    </w:p>
    <w:p w14:paraId="1980A71E">
      <w:pPr>
        <w:bidi w:val="0"/>
        <w:rPr>
          <w:rFonts w:hint="eastAsia" w:ascii="宋体" w:hAnsi="宋体" w:eastAsia="宋体" w:cs="宋体"/>
          <w:color w:val="auto"/>
        </w:rPr>
      </w:pPr>
    </w:p>
    <w:p w14:paraId="10752125">
      <w:pPr>
        <w:bidi w:val="0"/>
        <w:rPr>
          <w:rFonts w:hint="eastAsia" w:ascii="宋体" w:hAnsi="宋体" w:eastAsia="宋体" w:cs="宋体"/>
          <w:color w:val="auto"/>
        </w:rPr>
      </w:pPr>
    </w:p>
    <w:p w14:paraId="221ADBF0">
      <w:pPr>
        <w:bidi w:val="0"/>
        <w:rPr>
          <w:rFonts w:hint="eastAsia" w:ascii="宋体" w:hAnsi="宋体" w:eastAsia="宋体" w:cs="宋体"/>
          <w:color w:val="auto"/>
        </w:rPr>
      </w:pPr>
    </w:p>
    <w:p w14:paraId="73485C8E">
      <w:pPr>
        <w:bidi w:val="0"/>
        <w:rPr>
          <w:rFonts w:hint="eastAsia" w:ascii="宋体" w:hAnsi="宋体" w:eastAsia="宋体" w:cs="宋体"/>
          <w:color w:val="auto"/>
        </w:rPr>
      </w:pPr>
    </w:p>
    <w:p w14:paraId="15C80649">
      <w:pPr>
        <w:bidi w:val="0"/>
        <w:rPr>
          <w:rFonts w:hint="eastAsia" w:ascii="宋体" w:hAnsi="宋体" w:eastAsia="宋体" w:cs="宋体"/>
          <w:color w:val="auto"/>
        </w:rPr>
      </w:pPr>
    </w:p>
    <w:p w14:paraId="4EC6FAFC">
      <w:pPr>
        <w:bidi w:val="0"/>
        <w:rPr>
          <w:rFonts w:hint="eastAsia" w:ascii="宋体" w:hAnsi="宋体" w:eastAsia="宋体" w:cs="宋体"/>
          <w:color w:val="auto"/>
        </w:rPr>
      </w:pPr>
    </w:p>
    <w:p w14:paraId="32A936D2">
      <w:pPr>
        <w:bidi w:val="0"/>
        <w:rPr>
          <w:rFonts w:hint="eastAsia" w:ascii="宋体" w:hAnsi="宋体" w:eastAsia="宋体" w:cs="宋体"/>
          <w:color w:val="auto"/>
        </w:rPr>
      </w:pPr>
    </w:p>
    <w:p w14:paraId="0169C160">
      <w:pPr>
        <w:bidi w:val="0"/>
        <w:rPr>
          <w:rFonts w:hint="eastAsia" w:ascii="宋体" w:hAnsi="宋体" w:eastAsia="宋体" w:cs="宋体"/>
          <w:color w:val="auto"/>
        </w:rPr>
      </w:pPr>
    </w:p>
    <w:p w14:paraId="3C0C4555">
      <w:pPr>
        <w:bidi w:val="0"/>
        <w:rPr>
          <w:rFonts w:hint="eastAsia" w:ascii="宋体" w:hAnsi="宋体" w:eastAsia="宋体" w:cs="宋体"/>
          <w:color w:val="auto"/>
        </w:rPr>
      </w:pPr>
    </w:p>
    <w:p w14:paraId="00E04A63">
      <w:pPr>
        <w:bidi w:val="0"/>
        <w:rPr>
          <w:rFonts w:hint="eastAsia" w:ascii="宋体" w:hAnsi="宋体" w:eastAsia="宋体" w:cs="宋体"/>
          <w:color w:val="auto"/>
        </w:rPr>
      </w:pPr>
    </w:p>
    <w:p w14:paraId="5D0A3E17">
      <w:pPr>
        <w:bidi w:val="0"/>
        <w:rPr>
          <w:rFonts w:hint="eastAsia" w:ascii="宋体" w:hAnsi="宋体" w:eastAsia="宋体" w:cs="宋体"/>
          <w:color w:val="auto"/>
        </w:rPr>
      </w:pPr>
    </w:p>
    <w:p w14:paraId="466A157C">
      <w:pPr>
        <w:bidi w:val="0"/>
        <w:rPr>
          <w:rFonts w:hint="eastAsia" w:ascii="宋体" w:hAnsi="宋体" w:eastAsia="宋体" w:cs="宋体"/>
          <w:color w:val="auto"/>
        </w:rPr>
      </w:pPr>
    </w:p>
    <w:p w14:paraId="3DD2866A">
      <w:pPr>
        <w:bidi w:val="0"/>
        <w:rPr>
          <w:rFonts w:hint="eastAsia" w:ascii="宋体" w:hAnsi="宋体" w:eastAsia="宋体" w:cs="宋体"/>
          <w:color w:val="auto"/>
        </w:rPr>
      </w:pPr>
    </w:p>
    <w:p w14:paraId="329931D2">
      <w:pPr>
        <w:bidi w:val="0"/>
        <w:rPr>
          <w:rFonts w:hint="eastAsia" w:ascii="宋体" w:hAnsi="宋体" w:eastAsia="宋体" w:cs="宋体"/>
          <w:color w:val="auto"/>
        </w:rPr>
      </w:pPr>
    </w:p>
    <w:p w14:paraId="4041E7B6">
      <w:pPr>
        <w:bidi w:val="0"/>
        <w:rPr>
          <w:rFonts w:hint="eastAsia" w:ascii="宋体" w:hAnsi="宋体" w:eastAsia="宋体" w:cs="宋体"/>
          <w:color w:val="auto"/>
        </w:rPr>
      </w:pPr>
    </w:p>
    <w:p w14:paraId="2245C350">
      <w:pPr>
        <w:bidi w:val="0"/>
        <w:rPr>
          <w:rFonts w:hint="eastAsia" w:ascii="宋体" w:hAnsi="宋体" w:eastAsia="宋体" w:cs="宋体"/>
          <w:color w:val="auto"/>
        </w:rPr>
      </w:pPr>
    </w:p>
    <w:p w14:paraId="2A5DFE76">
      <w:pPr>
        <w:bidi w:val="0"/>
        <w:rPr>
          <w:rFonts w:hint="eastAsia" w:ascii="宋体" w:hAnsi="宋体" w:eastAsia="宋体" w:cs="宋体"/>
          <w:color w:val="auto"/>
        </w:rPr>
      </w:pPr>
    </w:p>
    <w:p w14:paraId="032EE2F3">
      <w:pPr>
        <w:bidi w:val="0"/>
        <w:rPr>
          <w:rFonts w:hint="eastAsia" w:ascii="宋体" w:hAnsi="宋体" w:eastAsia="宋体" w:cs="宋体"/>
          <w:color w:val="auto"/>
        </w:rPr>
      </w:pPr>
    </w:p>
    <w:p w14:paraId="0281CD97">
      <w:pPr>
        <w:bidi w:val="0"/>
        <w:rPr>
          <w:rFonts w:hint="eastAsia" w:ascii="宋体" w:hAnsi="宋体" w:eastAsia="宋体" w:cs="宋体"/>
          <w:color w:val="auto"/>
        </w:rPr>
      </w:pPr>
    </w:p>
    <w:p w14:paraId="5CD78BCE">
      <w:pPr>
        <w:bidi w:val="0"/>
        <w:rPr>
          <w:rFonts w:hint="eastAsia" w:ascii="宋体" w:hAnsi="宋体" w:eastAsia="宋体" w:cs="宋体"/>
          <w:color w:val="auto"/>
        </w:rPr>
      </w:pPr>
    </w:p>
    <w:p w14:paraId="140E4144">
      <w:pPr>
        <w:pStyle w:val="2"/>
        <w:spacing w:line="360" w:lineRule="auto"/>
        <w:jc w:val="center"/>
        <w:rPr>
          <w:rFonts w:hint="eastAsia" w:ascii="宋体" w:hAnsi="宋体" w:eastAsia="宋体" w:cs="宋体"/>
          <w:b/>
          <w:color w:val="auto"/>
          <w:kern w:val="44"/>
          <w:sz w:val="28"/>
          <w:szCs w:val="28"/>
          <w:highlight w:val="none"/>
        </w:rPr>
      </w:pPr>
      <w:bookmarkStart w:id="383" w:name="_Toc26563"/>
      <w:r>
        <w:rPr>
          <w:rFonts w:hint="eastAsia" w:ascii="宋体" w:hAnsi="宋体" w:eastAsia="宋体" w:cs="宋体"/>
          <w:b/>
          <w:color w:val="auto"/>
          <w:kern w:val="44"/>
          <w:sz w:val="28"/>
          <w:szCs w:val="28"/>
          <w:highlight w:val="none"/>
        </w:rPr>
        <w:t>第</w:t>
      </w:r>
      <w:r>
        <w:rPr>
          <w:rFonts w:hint="eastAsia" w:ascii="宋体" w:hAnsi="宋体" w:eastAsia="宋体" w:cs="宋体"/>
          <w:b/>
          <w:color w:val="auto"/>
          <w:kern w:val="44"/>
          <w:sz w:val="28"/>
          <w:szCs w:val="28"/>
          <w:highlight w:val="none"/>
          <w:lang w:val="en-US" w:eastAsia="zh-CN"/>
        </w:rPr>
        <w:t>六</w:t>
      </w:r>
      <w:r>
        <w:rPr>
          <w:rFonts w:hint="eastAsia" w:ascii="宋体" w:hAnsi="宋体" w:eastAsia="宋体" w:cs="宋体"/>
          <w:b/>
          <w:color w:val="auto"/>
          <w:kern w:val="44"/>
          <w:sz w:val="28"/>
          <w:szCs w:val="28"/>
          <w:highlight w:val="none"/>
        </w:rPr>
        <w:t xml:space="preserve">章  </w:t>
      </w:r>
      <w:bookmarkEnd w:id="272"/>
      <w:bookmarkEnd w:id="273"/>
      <w:bookmarkEnd w:id="274"/>
      <w:bookmarkEnd w:id="275"/>
      <w:bookmarkEnd w:id="374"/>
      <w:r>
        <w:rPr>
          <w:rFonts w:hint="eastAsia" w:ascii="宋体" w:hAnsi="宋体" w:eastAsia="宋体" w:cs="宋体"/>
          <w:b/>
          <w:color w:val="auto"/>
          <w:kern w:val="44"/>
          <w:sz w:val="28"/>
          <w:szCs w:val="28"/>
          <w:highlight w:val="none"/>
        </w:rPr>
        <w:t>建设工程合同</w:t>
      </w:r>
      <w:bookmarkEnd w:id="375"/>
      <w:bookmarkEnd w:id="376"/>
      <w:bookmarkEnd w:id="377"/>
      <w:bookmarkEnd w:id="378"/>
      <w:bookmarkEnd w:id="379"/>
      <w:bookmarkEnd w:id="380"/>
      <w:bookmarkEnd w:id="381"/>
      <w:bookmarkEnd w:id="382"/>
      <w:bookmarkEnd w:id="383"/>
    </w:p>
    <w:p w14:paraId="5B6DEAA6">
      <w:pPr>
        <w:rPr>
          <w:rFonts w:hint="eastAsia" w:ascii="宋体" w:hAnsi="宋体" w:eastAsia="宋体" w:cs="宋体"/>
          <w:color w:val="auto"/>
          <w:highlight w:val="none"/>
        </w:rPr>
      </w:pPr>
    </w:p>
    <w:bookmarkEnd w:id="276"/>
    <w:bookmarkEnd w:id="277"/>
    <w:p w14:paraId="10D59DC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 略。总承包合同参照住房城乡建设部、国家工商行政管理总局制定的《建设项目工程总承包合同（示范文本）》GF-2020-0216。</w:t>
      </w:r>
    </w:p>
    <w:p w14:paraId="5C93CEB9">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施工合同按广东省建设厅《广东省建设工程标准施工合同》范本（2009）执行。</w:t>
      </w:r>
    </w:p>
    <w:p w14:paraId="05A93BE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设计合同按住房城乡建设部、国家工商行政管理总局制定《建设工程设计合同示范文本（市政公用工程）》（GF-2015-0209）、《建设工程设计合同示范文本（专业建设工程）》（GF-2015-0210）执行。 </w:t>
      </w:r>
    </w:p>
    <w:p w14:paraId="10C1B868">
      <w:pPr>
        <w:spacing w:line="420" w:lineRule="atLeast"/>
        <w:ind w:firstLine="480" w:firstLineChars="200"/>
        <w:rPr>
          <w:rFonts w:hint="eastAsia" w:ascii="宋体" w:hAnsi="宋体" w:eastAsia="宋体" w:cs="宋体"/>
          <w:color w:val="auto"/>
          <w:highlight w:val="none"/>
        </w:rPr>
      </w:pPr>
    </w:p>
    <w:p w14:paraId="2DDC040B">
      <w:pPr>
        <w:spacing w:line="420" w:lineRule="atLeast"/>
        <w:ind w:firstLine="480" w:firstLineChars="200"/>
        <w:rPr>
          <w:rFonts w:hint="eastAsia" w:ascii="宋体" w:hAnsi="宋体" w:eastAsia="宋体" w:cs="宋体"/>
          <w:color w:val="auto"/>
          <w:highlight w:val="none"/>
        </w:rPr>
      </w:pPr>
    </w:p>
    <w:p w14:paraId="3EC46887">
      <w:pPr>
        <w:rPr>
          <w:rFonts w:hint="eastAsia" w:ascii="宋体" w:hAnsi="宋体" w:eastAsia="宋体" w:cs="宋体"/>
          <w:color w:val="auto"/>
          <w:highlight w:val="none"/>
        </w:rPr>
      </w:pPr>
    </w:p>
    <w:sectPr>
      <w:headerReference r:id="rId8" w:type="default"/>
      <w:footerReference r:id="rId9" w:type="default"/>
      <w:endnotePr>
        <w:numFmt w:val="decimal"/>
      </w:endnotePr>
      <w:pgSz w:w="11907" w:h="16840"/>
      <w:pgMar w:top="1134" w:right="1134" w:bottom="1134" w:left="1134"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726B9">
    <w:pPr>
      <w:pStyle w:val="71"/>
      <w:tabs>
        <w:tab w:val="left" w:pos="4803"/>
        <w:tab w:val="clear" w:pos="4153"/>
      </w:tabs>
    </w:pPr>
    <w:r>
      <w:rPr>
        <w:rFonts w:hint="eastAsia"/>
      </w:rPr>
      <w:tab/>
    </w:r>
  </w:p>
  <w:p w14:paraId="3852E4D1">
    <w:pPr>
      <w:pStyle w:val="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6CE6C">
    <w:pPr>
      <w:pStyle w:val="71"/>
      <w:tabs>
        <w:tab w:val="left" w:pos="4803"/>
        <w:tab w:val="clear" w:pos="4153"/>
      </w:tabs>
    </w:pPr>
    <w:r>
      <w:rPr>
        <w:rFonts w:hint="eastAsia"/>
      </w:rPr>
      <w:tab/>
    </w:r>
  </w:p>
  <w:p w14:paraId="0EB1A49C">
    <w:pPr>
      <w:pStyle w:val="7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33BF">
    <w:pPr>
      <w:pStyle w:val="71"/>
      <w:tabs>
        <w:tab w:val="left" w:pos="480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CFCA5">
                          <w:pPr>
                            <w:pStyle w:val="14"/>
                          </w:pP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DCFCA5">
                    <w:pPr>
                      <w:pStyle w:val="14"/>
                    </w:pPr>
                    <w:r>
                      <w:fldChar w:fldCharType="begin"/>
                    </w:r>
                    <w:r>
                      <w:instrText xml:space="preserve"> PAGE  \* MERGEFORMAT </w:instrText>
                    </w:r>
                    <w:r>
                      <w:fldChar w:fldCharType="separate"/>
                    </w:r>
                    <w:r>
                      <w:t>１</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1291">
    <w:pPr>
      <w:pStyle w:val="71"/>
      <w:tabs>
        <w:tab w:val="left" w:pos="480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3B3EF">
                          <w:pPr>
                            <w:pStyle w:val="14"/>
                          </w:pPr>
                          <w:r>
                            <w:fldChar w:fldCharType="begin"/>
                          </w:r>
                          <w:r>
                            <w:instrText xml:space="preserve"> PAGE  \* MERGEFORMAT </w:instrText>
                          </w:r>
                          <w:r>
                            <w:fldChar w:fldCharType="separate"/>
                          </w:r>
                          <w:r>
                            <w:t>６０</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43B3EF">
                    <w:pPr>
                      <w:pStyle w:val="14"/>
                    </w:pPr>
                    <w:r>
                      <w:fldChar w:fldCharType="begin"/>
                    </w:r>
                    <w:r>
                      <w:instrText xml:space="preserve"> PAGE  \* MERGEFORMAT </w:instrText>
                    </w:r>
                    <w:r>
                      <w:fldChar w:fldCharType="separate"/>
                    </w:r>
                    <w:r>
                      <w:t>６０</w:t>
                    </w:r>
                    <w:r>
                      <w:fldChar w:fldCharType="end"/>
                    </w:r>
                  </w:p>
                </w:txbxContent>
              </v:textbox>
            </v:shape>
          </w:pict>
        </mc:Fallback>
      </mc:AlternateContent>
    </w:r>
    <w:r>
      <w:rPr>
        <w:rFonts w:hint="eastAsia"/>
      </w:rPr>
      <w:tab/>
    </w:r>
  </w:p>
  <w:p w14:paraId="4BF9399A">
    <w:pPr>
      <w:pStyle w:val="7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B275">
    <w:pPr>
      <w:pStyle w:val="14"/>
      <w:jc w:val="center"/>
      <w:rPr>
        <w:rFonts w:hint="default"/>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6E5F4">
                          <w:pPr>
                            <w:pStyle w:val="14"/>
                          </w:pPr>
                          <w:r>
                            <w:fldChar w:fldCharType="begin"/>
                          </w:r>
                          <w:r>
                            <w:instrText xml:space="preserve"> PAGE  \* MERGEFORMAT </w:instrText>
                          </w:r>
                          <w:r>
                            <w:fldChar w:fldCharType="separate"/>
                          </w:r>
                          <w:r>
                            <w:t>７２</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C96E5F4">
                    <w:pPr>
                      <w:pStyle w:val="14"/>
                    </w:pPr>
                    <w:r>
                      <w:fldChar w:fldCharType="begin"/>
                    </w:r>
                    <w:r>
                      <w:instrText xml:space="preserve"> PAGE  \* MERGEFORMAT </w:instrText>
                    </w:r>
                    <w:r>
                      <w:fldChar w:fldCharType="separate"/>
                    </w:r>
                    <w:r>
                      <w:t>７２</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7D62A">
    <w:pPr>
      <w:jc w:val="center"/>
      <w:rPr>
        <w:rFonts w:hint="default"/>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75313">
    <w:pPr>
      <w:pStyle w:val="15"/>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2FE9D9"/>
    <w:multiLevelType w:val="singleLevel"/>
    <w:tmpl w:val="FC2FE9D9"/>
    <w:lvl w:ilvl="0" w:tentative="0">
      <w:start w:val="13"/>
      <w:numFmt w:val="decimal"/>
      <w:suff w:val="space"/>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NjBlYjc3MjA2MWRiYWVlOTE2MWE5ZjMwMzgzMGYifQ=="/>
  </w:docVars>
  <w:rsids>
    <w:rsidRoot w:val="4C5944B1"/>
    <w:rsid w:val="000F7646"/>
    <w:rsid w:val="001E0850"/>
    <w:rsid w:val="00281ECB"/>
    <w:rsid w:val="002F176F"/>
    <w:rsid w:val="003A1942"/>
    <w:rsid w:val="003E2709"/>
    <w:rsid w:val="005E6BB8"/>
    <w:rsid w:val="0064163D"/>
    <w:rsid w:val="007C3F91"/>
    <w:rsid w:val="008C4168"/>
    <w:rsid w:val="00901845"/>
    <w:rsid w:val="00936991"/>
    <w:rsid w:val="00943625"/>
    <w:rsid w:val="00954357"/>
    <w:rsid w:val="00954A54"/>
    <w:rsid w:val="00A322B9"/>
    <w:rsid w:val="00A80EA7"/>
    <w:rsid w:val="00AF685C"/>
    <w:rsid w:val="00B16179"/>
    <w:rsid w:val="00B37196"/>
    <w:rsid w:val="00C04E0C"/>
    <w:rsid w:val="00CB07F4"/>
    <w:rsid w:val="00CD4D5B"/>
    <w:rsid w:val="00D2185D"/>
    <w:rsid w:val="00D561CD"/>
    <w:rsid w:val="00DA5A23"/>
    <w:rsid w:val="00E76514"/>
    <w:rsid w:val="00ED4B12"/>
    <w:rsid w:val="016A5229"/>
    <w:rsid w:val="019E2B21"/>
    <w:rsid w:val="01B7046D"/>
    <w:rsid w:val="01C41EFB"/>
    <w:rsid w:val="01D230AA"/>
    <w:rsid w:val="02112D7C"/>
    <w:rsid w:val="023C39C8"/>
    <w:rsid w:val="02665093"/>
    <w:rsid w:val="0279651D"/>
    <w:rsid w:val="029D1A19"/>
    <w:rsid w:val="02A429BD"/>
    <w:rsid w:val="02DC6761"/>
    <w:rsid w:val="0318711B"/>
    <w:rsid w:val="03413A39"/>
    <w:rsid w:val="03724869"/>
    <w:rsid w:val="03737B70"/>
    <w:rsid w:val="0410030A"/>
    <w:rsid w:val="04360B53"/>
    <w:rsid w:val="047300FE"/>
    <w:rsid w:val="047E0E7E"/>
    <w:rsid w:val="04C5488E"/>
    <w:rsid w:val="052D0A47"/>
    <w:rsid w:val="05AF4437"/>
    <w:rsid w:val="05BD348C"/>
    <w:rsid w:val="05E355AA"/>
    <w:rsid w:val="05F332E5"/>
    <w:rsid w:val="06622C7D"/>
    <w:rsid w:val="06930D7E"/>
    <w:rsid w:val="0694486B"/>
    <w:rsid w:val="0770194B"/>
    <w:rsid w:val="07AD089C"/>
    <w:rsid w:val="07C83357"/>
    <w:rsid w:val="081D6DBF"/>
    <w:rsid w:val="083E0DBA"/>
    <w:rsid w:val="08915791"/>
    <w:rsid w:val="08C47915"/>
    <w:rsid w:val="08CE609D"/>
    <w:rsid w:val="092752BD"/>
    <w:rsid w:val="092A1480"/>
    <w:rsid w:val="095C09E6"/>
    <w:rsid w:val="096123F5"/>
    <w:rsid w:val="0A5B114D"/>
    <w:rsid w:val="0A6E05FA"/>
    <w:rsid w:val="0A876E4C"/>
    <w:rsid w:val="0AA572D2"/>
    <w:rsid w:val="0AD7112E"/>
    <w:rsid w:val="0B320A08"/>
    <w:rsid w:val="0B3C389E"/>
    <w:rsid w:val="0B3D39AE"/>
    <w:rsid w:val="0B5D7BAD"/>
    <w:rsid w:val="0B633415"/>
    <w:rsid w:val="0C3721AC"/>
    <w:rsid w:val="0C711B61"/>
    <w:rsid w:val="0CC53C5B"/>
    <w:rsid w:val="0CDE7850"/>
    <w:rsid w:val="0D1F0F16"/>
    <w:rsid w:val="0D3D5EE8"/>
    <w:rsid w:val="0D4728C2"/>
    <w:rsid w:val="0D5374B9"/>
    <w:rsid w:val="0DAC00AB"/>
    <w:rsid w:val="0DBB16BD"/>
    <w:rsid w:val="0DC7755F"/>
    <w:rsid w:val="0DCA6984"/>
    <w:rsid w:val="0DDF6F9F"/>
    <w:rsid w:val="0DF73507"/>
    <w:rsid w:val="0E0A3DCD"/>
    <w:rsid w:val="0E323572"/>
    <w:rsid w:val="0E532A37"/>
    <w:rsid w:val="0EBC4BEA"/>
    <w:rsid w:val="0F0A0D37"/>
    <w:rsid w:val="0F114F36"/>
    <w:rsid w:val="0F5B47A8"/>
    <w:rsid w:val="0F87344A"/>
    <w:rsid w:val="0F930041"/>
    <w:rsid w:val="0F9348B2"/>
    <w:rsid w:val="0FB24E29"/>
    <w:rsid w:val="101C0036"/>
    <w:rsid w:val="102F529B"/>
    <w:rsid w:val="106317C1"/>
    <w:rsid w:val="10B14C22"/>
    <w:rsid w:val="10BD6F35"/>
    <w:rsid w:val="118C4D48"/>
    <w:rsid w:val="11D65401"/>
    <w:rsid w:val="122A5805"/>
    <w:rsid w:val="13156E63"/>
    <w:rsid w:val="13BB36C2"/>
    <w:rsid w:val="13D27BED"/>
    <w:rsid w:val="13D44784"/>
    <w:rsid w:val="140E4E17"/>
    <w:rsid w:val="143C0CA7"/>
    <w:rsid w:val="14C33176"/>
    <w:rsid w:val="152C7A61"/>
    <w:rsid w:val="154E2175"/>
    <w:rsid w:val="159450E2"/>
    <w:rsid w:val="15D1725F"/>
    <w:rsid w:val="1606331B"/>
    <w:rsid w:val="1624330D"/>
    <w:rsid w:val="169F12A9"/>
    <w:rsid w:val="16C6526B"/>
    <w:rsid w:val="171E6442"/>
    <w:rsid w:val="182757CA"/>
    <w:rsid w:val="18495740"/>
    <w:rsid w:val="18890233"/>
    <w:rsid w:val="189839F1"/>
    <w:rsid w:val="189A2440"/>
    <w:rsid w:val="18B84674"/>
    <w:rsid w:val="18CA5813"/>
    <w:rsid w:val="18E15979"/>
    <w:rsid w:val="19002378"/>
    <w:rsid w:val="199A279A"/>
    <w:rsid w:val="19B1359D"/>
    <w:rsid w:val="1A3B37AF"/>
    <w:rsid w:val="1A803388"/>
    <w:rsid w:val="1A937147"/>
    <w:rsid w:val="1A98475D"/>
    <w:rsid w:val="1AA650CC"/>
    <w:rsid w:val="1AE9320B"/>
    <w:rsid w:val="1B8316E7"/>
    <w:rsid w:val="1BC03F6C"/>
    <w:rsid w:val="1BC11A92"/>
    <w:rsid w:val="1BC62A56"/>
    <w:rsid w:val="1BD31F10"/>
    <w:rsid w:val="1BF75DAD"/>
    <w:rsid w:val="1C6061C5"/>
    <w:rsid w:val="1C8F393E"/>
    <w:rsid w:val="1C92561C"/>
    <w:rsid w:val="1CA37322"/>
    <w:rsid w:val="1CAE2016"/>
    <w:rsid w:val="1CDE71ED"/>
    <w:rsid w:val="1CE6249E"/>
    <w:rsid w:val="1DC85359"/>
    <w:rsid w:val="1DD17DF6"/>
    <w:rsid w:val="1DD27D51"/>
    <w:rsid w:val="1DEC14E0"/>
    <w:rsid w:val="1E37603B"/>
    <w:rsid w:val="1E480248"/>
    <w:rsid w:val="1E4A0464"/>
    <w:rsid w:val="1E5310C7"/>
    <w:rsid w:val="1E787E3F"/>
    <w:rsid w:val="1EAA5FC0"/>
    <w:rsid w:val="1EAB0F03"/>
    <w:rsid w:val="1EBF050A"/>
    <w:rsid w:val="1F0E1492"/>
    <w:rsid w:val="1F132604"/>
    <w:rsid w:val="1F3B0127"/>
    <w:rsid w:val="1F6C3583"/>
    <w:rsid w:val="1F8452B0"/>
    <w:rsid w:val="1F9951FF"/>
    <w:rsid w:val="20315438"/>
    <w:rsid w:val="20B144DF"/>
    <w:rsid w:val="20B971DB"/>
    <w:rsid w:val="20D64231"/>
    <w:rsid w:val="20D858B3"/>
    <w:rsid w:val="20EC135F"/>
    <w:rsid w:val="211972E4"/>
    <w:rsid w:val="215C0E50"/>
    <w:rsid w:val="218C669E"/>
    <w:rsid w:val="21933ED0"/>
    <w:rsid w:val="21B26104"/>
    <w:rsid w:val="221F7512"/>
    <w:rsid w:val="22253DDF"/>
    <w:rsid w:val="22325486"/>
    <w:rsid w:val="22C97BAA"/>
    <w:rsid w:val="2309444A"/>
    <w:rsid w:val="231B77CA"/>
    <w:rsid w:val="23A1327F"/>
    <w:rsid w:val="23BE3486"/>
    <w:rsid w:val="241974EF"/>
    <w:rsid w:val="24B228BF"/>
    <w:rsid w:val="24F44686"/>
    <w:rsid w:val="25665B84"/>
    <w:rsid w:val="2578303A"/>
    <w:rsid w:val="257D5076"/>
    <w:rsid w:val="259E6D5D"/>
    <w:rsid w:val="25E707F7"/>
    <w:rsid w:val="266F2816"/>
    <w:rsid w:val="26747E2C"/>
    <w:rsid w:val="268F110A"/>
    <w:rsid w:val="26AB75C6"/>
    <w:rsid w:val="270A0AF5"/>
    <w:rsid w:val="27116912"/>
    <w:rsid w:val="27401CFD"/>
    <w:rsid w:val="27745DC1"/>
    <w:rsid w:val="27C815DD"/>
    <w:rsid w:val="27EB48B5"/>
    <w:rsid w:val="28005C30"/>
    <w:rsid w:val="280E2503"/>
    <w:rsid w:val="28335AC5"/>
    <w:rsid w:val="28471B63"/>
    <w:rsid w:val="28C332ED"/>
    <w:rsid w:val="28CA1F8E"/>
    <w:rsid w:val="28F60FCD"/>
    <w:rsid w:val="29471828"/>
    <w:rsid w:val="299565F5"/>
    <w:rsid w:val="29A0362E"/>
    <w:rsid w:val="2A355B25"/>
    <w:rsid w:val="2A3B7436"/>
    <w:rsid w:val="2A7F1496"/>
    <w:rsid w:val="2A994305"/>
    <w:rsid w:val="2ABC315B"/>
    <w:rsid w:val="2AE4579C"/>
    <w:rsid w:val="2AEA4B61"/>
    <w:rsid w:val="2AF5107C"/>
    <w:rsid w:val="2AFD15CC"/>
    <w:rsid w:val="2BC41856"/>
    <w:rsid w:val="2C0A34F0"/>
    <w:rsid w:val="2C1934B7"/>
    <w:rsid w:val="2C4402A1"/>
    <w:rsid w:val="2C5D1363"/>
    <w:rsid w:val="2C6C5134"/>
    <w:rsid w:val="2C7F39CF"/>
    <w:rsid w:val="2C8941D0"/>
    <w:rsid w:val="2C9C5D61"/>
    <w:rsid w:val="2D002460"/>
    <w:rsid w:val="2D0A3299"/>
    <w:rsid w:val="2D177764"/>
    <w:rsid w:val="2D345362"/>
    <w:rsid w:val="2D357DAD"/>
    <w:rsid w:val="2D3F6B77"/>
    <w:rsid w:val="2D41526F"/>
    <w:rsid w:val="2D47119E"/>
    <w:rsid w:val="2D67695C"/>
    <w:rsid w:val="2D986AF6"/>
    <w:rsid w:val="2DDA4951"/>
    <w:rsid w:val="2E19750B"/>
    <w:rsid w:val="2E222864"/>
    <w:rsid w:val="2E24211B"/>
    <w:rsid w:val="2E3266BD"/>
    <w:rsid w:val="2E396CE5"/>
    <w:rsid w:val="2E444588"/>
    <w:rsid w:val="2E4A16A9"/>
    <w:rsid w:val="2E5A3DAC"/>
    <w:rsid w:val="2EAE5EA6"/>
    <w:rsid w:val="2F34284F"/>
    <w:rsid w:val="2F364819"/>
    <w:rsid w:val="2F407445"/>
    <w:rsid w:val="2F634EE2"/>
    <w:rsid w:val="2F7E7F6E"/>
    <w:rsid w:val="2F8530AA"/>
    <w:rsid w:val="2FD66DEA"/>
    <w:rsid w:val="2FE93734"/>
    <w:rsid w:val="300D424E"/>
    <w:rsid w:val="30230162"/>
    <w:rsid w:val="304F7365"/>
    <w:rsid w:val="30C20279"/>
    <w:rsid w:val="31411253"/>
    <w:rsid w:val="318A1F87"/>
    <w:rsid w:val="31B859B9"/>
    <w:rsid w:val="31BA7718"/>
    <w:rsid w:val="31DF756D"/>
    <w:rsid w:val="322C1F03"/>
    <w:rsid w:val="32333292"/>
    <w:rsid w:val="326C7A86"/>
    <w:rsid w:val="32C0264B"/>
    <w:rsid w:val="32D55D5C"/>
    <w:rsid w:val="32EA1265"/>
    <w:rsid w:val="33044C2E"/>
    <w:rsid w:val="331F7891"/>
    <w:rsid w:val="332C1A8F"/>
    <w:rsid w:val="33784CD4"/>
    <w:rsid w:val="33DB7F0E"/>
    <w:rsid w:val="33EF1437"/>
    <w:rsid w:val="3421711A"/>
    <w:rsid w:val="34474459"/>
    <w:rsid w:val="349E076A"/>
    <w:rsid w:val="34A55F9D"/>
    <w:rsid w:val="34AB28E5"/>
    <w:rsid w:val="34F57794"/>
    <w:rsid w:val="35374178"/>
    <w:rsid w:val="3575771D"/>
    <w:rsid w:val="359C73A0"/>
    <w:rsid w:val="35DE1766"/>
    <w:rsid w:val="360F7B72"/>
    <w:rsid w:val="365437D6"/>
    <w:rsid w:val="367479D5"/>
    <w:rsid w:val="369E4A52"/>
    <w:rsid w:val="36B461F6"/>
    <w:rsid w:val="3748158D"/>
    <w:rsid w:val="374D56D0"/>
    <w:rsid w:val="37E50D3F"/>
    <w:rsid w:val="37EC30AA"/>
    <w:rsid w:val="37ED2BA2"/>
    <w:rsid w:val="3821774E"/>
    <w:rsid w:val="38521F98"/>
    <w:rsid w:val="38991E3A"/>
    <w:rsid w:val="38A37C93"/>
    <w:rsid w:val="38B44A00"/>
    <w:rsid w:val="38B955D1"/>
    <w:rsid w:val="392E0065"/>
    <w:rsid w:val="394909FA"/>
    <w:rsid w:val="395F1BB0"/>
    <w:rsid w:val="39611618"/>
    <w:rsid w:val="397321C6"/>
    <w:rsid w:val="39D569DC"/>
    <w:rsid w:val="3A2160C5"/>
    <w:rsid w:val="3A707E4C"/>
    <w:rsid w:val="3A72247D"/>
    <w:rsid w:val="3AAF722D"/>
    <w:rsid w:val="3AB42A96"/>
    <w:rsid w:val="3AD959D6"/>
    <w:rsid w:val="3AEA4709"/>
    <w:rsid w:val="3B4122A9"/>
    <w:rsid w:val="3B8A6E91"/>
    <w:rsid w:val="3B952B52"/>
    <w:rsid w:val="3C5D3246"/>
    <w:rsid w:val="3C97441D"/>
    <w:rsid w:val="3C9963E7"/>
    <w:rsid w:val="3CEA7562"/>
    <w:rsid w:val="3D204801"/>
    <w:rsid w:val="3D361E88"/>
    <w:rsid w:val="3D7E4729"/>
    <w:rsid w:val="3E06185A"/>
    <w:rsid w:val="3E0D42F0"/>
    <w:rsid w:val="3E5326EF"/>
    <w:rsid w:val="3E646581"/>
    <w:rsid w:val="3E6C6EAB"/>
    <w:rsid w:val="3EA953E7"/>
    <w:rsid w:val="3EC836EE"/>
    <w:rsid w:val="3FB672B0"/>
    <w:rsid w:val="3FBA2948"/>
    <w:rsid w:val="3FEA0D08"/>
    <w:rsid w:val="405A15D4"/>
    <w:rsid w:val="407342C7"/>
    <w:rsid w:val="414F3518"/>
    <w:rsid w:val="417B430D"/>
    <w:rsid w:val="41897609"/>
    <w:rsid w:val="419D277C"/>
    <w:rsid w:val="41B80A7C"/>
    <w:rsid w:val="4223594E"/>
    <w:rsid w:val="42365C18"/>
    <w:rsid w:val="42A4453C"/>
    <w:rsid w:val="42AC4F5C"/>
    <w:rsid w:val="42E97948"/>
    <w:rsid w:val="42ED16AF"/>
    <w:rsid w:val="42EF6D61"/>
    <w:rsid w:val="42FE6FA4"/>
    <w:rsid w:val="433509B4"/>
    <w:rsid w:val="44020D16"/>
    <w:rsid w:val="442C7B41"/>
    <w:rsid w:val="4434569B"/>
    <w:rsid w:val="44384D79"/>
    <w:rsid w:val="44862582"/>
    <w:rsid w:val="44F3143F"/>
    <w:rsid w:val="44FC2F53"/>
    <w:rsid w:val="45417DD5"/>
    <w:rsid w:val="45575091"/>
    <w:rsid w:val="459260C9"/>
    <w:rsid w:val="45A206F4"/>
    <w:rsid w:val="45D63EB8"/>
    <w:rsid w:val="46054EDE"/>
    <w:rsid w:val="46144D30"/>
    <w:rsid w:val="46625E26"/>
    <w:rsid w:val="469F6BEF"/>
    <w:rsid w:val="46C40504"/>
    <w:rsid w:val="46CD5AD0"/>
    <w:rsid w:val="474A6C5C"/>
    <w:rsid w:val="47A9386C"/>
    <w:rsid w:val="47E250E6"/>
    <w:rsid w:val="47EA7AF7"/>
    <w:rsid w:val="47EF15C4"/>
    <w:rsid w:val="47F14E76"/>
    <w:rsid w:val="47F92430"/>
    <w:rsid w:val="484418FD"/>
    <w:rsid w:val="487429ED"/>
    <w:rsid w:val="48D6451F"/>
    <w:rsid w:val="48E82560"/>
    <w:rsid w:val="49105031"/>
    <w:rsid w:val="493F20C4"/>
    <w:rsid w:val="49543DC1"/>
    <w:rsid w:val="495E6E4F"/>
    <w:rsid w:val="49635DB3"/>
    <w:rsid w:val="497004D0"/>
    <w:rsid w:val="49B47DF2"/>
    <w:rsid w:val="4A6309D2"/>
    <w:rsid w:val="4AB12B4E"/>
    <w:rsid w:val="4AE34991"/>
    <w:rsid w:val="4B62209A"/>
    <w:rsid w:val="4BA07253"/>
    <w:rsid w:val="4BCA3049"/>
    <w:rsid w:val="4BDA43E6"/>
    <w:rsid w:val="4BEF7DD1"/>
    <w:rsid w:val="4C1E4213"/>
    <w:rsid w:val="4C3E47FC"/>
    <w:rsid w:val="4C4A79CE"/>
    <w:rsid w:val="4C5944B1"/>
    <w:rsid w:val="4CCE5535"/>
    <w:rsid w:val="4D1F6494"/>
    <w:rsid w:val="4D3925A5"/>
    <w:rsid w:val="4DA13BFE"/>
    <w:rsid w:val="4E10133D"/>
    <w:rsid w:val="4E116276"/>
    <w:rsid w:val="4E19088C"/>
    <w:rsid w:val="4E267A1C"/>
    <w:rsid w:val="4E34260C"/>
    <w:rsid w:val="4E74636C"/>
    <w:rsid w:val="4EF66F58"/>
    <w:rsid w:val="4F220299"/>
    <w:rsid w:val="4F227AD6"/>
    <w:rsid w:val="4F4C553B"/>
    <w:rsid w:val="4F6F4F28"/>
    <w:rsid w:val="4FDF63AF"/>
    <w:rsid w:val="4FFB23BC"/>
    <w:rsid w:val="50041972"/>
    <w:rsid w:val="501E6ED7"/>
    <w:rsid w:val="503C1418"/>
    <w:rsid w:val="507408A5"/>
    <w:rsid w:val="50851BD4"/>
    <w:rsid w:val="508A67B9"/>
    <w:rsid w:val="510D60A7"/>
    <w:rsid w:val="51AC406F"/>
    <w:rsid w:val="51E664A0"/>
    <w:rsid w:val="52181704"/>
    <w:rsid w:val="522B1438"/>
    <w:rsid w:val="52CB5771"/>
    <w:rsid w:val="5308498A"/>
    <w:rsid w:val="531F3A56"/>
    <w:rsid w:val="53794178"/>
    <w:rsid w:val="53D855EF"/>
    <w:rsid w:val="54066490"/>
    <w:rsid w:val="54161C73"/>
    <w:rsid w:val="543D36A4"/>
    <w:rsid w:val="544B707A"/>
    <w:rsid w:val="54596730"/>
    <w:rsid w:val="54813AB4"/>
    <w:rsid w:val="54A454D1"/>
    <w:rsid w:val="55003B4C"/>
    <w:rsid w:val="553D7A55"/>
    <w:rsid w:val="55434CEA"/>
    <w:rsid w:val="55540CA5"/>
    <w:rsid w:val="558C079B"/>
    <w:rsid w:val="55985036"/>
    <w:rsid w:val="559E53A8"/>
    <w:rsid w:val="55AE5FBB"/>
    <w:rsid w:val="55BB0D24"/>
    <w:rsid w:val="55FE3948"/>
    <w:rsid w:val="56290384"/>
    <w:rsid w:val="56384123"/>
    <w:rsid w:val="569E48CE"/>
    <w:rsid w:val="56B14C4B"/>
    <w:rsid w:val="56B20706"/>
    <w:rsid w:val="56F73FDE"/>
    <w:rsid w:val="571903F8"/>
    <w:rsid w:val="57202BC5"/>
    <w:rsid w:val="57D91936"/>
    <w:rsid w:val="57E502DB"/>
    <w:rsid w:val="5873398F"/>
    <w:rsid w:val="58785F50"/>
    <w:rsid w:val="58A75590"/>
    <w:rsid w:val="58DC5518"/>
    <w:rsid w:val="58E467E4"/>
    <w:rsid w:val="590B1FC3"/>
    <w:rsid w:val="59220D74"/>
    <w:rsid w:val="594C0407"/>
    <w:rsid w:val="59682F71"/>
    <w:rsid w:val="59DD570D"/>
    <w:rsid w:val="5A0031AA"/>
    <w:rsid w:val="5A0E5E41"/>
    <w:rsid w:val="5A9B2ED2"/>
    <w:rsid w:val="5AC26C59"/>
    <w:rsid w:val="5AE34FA5"/>
    <w:rsid w:val="5B1D63D9"/>
    <w:rsid w:val="5B1F0713"/>
    <w:rsid w:val="5B2B4412"/>
    <w:rsid w:val="5B4377F2"/>
    <w:rsid w:val="5BA30291"/>
    <w:rsid w:val="5BA32F4B"/>
    <w:rsid w:val="5BB552E9"/>
    <w:rsid w:val="5BEE56F9"/>
    <w:rsid w:val="5C207B33"/>
    <w:rsid w:val="5C3B6476"/>
    <w:rsid w:val="5C6B34A4"/>
    <w:rsid w:val="5C7E776C"/>
    <w:rsid w:val="5C836565"/>
    <w:rsid w:val="5D147AC9"/>
    <w:rsid w:val="5D271A19"/>
    <w:rsid w:val="5D423AD9"/>
    <w:rsid w:val="5D700646"/>
    <w:rsid w:val="5DB06C95"/>
    <w:rsid w:val="5E062D59"/>
    <w:rsid w:val="5E48511F"/>
    <w:rsid w:val="5E562853"/>
    <w:rsid w:val="5F217E4A"/>
    <w:rsid w:val="5FD9212E"/>
    <w:rsid w:val="5FD924D3"/>
    <w:rsid w:val="5FE64BF0"/>
    <w:rsid w:val="61021EFD"/>
    <w:rsid w:val="61135275"/>
    <w:rsid w:val="6130064C"/>
    <w:rsid w:val="61373E63"/>
    <w:rsid w:val="619314C1"/>
    <w:rsid w:val="61AD08C4"/>
    <w:rsid w:val="62211BC3"/>
    <w:rsid w:val="62706A19"/>
    <w:rsid w:val="62AD76C0"/>
    <w:rsid w:val="62B2646D"/>
    <w:rsid w:val="62C507C9"/>
    <w:rsid w:val="62D11B87"/>
    <w:rsid w:val="62E21FE6"/>
    <w:rsid w:val="62F12229"/>
    <w:rsid w:val="631A52DC"/>
    <w:rsid w:val="63422A85"/>
    <w:rsid w:val="63730E90"/>
    <w:rsid w:val="637728D4"/>
    <w:rsid w:val="6390559E"/>
    <w:rsid w:val="63A05300"/>
    <w:rsid w:val="63B53257"/>
    <w:rsid w:val="63EB6C79"/>
    <w:rsid w:val="64055F8C"/>
    <w:rsid w:val="644415C2"/>
    <w:rsid w:val="646A5DEF"/>
    <w:rsid w:val="647307E7"/>
    <w:rsid w:val="649B069F"/>
    <w:rsid w:val="649B244D"/>
    <w:rsid w:val="65624D19"/>
    <w:rsid w:val="657A31A3"/>
    <w:rsid w:val="65D5198E"/>
    <w:rsid w:val="65F80991"/>
    <w:rsid w:val="660D5738"/>
    <w:rsid w:val="660D737A"/>
    <w:rsid w:val="66576847"/>
    <w:rsid w:val="66E8345B"/>
    <w:rsid w:val="67464E73"/>
    <w:rsid w:val="676C7BC7"/>
    <w:rsid w:val="676E3ED8"/>
    <w:rsid w:val="67FC76A6"/>
    <w:rsid w:val="68235204"/>
    <w:rsid w:val="682D3D04"/>
    <w:rsid w:val="68437083"/>
    <w:rsid w:val="68634AB1"/>
    <w:rsid w:val="68725BBA"/>
    <w:rsid w:val="688A4CB2"/>
    <w:rsid w:val="68DE4FFE"/>
    <w:rsid w:val="68EA0337"/>
    <w:rsid w:val="694911E4"/>
    <w:rsid w:val="6949691B"/>
    <w:rsid w:val="69F5538A"/>
    <w:rsid w:val="6AC65D4A"/>
    <w:rsid w:val="6B282560"/>
    <w:rsid w:val="6BB1415A"/>
    <w:rsid w:val="6C3F4006"/>
    <w:rsid w:val="6C4F72C1"/>
    <w:rsid w:val="6C946959"/>
    <w:rsid w:val="6CBE13CE"/>
    <w:rsid w:val="6CEB1A97"/>
    <w:rsid w:val="6D4E76D7"/>
    <w:rsid w:val="6D7C7367"/>
    <w:rsid w:val="6D8223FC"/>
    <w:rsid w:val="6DFD5F26"/>
    <w:rsid w:val="6E105C5A"/>
    <w:rsid w:val="6E290AC9"/>
    <w:rsid w:val="6E2C1D91"/>
    <w:rsid w:val="6E9817AB"/>
    <w:rsid w:val="6F63625D"/>
    <w:rsid w:val="6F8930C5"/>
    <w:rsid w:val="6F8C1D0A"/>
    <w:rsid w:val="6FC75452"/>
    <w:rsid w:val="6FDE7692"/>
    <w:rsid w:val="70122B2A"/>
    <w:rsid w:val="705838E8"/>
    <w:rsid w:val="70633D9B"/>
    <w:rsid w:val="70D867D7"/>
    <w:rsid w:val="71245578"/>
    <w:rsid w:val="71765B16"/>
    <w:rsid w:val="71CB4244"/>
    <w:rsid w:val="728B49B4"/>
    <w:rsid w:val="72987FCC"/>
    <w:rsid w:val="72B605FC"/>
    <w:rsid w:val="732E6215"/>
    <w:rsid w:val="733F6911"/>
    <w:rsid w:val="73610869"/>
    <w:rsid w:val="73B9469D"/>
    <w:rsid w:val="73C019D3"/>
    <w:rsid w:val="73C05122"/>
    <w:rsid w:val="73CD0149"/>
    <w:rsid w:val="74176B51"/>
    <w:rsid w:val="74485A21"/>
    <w:rsid w:val="754548D3"/>
    <w:rsid w:val="75623F7A"/>
    <w:rsid w:val="75914883"/>
    <w:rsid w:val="75950E53"/>
    <w:rsid w:val="760A5684"/>
    <w:rsid w:val="764364A0"/>
    <w:rsid w:val="768056C7"/>
    <w:rsid w:val="76831851"/>
    <w:rsid w:val="768F0D80"/>
    <w:rsid w:val="76BF021D"/>
    <w:rsid w:val="76C10199"/>
    <w:rsid w:val="76EA0007"/>
    <w:rsid w:val="76F31914"/>
    <w:rsid w:val="77130569"/>
    <w:rsid w:val="775742CE"/>
    <w:rsid w:val="77732DB5"/>
    <w:rsid w:val="77784870"/>
    <w:rsid w:val="777C2A1F"/>
    <w:rsid w:val="77FC724F"/>
    <w:rsid w:val="77FF289B"/>
    <w:rsid w:val="77FF4FEF"/>
    <w:rsid w:val="785D5870"/>
    <w:rsid w:val="78A23952"/>
    <w:rsid w:val="78A31478"/>
    <w:rsid w:val="78FE2050"/>
    <w:rsid w:val="79300096"/>
    <w:rsid w:val="793904A9"/>
    <w:rsid w:val="799F60E4"/>
    <w:rsid w:val="79F859C9"/>
    <w:rsid w:val="7A067F11"/>
    <w:rsid w:val="7A401675"/>
    <w:rsid w:val="7A48677B"/>
    <w:rsid w:val="7A603412"/>
    <w:rsid w:val="7A745551"/>
    <w:rsid w:val="7A7B26AD"/>
    <w:rsid w:val="7AB20E73"/>
    <w:rsid w:val="7AC932FE"/>
    <w:rsid w:val="7B0E3456"/>
    <w:rsid w:val="7B0E3521"/>
    <w:rsid w:val="7B1B79EC"/>
    <w:rsid w:val="7BB63A0E"/>
    <w:rsid w:val="7C046E2D"/>
    <w:rsid w:val="7C857813"/>
    <w:rsid w:val="7C92771A"/>
    <w:rsid w:val="7C961A20"/>
    <w:rsid w:val="7C9675A0"/>
    <w:rsid w:val="7CBE4AD3"/>
    <w:rsid w:val="7CF60710"/>
    <w:rsid w:val="7D1673D0"/>
    <w:rsid w:val="7D3E79C1"/>
    <w:rsid w:val="7D6531A0"/>
    <w:rsid w:val="7E064983"/>
    <w:rsid w:val="7E762BF0"/>
    <w:rsid w:val="7EDE145C"/>
    <w:rsid w:val="7EF75D51"/>
    <w:rsid w:val="7F231565"/>
    <w:rsid w:val="7F5F1A44"/>
    <w:rsid w:val="7F631961"/>
    <w:rsid w:val="7FCA5830"/>
    <w:rsid w:val="7FFD39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等线" w:eastAsia="等线"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link w:val="29"/>
    <w:qFormat/>
    <w:uiPriority w:val="0"/>
    <w:pPr>
      <w:autoSpaceDE w:val="0"/>
      <w:autoSpaceDN w:val="0"/>
      <w:adjustRightInd w:val="0"/>
      <w:jc w:val="left"/>
      <w:outlineLvl w:val="1"/>
    </w:pPr>
    <w:rPr>
      <w:kern w:val="0"/>
    </w:rPr>
  </w:style>
  <w:style w:type="paragraph" w:styleId="4">
    <w:name w:val="heading 3"/>
    <w:basedOn w:val="1"/>
    <w:next w:val="1"/>
    <w:link w:val="30"/>
    <w:qFormat/>
    <w:uiPriority w:val="0"/>
    <w:pPr>
      <w:keepNext/>
      <w:keepLines/>
      <w:outlineLvl w:val="2"/>
    </w:pPr>
    <w:rPr>
      <w:rFonts w:hint="default" w:ascii="Times New Roman" w:hAnsi="Times New Roman" w:eastAsia="宋体"/>
      <w:b/>
    </w:rPr>
  </w:style>
  <w:style w:type="paragraph" w:styleId="5">
    <w:name w:val="heading 4"/>
    <w:basedOn w:val="1"/>
    <w:next w:val="1"/>
    <w:qFormat/>
    <w:uiPriority w:val="0"/>
    <w:pPr>
      <w:keepNext/>
      <w:keepLines/>
      <w:spacing w:line="372" w:lineRule="auto"/>
      <w:outlineLvl w:val="3"/>
    </w:pPr>
    <w:rPr>
      <w:rFonts w:ascii="Arial" w:hAnsi="Arial" w:eastAsia="黑体"/>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jc w:val="left"/>
    </w:pPr>
    <w:rPr>
      <w:rFonts w:hint="default" w:ascii="Times New Roman" w:hAnsi="Times New Roman" w:eastAsia="宋体"/>
      <w:sz w:val="21"/>
    </w:rPr>
  </w:style>
  <w:style w:type="paragraph" w:styleId="8">
    <w:name w:val="Body Text"/>
    <w:basedOn w:val="1"/>
    <w:qFormat/>
    <w:uiPriority w:val="0"/>
  </w:style>
  <w:style w:type="paragraph" w:styleId="9">
    <w:name w:val="Body Text Indent"/>
    <w:basedOn w:val="1"/>
    <w:qFormat/>
    <w:uiPriority w:val="0"/>
    <w:pPr>
      <w:ind w:firstLine="560" w:firstLineChars="200"/>
    </w:pPr>
  </w:style>
  <w:style w:type="paragraph" w:styleId="10">
    <w:name w:val="toc 3"/>
    <w:basedOn w:val="1"/>
    <w:next w:val="1"/>
    <w:qFormat/>
    <w:uiPriority w:val="39"/>
    <w:pPr>
      <w:ind w:left="840" w:leftChars="400"/>
    </w:pPr>
  </w:style>
  <w:style w:type="paragraph" w:styleId="11">
    <w:name w:val="Plain Text"/>
    <w:basedOn w:val="1"/>
    <w:qFormat/>
    <w:uiPriority w:val="0"/>
    <w:rPr>
      <w:rFonts w:ascii="宋体" w:hAnsi="Courier New" w:eastAsia="楷体_GB2312"/>
      <w:kern w:val="0"/>
      <w:sz w:val="20"/>
      <w:szCs w:val="24"/>
    </w:rPr>
  </w:style>
  <w:style w:type="paragraph" w:styleId="12">
    <w:name w:val="Body Text Indent 2"/>
    <w:basedOn w:val="1"/>
    <w:qFormat/>
    <w:uiPriority w:val="0"/>
    <w:pPr>
      <w:spacing w:line="480" w:lineRule="auto"/>
      <w:ind w:firstLine="561"/>
    </w:pPr>
  </w:style>
  <w:style w:type="paragraph" w:styleId="13">
    <w:name w:val="Balloon Text"/>
    <w:basedOn w:val="1"/>
    <w:link w:val="72"/>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6">
    <w:name w:val="toc 1"/>
    <w:basedOn w:val="17"/>
    <w:next w:val="1"/>
    <w:qFormat/>
    <w:uiPriority w:val="39"/>
  </w:style>
  <w:style w:type="paragraph" w:styleId="17">
    <w:name w:val="index 1"/>
    <w:basedOn w:val="1"/>
    <w:next w:val="1"/>
    <w:unhideWhenUsed/>
    <w:qFormat/>
    <w:uiPriority w:val="0"/>
  </w:style>
  <w:style w:type="paragraph" w:styleId="18">
    <w:name w:val="toc 4"/>
    <w:basedOn w:val="1"/>
    <w:next w:val="1"/>
    <w:qFormat/>
    <w:uiPriority w:val="0"/>
    <w:pPr>
      <w:ind w:left="1260" w:leftChars="600"/>
    </w:pPr>
  </w:style>
  <w:style w:type="paragraph" w:styleId="19">
    <w:name w:val="toc 2"/>
    <w:basedOn w:val="1"/>
    <w:next w:val="1"/>
    <w:qFormat/>
    <w:uiPriority w:val="39"/>
    <w:pPr>
      <w:ind w:left="420" w:leftChars="200"/>
    </w:pPr>
  </w:style>
  <w:style w:type="paragraph" w:styleId="20">
    <w:name w:val="Body Text 2"/>
    <w:basedOn w:val="1"/>
    <w:qFormat/>
    <w:uiPriority w:val="0"/>
    <w:pPr>
      <w:spacing w:line="500" w:lineRule="exact"/>
    </w:pPr>
  </w:style>
  <w:style w:type="paragraph" w:styleId="21">
    <w:name w:val="Normal (Web)"/>
    <w:basedOn w:val="1"/>
    <w:qFormat/>
    <w:uiPriority w:val="0"/>
    <w:pPr>
      <w:widowControl/>
      <w:spacing w:beforeAutospacing="1" w:afterAutospacing="1"/>
      <w:jc w:val="left"/>
    </w:pPr>
    <w:rPr>
      <w:rFonts w:hAnsi="宋体" w:cs="宋体"/>
      <w:color w:val="000000"/>
      <w:kern w:val="0"/>
      <w:szCs w:val="24"/>
    </w:rPr>
  </w:style>
  <w:style w:type="paragraph" w:styleId="22">
    <w:name w:val="Title"/>
    <w:basedOn w:val="1"/>
    <w:next w:val="1"/>
    <w:qFormat/>
    <w:uiPriority w:val="0"/>
    <w:pPr>
      <w:spacing w:line="480" w:lineRule="atLeast"/>
      <w:jc w:val="center"/>
    </w:pPr>
    <w:rPr>
      <w:sz w:val="32"/>
    </w:rPr>
  </w:style>
  <w:style w:type="paragraph" w:styleId="23">
    <w:name w:val="Body Text First Indent"/>
    <w:basedOn w:val="8"/>
    <w:next w:val="1"/>
    <w:qFormat/>
    <w:uiPriority w:val="0"/>
    <w:pPr>
      <w:spacing w:after="60" w:line="360" w:lineRule="auto"/>
      <w:ind w:firstLine="200" w:firstLineChars="200"/>
    </w:pPr>
    <w:rPr>
      <w:rFonts w:ascii="Arial" w:hAnsi="Arial"/>
      <w:szCs w:val="21"/>
    </w:rPr>
  </w:style>
  <w:style w:type="paragraph" w:styleId="24">
    <w:name w:val="Body Text First Indent 2"/>
    <w:basedOn w:val="9"/>
    <w:qFormat/>
    <w:uiPriority w:val="0"/>
    <w:pPr>
      <w:tabs>
        <w:tab w:val="left" w:pos="0"/>
      </w:tabs>
      <w:ind w:firstLine="420"/>
    </w:p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customStyle="1" w:styleId="29">
    <w:name w:val="标题 2 Char"/>
    <w:link w:val="3"/>
    <w:qFormat/>
    <w:uiPriority w:val="0"/>
    <w:rPr>
      <w:kern w:val="0"/>
    </w:rPr>
  </w:style>
  <w:style w:type="character" w:customStyle="1" w:styleId="30">
    <w:name w:val="标题 3 Char"/>
    <w:link w:val="4"/>
    <w:qFormat/>
    <w:uiPriority w:val="0"/>
    <w:rPr>
      <w:rFonts w:hint="default" w:ascii="Times New Roman" w:hAnsi="Times New Roman" w:eastAsia="宋体"/>
      <w:b/>
    </w:rPr>
  </w:style>
  <w:style w:type="paragraph" w:customStyle="1" w:styleId="31">
    <w:name w:val="Default"/>
    <w:next w:val="32"/>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6'"/>
    <w:basedOn w:val="1"/>
    <w:next w:val="33"/>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3">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customStyle="1" w:styleId="3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6">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7">
    <w:name w:val="标题 1 New"/>
    <w:basedOn w:val="36"/>
    <w:next w:val="36"/>
    <w:qFormat/>
    <w:uiPriority w:val="0"/>
    <w:pPr>
      <w:autoSpaceDE w:val="0"/>
      <w:autoSpaceDN w:val="0"/>
      <w:adjustRightInd w:val="0"/>
      <w:jc w:val="left"/>
      <w:outlineLvl w:val="0"/>
    </w:pPr>
    <w:rPr>
      <w:kern w:val="0"/>
      <w:sz w:val="30"/>
    </w:rPr>
  </w:style>
  <w:style w:type="paragraph" w:customStyle="1" w:styleId="38">
    <w:name w:val="标题 2 New New"/>
    <w:basedOn w:val="36"/>
    <w:next w:val="36"/>
    <w:qFormat/>
    <w:uiPriority w:val="0"/>
    <w:pPr>
      <w:autoSpaceDE w:val="0"/>
      <w:autoSpaceDN w:val="0"/>
      <w:adjustRightInd w:val="0"/>
      <w:jc w:val="left"/>
      <w:outlineLvl w:val="1"/>
    </w:pPr>
    <w:rPr>
      <w:kern w:val="0"/>
    </w:rPr>
  </w:style>
  <w:style w:type="paragraph" w:customStyle="1" w:styleId="3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Normal Indent1"/>
    <w:basedOn w:val="1"/>
    <w:qFormat/>
    <w:uiPriority w:val="0"/>
    <w:pPr>
      <w:widowControl/>
      <w:spacing w:line="360" w:lineRule="auto"/>
      <w:ind w:firstLine="420"/>
      <w:jc w:val="left"/>
    </w:pPr>
    <w:rPr>
      <w:rFonts w:hAnsi="Times New Roman"/>
      <w:kern w:val="0"/>
      <w:sz w:val="20"/>
    </w:rPr>
  </w:style>
  <w:style w:type="paragraph" w:customStyle="1" w:styleId="41">
    <w:name w:val="正文缩进1"/>
    <w:basedOn w:val="1"/>
    <w:qFormat/>
    <w:uiPriority w:val="0"/>
    <w:pPr>
      <w:widowControl/>
      <w:spacing w:line="360" w:lineRule="auto"/>
      <w:ind w:firstLine="420"/>
      <w:jc w:val="left"/>
    </w:pPr>
    <w:rPr>
      <w:rFonts w:hAnsi="Times New Roman"/>
      <w:kern w:val="0"/>
      <w:sz w:val="20"/>
    </w:rPr>
  </w:style>
  <w:style w:type="paragraph" w:customStyle="1" w:styleId="42">
    <w:name w:val="样式 宋体 行距: 1.5 倍行距"/>
    <w:basedOn w:val="43"/>
    <w:next w:val="1"/>
    <w:qFormat/>
    <w:uiPriority w:val="0"/>
    <w:pPr>
      <w:jc w:val="center"/>
    </w:pPr>
    <w:rPr>
      <w:rFonts w:ascii="Times New Roman" w:hAnsi="Times New Roman" w:cs="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46">
    <w:name w:val="正文文本缩进 New New"/>
    <w:basedOn w:val="36"/>
    <w:qFormat/>
    <w:uiPriority w:val="0"/>
    <w:pPr>
      <w:ind w:firstLine="560" w:firstLineChars="200"/>
    </w:pPr>
  </w:style>
  <w:style w:type="paragraph" w:customStyle="1" w:styleId="47">
    <w:name w:val="正文文本缩进 3 New"/>
    <w:basedOn w:val="36"/>
    <w:qFormat/>
    <w:uiPriority w:val="0"/>
    <w:pPr>
      <w:ind w:firstLine="560"/>
    </w:pPr>
    <w:rPr>
      <w:color w:val="FF0000"/>
    </w:rPr>
  </w:style>
  <w:style w:type="paragraph" w:customStyle="1" w:styleId="48">
    <w:name w:val="标题 3 New New New"/>
    <w:basedOn w:val="49"/>
    <w:next w:val="49"/>
    <w:qFormat/>
    <w:uiPriority w:val="0"/>
    <w:pPr>
      <w:keepNext/>
      <w:keepLines/>
      <w:jc w:val="center"/>
      <w:outlineLvl w:val="2"/>
    </w:pPr>
    <w:rPr>
      <w:sz w:val="24"/>
    </w:rPr>
  </w:style>
  <w:style w:type="paragraph" w:customStyle="1" w:styleId="49">
    <w:name w:val="正文缩进 New"/>
    <w:basedOn w:val="50"/>
    <w:qFormat/>
    <w:uiPriority w:val="0"/>
    <w:pPr>
      <w:widowControl/>
      <w:ind w:firstLine="420"/>
      <w:jc w:val="left"/>
    </w:pPr>
    <w:rPr>
      <w:kern w:val="0"/>
      <w:sz w:val="20"/>
    </w:rPr>
  </w:style>
  <w:style w:type="paragraph" w:customStyle="1" w:styleId="50">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1">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2">
    <w:name w:val="NormalCharacter"/>
    <w:semiHidden/>
    <w:qFormat/>
    <w:uiPriority w:val="0"/>
    <w:rPr>
      <w:rFonts w:ascii="宋体"/>
      <w:kern w:val="2"/>
      <w:sz w:val="24"/>
      <w:lang w:val="en-US" w:eastAsia="zh-CN" w:bidi="ar-SA"/>
    </w:rPr>
  </w:style>
  <w:style w:type="paragraph" w:customStyle="1" w:styleId="53">
    <w:name w:val="标题 2 New New New"/>
    <w:basedOn w:val="54"/>
    <w:next w:val="54"/>
    <w:qFormat/>
    <w:uiPriority w:val="0"/>
    <w:pPr>
      <w:autoSpaceDE w:val="0"/>
      <w:autoSpaceDN w:val="0"/>
      <w:adjustRightInd w:val="0"/>
      <w:jc w:val="left"/>
      <w:outlineLvl w:val="1"/>
    </w:pPr>
  </w:style>
  <w:style w:type="paragraph" w:customStyle="1" w:styleId="54">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5">
    <w:name w:val="普通(网站) New"/>
    <w:basedOn w:val="56"/>
    <w:qFormat/>
    <w:uiPriority w:val="0"/>
    <w:rPr>
      <w:sz w:val="24"/>
    </w:rPr>
  </w:style>
  <w:style w:type="paragraph" w:customStyle="1" w:styleId="5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8">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YJ22 Char"/>
    <w:link w:val="61"/>
    <w:qFormat/>
    <w:uiPriority w:val="0"/>
    <w:rPr>
      <w:rFonts w:ascii="Times New Roman" w:hAnsi="宋体"/>
      <w:b/>
      <w:kern w:val="0"/>
      <w:sz w:val="20"/>
    </w:rPr>
  </w:style>
  <w:style w:type="paragraph" w:customStyle="1" w:styleId="61">
    <w:name w:val="YJ22"/>
    <w:basedOn w:val="36"/>
    <w:next w:val="36"/>
    <w:link w:val="60"/>
    <w:qFormat/>
    <w:uiPriority w:val="0"/>
    <w:pPr>
      <w:autoSpaceDE w:val="0"/>
      <w:autoSpaceDN w:val="0"/>
      <w:adjustRightInd w:val="0"/>
      <w:jc w:val="left"/>
      <w:outlineLvl w:val="1"/>
    </w:pPr>
    <w:rPr>
      <w:rFonts w:ascii="Times New Roman" w:hAnsi="宋体"/>
      <w:b/>
      <w:kern w:val="0"/>
      <w:sz w:val="20"/>
    </w:rPr>
  </w:style>
  <w:style w:type="paragraph" w:customStyle="1" w:styleId="62">
    <w:name w:val="正文文本缩进 New"/>
    <w:basedOn w:val="63"/>
    <w:qFormat/>
    <w:uiPriority w:val="0"/>
    <w:pPr>
      <w:ind w:firstLine="560" w:firstLineChars="200"/>
    </w:pPr>
  </w:style>
  <w:style w:type="paragraph" w:customStyle="1" w:styleId="6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4">
    <w:name w:val="正文文本缩进 New New New New"/>
    <w:basedOn w:val="65"/>
    <w:qFormat/>
    <w:uiPriority w:val="0"/>
    <w:pPr>
      <w:ind w:firstLine="560" w:firstLineChars="200"/>
    </w:pPr>
    <w:rPr>
      <w:szCs w:val="28"/>
    </w:rPr>
  </w:style>
  <w:style w:type="paragraph" w:customStyle="1" w:styleId="65">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6">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文本缩进 New New New New New New New"/>
    <w:basedOn w:val="66"/>
    <w:qFormat/>
    <w:uiPriority w:val="0"/>
    <w:pPr>
      <w:ind w:left="420" w:leftChars="200"/>
    </w:pPr>
    <w:rPr>
      <w:szCs w:val="24"/>
    </w:rPr>
  </w:style>
  <w:style w:type="paragraph" w:customStyle="1" w:styleId="68">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9">
    <w:name w:val="正文文本缩进 New New New New New New New New"/>
    <w:basedOn w:val="68"/>
    <w:qFormat/>
    <w:uiPriority w:val="0"/>
    <w:pPr>
      <w:ind w:left="420" w:leftChars="200"/>
    </w:pPr>
    <w:rPr>
      <w:szCs w:val="24"/>
    </w:rPr>
  </w:style>
  <w:style w:type="paragraph" w:customStyle="1" w:styleId="70">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1">
    <w:name w:val="页脚 New"/>
    <w:basedOn w:val="36"/>
    <w:qFormat/>
    <w:uiPriority w:val="0"/>
    <w:pPr>
      <w:widowControl/>
      <w:tabs>
        <w:tab w:val="center" w:pos="4153"/>
        <w:tab w:val="right" w:pos="8306"/>
      </w:tabs>
      <w:snapToGrid w:val="0"/>
      <w:jc w:val="left"/>
    </w:pPr>
    <w:rPr>
      <w:kern w:val="0"/>
      <w:sz w:val="18"/>
    </w:rPr>
  </w:style>
  <w:style w:type="character" w:customStyle="1" w:styleId="72">
    <w:name w:val="批注框文本 Char"/>
    <w:basedOn w:val="27"/>
    <w:link w:val="13"/>
    <w:qFormat/>
    <w:uiPriority w:val="0"/>
    <w:rPr>
      <w:rFonts w:ascii="宋体" w:hAnsi="等线" w:eastAsia="等线" w:cs="Times New Roman"/>
      <w:kern w:val="2"/>
      <w:sz w:val="18"/>
      <w:szCs w:val="18"/>
    </w:rPr>
  </w:style>
  <w:style w:type="paragraph" w:customStyle="1" w:styleId="73">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4">
    <w:name w:val="正文文本缩进 31"/>
    <w:basedOn w:val="1"/>
    <w:qFormat/>
    <w:uiPriority w:val="0"/>
    <w:pPr>
      <w:ind w:firstLine="570"/>
    </w:pPr>
    <w:rPr>
      <w:color w:val="0000FF"/>
      <w:kern w:val="0"/>
      <w:sz w:val="24"/>
      <w:u w:val="single"/>
    </w:rPr>
  </w:style>
  <w:style w:type="paragraph" w:customStyle="1" w:styleId="75">
    <w:name w:val="AnnotationText"/>
    <w:basedOn w:val="1"/>
    <w:qFormat/>
    <w:uiPriority w:val="0"/>
    <w:pPr>
      <w:spacing w:line="360" w:lineRule="atLeast"/>
      <w:jc w:val="left"/>
      <w:textAlignment w:val="baseline"/>
    </w:pPr>
    <w:rPr>
      <w:rFonts w:hAnsi="Times New Roman" w:cs="Times New Roman"/>
      <w:color w:val="auto"/>
    </w:rPr>
  </w:style>
  <w:style w:type="paragraph" w:customStyle="1" w:styleId="76">
    <w:name w:val="Table Text"/>
    <w:basedOn w:val="1"/>
    <w:semiHidden/>
    <w:qFormat/>
    <w:uiPriority w:val="0"/>
    <w:rPr>
      <w:rFonts w:ascii="宋体" w:hAnsi="宋体" w:eastAsia="宋体" w:cs="宋体"/>
      <w:sz w:val="21"/>
      <w:szCs w:val="21"/>
      <w:lang w:val="en-US" w:eastAsia="en-US" w:bidi="ar-SA"/>
    </w:rPr>
  </w:style>
  <w:style w:type="paragraph" w:customStyle="1" w:styleId="7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80">
    <w:name w:val="正文文本 (2) + 间距 0 pt3"/>
    <w:qFormat/>
    <w:uiPriority w:val="99"/>
    <w:rPr>
      <w:rFonts w:ascii="MingLiU" w:eastAsia="MingLiU" w:cs="MingLiU"/>
      <w:spacing w:val="0"/>
      <w:sz w:val="22"/>
      <w:szCs w:val="22"/>
      <w:u w:val="none"/>
    </w:rPr>
  </w:style>
  <w:style w:type="paragraph" w:customStyle="1" w:styleId="81">
    <w:name w:val="Body text|1"/>
    <w:basedOn w:val="1"/>
    <w:qFormat/>
    <w:uiPriority w:val="0"/>
    <w:rPr>
      <w:rFonts w:hint="eastAsia" w:ascii="Times New Roman" w:hAnsi="Times New Roman" w:eastAsia="宋体" w:cs="Times New Roman"/>
      <w:b/>
      <w:sz w:val="19"/>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75</Pages>
  <Words>20660</Words>
  <Characters>22261</Characters>
  <Lines>731</Lines>
  <Paragraphs>205</Paragraphs>
  <TotalTime>20</TotalTime>
  <ScaleCrop>false</ScaleCrop>
  <LinksUpToDate>false</LinksUpToDate>
  <CharactersWithSpaces>22450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2023-11-10T02:36:00Z</dcterms:created>
  <dc:creator>Chen~小璇</dc:creator>
  <cp:lastModifiedBy>妮子</cp:lastModifiedBy>
  <cp:lastPrinted>2026-01-19T10:35:24Z</cp:lastPrinted>
  <dcterms:modified xsi:type="dcterms:W3CDTF">2026-01-19T10:38:05Z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D8E9917B65C34132A06356C64F5E607D_13</vt:lpwstr>
  </property>
  <property fmtid="{D5CDD505-2E9C-101B-9397-08002B2CF9AE}" pid="4" name="KSOTemplateDocerSaveRecord">
    <vt:lpwstr>eyJoZGlkIjoiNzJlODJlZWIyMWViOTBjNDFkZDAwODdjNDFmYTk2MjUiLCJ1c2VySWQiOiIxMzczNjgyNDAzIn0=</vt:lpwstr>
  </property>
</Properties>
</file>