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4547DCA">
      <w:pPr>
        <w:pStyle w:val="184"/>
        <w:spacing w:line="360" w:lineRule="auto"/>
        <w:jc w:val="center"/>
        <w:rPr>
          <w:rFonts w:ascii="宋体" w:hAnsi="宋体" w:eastAsia="宋体" w:cs="宋体"/>
          <w:b/>
          <w:bCs/>
          <w:sz w:val="48"/>
          <w:szCs w:val="48"/>
        </w:rPr>
      </w:pPr>
      <w:r>
        <w:drawing>
          <wp:anchor distT="0" distB="0" distL="114300" distR="114300" simplePos="0" relativeHeight="251664384" behindDoc="0" locked="0" layoutInCell="1" allowOverlap="1">
            <wp:simplePos x="0" y="0"/>
            <wp:positionH relativeFrom="column">
              <wp:posOffset>-893445</wp:posOffset>
            </wp:positionH>
            <wp:positionV relativeFrom="paragraph">
              <wp:posOffset>-882650</wp:posOffset>
            </wp:positionV>
            <wp:extent cx="7553960" cy="10648950"/>
            <wp:effectExtent l="0" t="0" r="8890" b="0"/>
            <wp:wrapNone/>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8"/>
                    <a:stretch>
                      <a:fillRect/>
                    </a:stretch>
                  </pic:blipFill>
                  <pic:spPr>
                    <a:xfrm>
                      <a:off x="0" y="0"/>
                      <a:ext cx="7553960" cy="10648950"/>
                    </a:xfrm>
                    <a:prstGeom prst="rect">
                      <a:avLst/>
                    </a:prstGeom>
                    <a:noFill/>
                    <a:ln>
                      <a:noFill/>
                    </a:ln>
                  </pic:spPr>
                </pic:pic>
              </a:graphicData>
            </a:graphic>
          </wp:anchor>
        </w:drawing>
      </w:r>
    </w:p>
    <w:p w14:paraId="186A9077">
      <w:pPr>
        <w:pStyle w:val="184"/>
        <w:spacing w:line="360" w:lineRule="auto"/>
        <w:jc w:val="center"/>
        <w:rPr>
          <w:rFonts w:ascii="宋体" w:hAnsi="宋体" w:eastAsia="宋体" w:cs="宋体"/>
          <w:b/>
          <w:bCs/>
          <w:spacing w:val="26"/>
          <w:sz w:val="48"/>
          <w:szCs w:val="48"/>
          <w14:shadow w14:blurRad="50800" w14:dist="38100" w14:dir="2700000" w14:sx="100000" w14:sy="100000" w14:kx="0" w14:ky="0" w14:algn="tl">
            <w14:srgbClr w14:val="000000">
              <w14:alpha w14:val="60000"/>
            </w14:srgbClr>
          </w14:shadow>
        </w:rPr>
      </w:pPr>
      <w:r>
        <w:rPr>
          <w:rFonts w:hint="eastAsia" w:ascii="宋体" w:hAnsi="宋体" w:eastAsia="宋体" w:cs="宋体"/>
          <w:b/>
          <w:bCs/>
          <w:sz w:val="56"/>
          <w:szCs w:val="56"/>
        </w:rPr>
        <w:t>韶关百年东街及周边历史街区城市更新项目方案设计、初步设计</w:t>
      </w:r>
    </w:p>
    <w:p w14:paraId="4B34F627">
      <w:pPr>
        <w:pStyle w:val="184"/>
        <w:spacing w:line="360" w:lineRule="auto"/>
        <w:rPr>
          <w:rFonts w:ascii="宋体" w:hAnsi="宋体" w:eastAsia="宋体" w:cs="宋体"/>
          <w:b/>
          <w:bCs/>
          <w:spacing w:val="26"/>
          <w:sz w:val="48"/>
          <w:szCs w:val="48"/>
          <w14:shadow w14:blurRad="50800" w14:dist="38100" w14:dir="2700000" w14:sx="100000" w14:sy="100000" w14:kx="0" w14:ky="0" w14:algn="tl">
            <w14:srgbClr w14:val="000000">
              <w14:alpha w14:val="60000"/>
            </w14:srgbClr>
          </w14:shadow>
        </w:rPr>
      </w:pPr>
    </w:p>
    <w:p w14:paraId="49D4169A">
      <w:pPr>
        <w:pStyle w:val="184"/>
        <w:spacing w:line="360" w:lineRule="auto"/>
        <w:rPr>
          <w:rFonts w:ascii="宋体" w:hAnsi="宋体" w:eastAsia="宋体" w:cs="宋体"/>
          <w:b/>
          <w:bCs/>
          <w:spacing w:val="26"/>
          <w:sz w:val="48"/>
          <w:szCs w:val="48"/>
          <w14:shadow w14:blurRad="50800" w14:dist="38100" w14:dir="2700000" w14:sx="100000" w14:sy="100000" w14:kx="0" w14:ky="0" w14:algn="tl">
            <w14:srgbClr w14:val="000000">
              <w14:alpha w14:val="60000"/>
            </w14:srgbClr>
          </w14:shadow>
        </w:rPr>
      </w:pPr>
    </w:p>
    <w:p w14:paraId="6873E304">
      <w:pPr>
        <w:pStyle w:val="184"/>
        <w:spacing w:line="360" w:lineRule="auto"/>
        <w:jc w:val="center"/>
        <w:rPr>
          <w:rFonts w:ascii="宋体" w:hAnsi="宋体" w:eastAsia="宋体" w:cs="宋体"/>
          <w:b/>
          <w:bCs/>
          <w:spacing w:val="26"/>
          <w:sz w:val="52"/>
          <w:szCs w:val="52"/>
          <w14:shadow w14:blurRad="50800" w14:dist="38100" w14:dir="2700000" w14:sx="100000" w14:sy="100000" w14:kx="0" w14:ky="0" w14:algn="tl">
            <w14:srgbClr w14:val="000000">
              <w14:alpha w14:val="60000"/>
            </w14:srgbClr>
          </w14:shadow>
        </w:rPr>
      </w:pPr>
      <w:r>
        <w:rPr>
          <w:rFonts w:hint="eastAsia" w:ascii="宋体" w:hAnsi="宋体" w:eastAsia="宋体" w:cs="宋体"/>
          <w:b/>
          <w:bCs/>
          <w:spacing w:val="28"/>
          <w:sz w:val="84"/>
          <w:szCs w:val="84"/>
        </w:rPr>
        <w:t>招标文件</w:t>
      </w:r>
    </w:p>
    <w:p w14:paraId="40D8FED3">
      <w:pPr>
        <w:pStyle w:val="184"/>
        <w:spacing w:line="360" w:lineRule="auto"/>
        <w:rPr>
          <w:rFonts w:ascii="宋体" w:hAnsi="宋体" w:eastAsia="宋体" w:cs="宋体"/>
          <w:b/>
          <w:bCs/>
          <w:spacing w:val="26"/>
          <w:sz w:val="48"/>
          <w:szCs w:val="48"/>
          <w14:shadow w14:blurRad="50800" w14:dist="38100" w14:dir="2700000" w14:sx="100000" w14:sy="100000" w14:kx="0" w14:ky="0" w14:algn="tl">
            <w14:srgbClr w14:val="000000">
              <w14:alpha w14:val="60000"/>
            </w14:srgbClr>
          </w14:shadow>
        </w:rPr>
      </w:pPr>
    </w:p>
    <w:p w14:paraId="5FB4AD7B">
      <w:pPr>
        <w:pStyle w:val="184"/>
        <w:spacing w:line="360" w:lineRule="auto"/>
        <w:rPr>
          <w:rFonts w:ascii="宋体" w:hAnsi="宋体" w:eastAsia="宋体" w:cs="宋体"/>
          <w:b/>
          <w:bCs/>
          <w:spacing w:val="26"/>
          <w:sz w:val="48"/>
          <w:szCs w:val="48"/>
          <w14:shadow w14:blurRad="50800" w14:dist="38100" w14:dir="2700000" w14:sx="100000" w14:sy="100000" w14:kx="0" w14:ky="0" w14:algn="tl">
            <w14:srgbClr w14:val="000000">
              <w14:alpha w14:val="60000"/>
            </w14:srgbClr>
          </w14:shadow>
        </w:rPr>
      </w:pPr>
    </w:p>
    <w:tbl>
      <w:tblPr>
        <w:tblStyle w:val="31"/>
        <w:tblpPr w:leftFromText="180" w:rightFromText="180" w:vertAnchor="text" w:horzAnchor="page" w:tblpX="1312" w:tblpY="423"/>
        <w:tblOverlap w:val="never"/>
        <w:tblW w:w="9567" w:type="dxa"/>
        <w:tblInd w:w="0" w:type="dxa"/>
        <w:tblLayout w:type="fixed"/>
        <w:tblCellMar>
          <w:top w:w="0" w:type="dxa"/>
          <w:left w:w="0" w:type="dxa"/>
          <w:bottom w:w="0" w:type="dxa"/>
          <w:right w:w="0" w:type="dxa"/>
        </w:tblCellMar>
      </w:tblPr>
      <w:tblGrid>
        <w:gridCol w:w="4768"/>
        <w:gridCol w:w="4799"/>
      </w:tblGrid>
      <w:tr w14:paraId="66B64608">
        <w:tblPrEx>
          <w:tblCellMar>
            <w:top w:w="0" w:type="dxa"/>
            <w:left w:w="0" w:type="dxa"/>
            <w:bottom w:w="0" w:type="dxa"/>
            <w:right w:w="0" w:type="dxa"/>
          </w:tblCellMar>
        </w:tblPrEx>
        <w:trPr>
          <w:trHeight w:val="782" w:hRule="atLeast"/>
        </w:trPr>
        <w:tc>
          <w:tcPr>
            <w:tcW w:w="4768" w:type="dxa"/>
            <w:vAlign w:val="center"/>
          </w:tcPr>
          <w:p w14:paraId="317036CE">
            <w:pPr>
              <w:pStyle w:val="159"/>
              <w:spacing w:line="240" w:lineRule="auto"/>
              <w:jc w:val="left"/>
              <w:rPr>
                <w:rFonts w:hAnsi="宋体" w:cs="宋体"/>
                <w:sz w:val="28"/>
              </w:rPr>
            </w:pPr>
            <w:r>
              <w:rPr>
                <w:rFonts w:hint="eastAsia" w:hAnsi="宋体" w:cs="宋体"/>
                <w:sz w:val="28"/>
              </w:rPr>
              <w:t xml:space="preserve"> 招        标        人（盖 章）：</w:t>
            </w:r>
          </w:p>
        </w:tc>
        <w:tc>
          <w:tcPr>
            <w:tcW w:w="4799" w:type="dxa"/>
            <w:vAlign w:val="center"/>
          </w:tcPr>
          <w:p w14:paraId="38F33EA0">
            <w:pPr>
              <w:pStyle w:val="159"/>
              <w:spacing w:line="240" w:lineRule="auto"/>
              <w:rPr>
                <w:rFonts w:hAnsi="宋体" w:cs="宋体"/>
                <w:kern w:val="0"/>
                <w:szCs w:val="24"/>
              </w:rPr>
            </w:pPr>
            <w:r>
              <w:rPr>
                <w:rFonts w:hint="eastAsia" w:hAnsi="宋体" w:cs="宋体"/>
                <w:sz w:val="28"/>
                <w:szCs w:val="28"/>
              </w:rPr>
              <w:t>韶关市金沁房地产开发有限公司</w:t>
            </w:r>
          </w:p>
        </w:tc>
      </w:tr>
      <w:tr w14:paraId="1B4F9F91">
        <w:tblPrEx>
          <w:tblCellMar>
            <w:top w:w="0" w:type="dxa"/>
            <w:left w:w="0" w:type="dxa"/>
            <w:bottom w:w="0" w:type="dxa"/>
            <w:right w:w="0" w:type="dxa"/>
          </w:tblCellMar>
        </w:tblPrEx>
        <w:trPr>
          <w:trHeight w:val="782" w:hRule="atLeast"/>
        </w:trPr>
        <w:tc>
          <w:tcPr>
            <w:tcW w:w="4768" w:type="dxa"/>
            <w:vAlign w:val="center"/>
          </w:tcPr>
          <w:p w14:paraId="79A98CCD">
            <w:pPr>
              <w:pStyle w:val="159"/>
              <w:spacing w:line="240" w:lineRule="auto"/>
              <w:jc w:val="left"/>
              <w:rPr>
                <w:rFonts w:hAnsi="宋体" w:cs="宋体"/>
                <w:sz w:val="28"/>
              </w:rPr>
            </w:pPr>
            <w:r>
              <w:rPr>
                <w:rFonts w:hint="eastAsia" w:hAnsi="宋体" w:cs="宋体"/>
                <w:sz w:val="28"/>
              </w:rPr>
              <w:t xml:space="preserve"> 招标人工作领导小组负责人（签字）：</w:t>
            </w:r>
          </w:p>
        </w:tc>
        <w:tc>
          <w:tcPr>
            <w:tcW w:w="4799" w:type="dxa"/>
            <w:vAlign w:val="center"/>
          </w:tcPr>
          <w:p w14:paraId="788B83E3">
            <w:pPr>
              <w:pStyle w:val="159"/>
              <w:spacing w:line="240" w:lineRule="auto"/>
              <w:rPr>
                <w:rFonts w:hAnsi="宋体" w:cs="宋体"/>
                <w:sz w:val="28"/>
                <w:szCs w:val="28"/>
              </w:rPr>
            </w:pPr>
          </w:p>
        </w:tc>
      </w:tr>
      <w:tr w14:paraId="7C10925F">
        <w:tblPrEx>
          <w:tblCellMar>
            <w:top w:w="0" w:type="dxa"/>
            <w:left w:w="0" w:type="dxa"/>
            <w:bottom w:w="0" w:type="dxa"/>
            <w:right w:w="0" w:type="dxa"/>
          </w:tblCellMar>
        </w:tblPrEx>
        <w:trPr>
          <w:trHeight w:val="767" w:hRule="atLeast"/>
        </w:trPr>
        <w:tc>
          <w:tcPr>
            <w:tcW w:w="4768" w:type="dxa"/>
            <w:vAlign w:val="center"/>
          </w:tcPr>
          <w:p w14:paraId="58A93A24">
            <w:pPr>
              <w:pStyle w:val="159"/>
              <w:spacing w:line="240" w:lineRule="auto"/>
              <w:jc w:val="left"/>
              <w:rPr>
                <w:rFonts w:hAnsi="宋体" w:cs="宋体"/>
                <w:sz w:val="28"/>
              </w:rPr>
            </w:pPr>
            <w:r>
              <w:rPr>
                <w:rFonts w:hint="eastAsia" w:hAnsi="宋体" w:cs="宋体"/>
                <w:sz w:val="28"/>
              </w:rPr>
              <w:t xml:space="preserve"> 招  标  代  理  机  构 （盖 章）：</w:t>
            </w:r>
          </w:p>
        </w:tc>
        <w:tc>
          <w:tcPr>
            <w:tcW w:w="4799" w:type="dxa"/>
            <w:vAlign w:val="center"/>
          </w:tcPr>
          <w:p w14:paraId="6F286751">
            <w:pPr>
              <w:pStyle w:val="159"/>
              <w:spacing w:line="240" w:lineRule="auto"/>
              <w:rPr>
                <w:rFonts w:hAnsi="宋体" w:cs="宋体"/>
                <w:sz w:val="28"/>
                <w:szCs w:val="28"/>
              </w:rPr>
            </w:pPr>
            <w:r>
              <w:rPr>
                <w:rFonts w:hint="eastAsia" w:hAnsi="宋体" w:cs="宋体"/>
                <w:sz w:val="28"/>
                <w:szCs w:val="28"/>
              </w:rPr>
              <w:t>广东信誉招标代理有限公司</w:t>
            </w:r>
          </w:p>
        </w:tc>
      </w:tr>
      <w:tr w14:paraId="5FD1C0A5">
        <w:tblPrEx>
          <w:tblCellMar>
            <w:top w:w="0" w:type="dxa"/>
            <w:left w:w="0" w:type="dxa"/>
            <w:bottom w:w="0" w:type="dxa"/>
            <w:right w:w="0" w:type="dxa"/>
          </w:tblCellMar>
        </w:tblPrEx>
        <w:trPr>
          <w:trHeight w:val="831" w:hRule="atLeast"/>
        </w:trPr>
        <w:tc>
          <w:tcPr>
            <w:tcW w:w="4768" w:type="dxa"/>
            <w:vAlign w:val="center"/>
          </w:tcPr>
          <w:p w14:paraId="22CC41C5">
            <w:pPr>
              <w:pStyle w:val="159"/>
              <w:spacing w:line="240" w:lineRule="auto"/>
              <w:jc w:val="left"/>
              <w:rPr>
                <w:rFonts w:hAnsi="宋体" w:cs="宋体"/>
                <w:sz w:val="28"/>
              </w:rPr>
            </w:pPr>
            <w:r>
              <w:rPr>
                <w:rFonts w:hint="eastAsia" w:hAnsi="宋体" w:cs="宋体"/>
                <w:sz w:val="28"/>
              </w:rPr>
              <w:t xml:space="preserve"> 招  标  文  件  编  制  人（签字）：</w:t>
            </w:r>
          </w:p>
        </w:tc>
        <w:tc>
          <w:tcPr>
            <w:tcW w:w="4799" w:type="dxa"/>
            <w:vAlign w:val="center"/>
          </w:tcPr>
          <w:p w14:paraId="1103F4C4">
            <w:pPr>
              <w:pStyle w:val="159"/>
              <w:spacing w:line="240" w:lineRule="auto"/>
              <w:rPr>
                <w:rFonts w:hAnsi="宋体" w:cs="宋体"/>
                <w:sz w:val="28"/>
                <w:szCs w:val="28"/>
              </w:rPr>
            </w:pPr>
          </w:p>
        </w:tc>
      </w:tr>
      <w:tr w14:paraId="7C0D67F7">
        <w:tblPrEx>
          <w:tblCellMar>
            <w:top w:w="0" w:type="dxa"/>
            <w:left w:w="0" w:type="dxa"/>
            <w:bottom w:w="0" w:type="dxa"/>
            <w:right w:w="0" w:type="dxa"/>
          </w:tblCellMar>
        </w:tblPrEx>
        <w:trPr>
          <w:trHeight w:val="767" w:hRule="atLeast"/>
        </w:trPr>
        <w:tc>
          <w:tcPr>
            <w:tcW w:w="4768" w:type="dxa"/>
            <w:vAlign w:val="center"/>
          </w:tcPr>
          <w:p w14:paraId="0CD851B0">
            <w:pPr>
              <w:pStyle w:val="159"/>
              <w:wordWrap w:val="0"/>
              <w:spacing w:line="240" w:lineRule="auto"/>
              <w:jc w:val="left"/>
              <w:rPr>
                <w:rFonts w:hAnsi="宋体" w:cs="宋体"/>
                <w:sz w:val="28"/>
              </w:rPr>
            </w:pPr>
            <w:r>
              <w:rPr>
                <w:rFonts w:hint="eastAsia" w:hAnsi="宋体" w:cs="宋体"/>
                <w:sz w:val="28"/>
              </w:rPr>
              <w:t xml:space="preserve"> 招标代理机构项目负责人（签字）：</w:t>
            </w:r>
          </w:p>
        </w:tc>
        <w:tc>
          <w:tcPr>
            <w:tcW w:w="4799" w:type="dxa"/>
            <w:vAlign w:val="center"/>
          </w:tcPr>
          <w:p w14:paraId="61C274F3">
            <w:pPr>
              <w:pStyle w:val="159"/>
              <w:spacing w:line="240" w:lineRule="auto"/>
              <w:rPr>
                <w:rFonts w:hAnsi="宋体" w:cs="宋体"/>
                <w:sz w:val="28"/>
                <w:szCs w:val="28"/>
              </w:rPr>
            </w:pPr>
          </w:p>
        </w:tc>
      </w:tr>
      <w:tr w14:paraId="6DE913C7">
        <w:tblPrEx>
          <w:tblCellMar>
            <w:top w:w="0" w:type="dxa"/>
            <w:left w:w="0" w:type="dxa"/>
            <w:bottom w:w="0" w:type="dxa"/>
            <w:right w:w="0" w:type="dxa"/>
          </w:tblCellMar>
        </w:tblPrEx>
        <w:trPr>
          <w:trHeight w:val="768" w:hRule="atLeast"/>
        </w:trPr>
        <w:tc>
          <w:tcPr>
            <w:tcW w:w="4768" w:type="dxa"/>
            <w:vAlign w:val="center"/>
          </w:tcPr>
          <w:p w14:paraId="295A58D5">
            <w:pPr>
              <w:pStyle w:val="159"/>
              <w:wordWrap w:val="0"/>
              <w:spacing w:line="240" w:lineRule="auto"/>
              <w:jc w:val="left"/>
              <w:rPr>
                <w:rFonts w:hAnsi="宋体" w:cs="宋体"/>
                <w:sz w:val="28"/>
              </w:rPr>
            </w:pPr>
            <w:r>
              <w:rPr>
                <w:rFonts w:hint="eastAsia" w:hAnsi="宋体" w:cs="宋体"/>
                <w:sz w:val="28"/>
              </w:rPr>
              <w:t xml:space="preserve"> 招  标  文  件  编  制  日  期：</w:t>
            </w:r>
          </w:p>
        </w:tc>
        <w:tc>
          <w:tcPr>
            <w:tcW w:w="4799" w:type="dxa"/>
            <w:vAlign w:val="center"/>
          </w:tcPr>
          <w:p w14:paraId="0A0E9EA7">
            <w:pPr>
              <w:pStyle w:val="159"/>
              <w:spacing w:line="240" w:lineRule="auto"/>
              <w:rPr>
                <w:rFonts w:hAnsi="宋体" w:cs="宋体"/>
                <w:sz w:val="28"/>
              </w:rPr>
            </w:pPr>
            <w:r>
              <w:rPr>
                <w:rFonts w:hint="eastAsia" w:hAnsi="宋体" w:cs="宋体"/>
                <w:sz w:val="28"/>
              </w:rPr>
              <w:t xml:space="preserve">   2026年</w:t>
            </w:r>
            <w:r>
              <w:rPr>
                <w:rFonts w:hint="eastAsia" w:hAnsi="宋体" w:cs="宋体"/>
                <w:sz w:val="28"/>
                <w:lang w:val="en-US" w:eastAsia="zh-CN"/>
              </w:rPr>
              <w:t>7</w:t>
            </w:r>
            <w:r>
              <w:rPr>
                <w:rFonts w:hint="eastAsia" w:hAnsi="宋体" w:cs="宋体"/>
                <w:sz w:val="28"/>
              </w:rPr>
              <w:t>月</w:t>
            </w:r>
          </w:p>
        </w:tc>
      </w:tr>
    </w:tbl>
    <w:p w14:paraId="21A8B274">
      <w:pPr>
        <w:pStyle w:val="56"/>
        <w:tabs>
          <w:tab w:val="left" w:pos="4935"/>
        </w:tabs>
        <w:rPr>
          <w:rFonts w:hAnsi="宋体" w:cs="宋体"/>
          <w:b/>
          <w:sz w:val="28"/>
          <w:szCs w:val="28"/>
        </w:rPr>
        <w:sectPr>
          <w:headerReference r:id="rId4" w:type="first"/>
          <w:footerReference r:id="rId7" w:type="first"/>
          <w:footerReference r:id="rId5" w:type="default"/>
          <w:headerReference r:id="rId3" w:type="even"/>
          <w:footerReference r:id="rId6" w:type="even"/>
          <w:endnotePr>
            <w:numFmt w:val="decimal"/>
          </w:endnotePr>
          <w:pgSz w:w="11906" w:h="16838"/>
          <w:pgMar w:top="1440" w:right="1686" w:bottom="1440" w:left="1400" w:header="851" w:footer="992" w:gutter="0"/>
          <w:pgNumType w:start="1"/>
          <w:cols w:space="720" w:num="1"/>
          <w:docGrid w:type="lines" w:linePitch="312" w:charSpace="0"/>
        </w:sectPr>
      </w:pPr>
    </w:p>
    <w:p w14:paraId="5FD2DB0A"/>
    <w:sdt>
      <w:sdtPr>
        <w:id w:val="147455965"/>
        <w15:color w:val="DBDBDB"/>
        <w:docPartObj>
          <w:docPartGallery w:val="Table of Contents"/>
          <w:docPartUnique/>
        </w:docPartObj>
      </w:sdtPr>
      <w:sdtEndPr>
        <w:rPr>
          <w:b/>
        </w:rPr>
      </w:sdtEndPr>
      <w:sdtContent>
        <w:p w14:paraId="3729F2BD">
          <w:pPr>
            <w:pStyle w:val="22"/>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Chars="0" w:firstLine="0" w:firstLineChars="0"/>
            <w:jc w:val="center"/>
            <w:textAlignment w:val="auto"/>
            <w:outlineLvl w:val="2"/>
          </w:pPr>
        </w:p>
        <w:p w14:paraId="5F5209E9">
          <w:pPr>
            <w:keepNext w:val="0"/>
            <w:keepLines w:val="0"/>
            <w:pageBreakBefore w:val="0"/>
            <w:widowControl/>
            <w:kinsoku/>
            <w:wordWrap/>
            <w:overflowPunct/>
            <w:topLinePunct w:val="0"/>
            <w:autoSpaceDE/>
            <w:autoSpaceDN/>
            <w:bidi w:val="0"/>
            <w:adjustRightInd/>
            <w:snapToGrid/>
            <w:spacing w:line="460" w:lineRule="exact"/>
            <w:ind w:leftChars="0" w:firstLine="0" w:firstLineChars="0"/>
            <w:textAlignment w:val="auto"/>
          </w:pPr>
          <w:r>
            <w:rPr>
              <w:rFonts w:cs="Times New Roman"/>
              <w:kern w:val="2"/>
              <w:sz w:val="21"/>
            </w:rPr>
            <w:br w:type="page"/>
          </w:r>
        </w:p>
        <w:p w14:paraId="695313E5">
          <w:pPr>
            <w:pStyle w:val="22"/>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Chars="0" w:firstLine="0" w:firstLineChars="0"/>
            <w:jc w:val="center"/>
            <w:textAlignment w:val="auto"/>
            <w:outlineLvl w:val="2"/>
          </w:pPr>
          <w:r>
            <w:rPr>
              <w:rFonts w:hint="eastAsia" w:cs="Times New Roman"/>
              <w:b/>
              <w:bCs/>
              <w:kern w:val="2"/>
              <w:sz w:val="36"/>
              <w:szCs w:val="32"/>
            </w:rPr>
            <w:t>目  录</w:t>
          </w:r>
        </w:p>
        <w:p w14:paraId="332F39BE">
          <w:pPr>
            <w:pStyle w:val="22"/>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Chars="0" w:firstLine="0" w:firstLineChars="0"/>
            <w:textAlignment w:val="auto"/>
            <w:rPr>
              <w:szCs w:val="22"/>
            </w:rPr>
          </w:pPr>
          <w:r>
            <w:rPr>
              <w:b/>
            </w:rPr>
            <w:fldChar w:fldCharType="begin"/>
          </w:r>
          <w:r>
            <w:rPr>
              <w:rFonts w:ascii="Times New Roman"/>
              <w:b/>
              <w:kern w:val="2"/>
              <w:sz w:val="21"/>
            </w:rPr>
            <w:instrText xml:space="preserve">TOC \o "1-3" \h \u </w:instrText>
          </w:r>
          <w:r>
            <w:rPr>
              <w:b/>
            </w:rPr>
            <w:fldChar w:fldCharType="separate"/>
          </w:r>
          <w:r>
            <w:fldChar w:fldCharType="begin"/>
          </w:r>
          <w:r>
            <w:instrText xml:space="preserve"> HYPERLINK \l "_Toc183" </w:instrText>
          </w:r>
          <w:r>
            <w:fldChar w:fldCharType="separate"/>
          </w:r>
          <w:r>
            <w:rPr>
              <w:rFonts w:hint="eastAsia"/>
              <w:kern w:val="44"/>
              <w:szCs w:val="28"/>
            </w:rPr>
            <w:t>第一章 投标人须知</w:t>
          </w:r>
          <w:r>
            <w:rPr>
              <w:szCs w:val="22"/>
            </w:rPr>
            <w:tab/>
          </w:r>
          <w:r>
            <w:rPr>
              <w:rFonts w:hint="eastAsia"/>
              <w:szCs w:val="22"/>
            </w:rPr>
            <w:t>1</w:t>
          </w:r>
          <w:r>
            <w:rPr>
              <w:rFonts w:hint="eastAsia"/>
              <w:szCs w:val="22"/>
            </w:rPr>
            <w:fldChar w:fldCharType="end"/>
          </w:r>
        </w:p>
        <w:p w14:paraId="35C70A09">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"_Toc1921" </w:instrText>
          </w:r>
          <w:r>
            <w:fldChar w:fldCharType="separate"/>
          </w:r>
          <w:r>
            <w:rPr>
              <w:rFonts w:hint="eastAsia"/>
              <w:bCs/>
              <w:szCs w:val="32"/>
            </w:rPr>
            <w:t>第一节 投标人须知前附表</w:t>
          </w:r>
          <w:r>
            <w:rPr>
              <w:szCs w:val="22"/>
            </w:rPr>
            <w:tab/>
          </w:r>
          <w:r>
            <w:rPr>
              <w:szCs w:val="22"/>
            </w:rPr>
            <w:fldChar w:fldCharType="begin"/>
          </w:r>
          <w:r>
            <w:rPr>
              <w:szCs w:val="22"/>
            </w:rPr>
            <w:instrText xml:space="preserve"> PAGEREF _Toc1921 \h </w:instrText>
          </w:r>
          <w:r>
            <w:rPr>
              <w:szCs w:val="22"/>
            </w:rPr>
            <w:fldChar w:fldCharType="separate"/>
          </w:r>
          <w:r>
            <w:rPr>
              <w:szCs w:val="22"/>
            </w:rPr>
            <w:t>1</w:t>
          </w:r>
          <w:r>
            <w:rPr>
              <w:szCs w:val="22"/>
            </w:rPr>
            <w:fldChar w:fldCharType="end"/>
          </w:r>
          <w:r>
            <w:rPr>
              <w:szCs w:val="22"/>
            </w:rPr>
            <w:fldChar w:fldCharType="end"/>
          </w:r>
        </w:p>
        <w:p w14:paraId="2FD8D735">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"_Toc27596" </w:instrText>
          </w:r>
          <w:r>
            <w:fldChar w:fldCharType="separate"/>
          </w:r>
          <w:r>
            <w:rPr>
              <w:rFonts w:hint="eastAsia"/>
              <w:bCs/>
              <w:szCs w:val="32"/>
            </w:rPr>
            <w:t>第二节 重要事项时间地点一览表</w:t>
          </w:r>
          <w:r>
            <w:rPr>
              <w:szCs w:val="22"/>
            </w:rPr>
            <w:tab/>
          </w:r>
          <w:r>
            <w:rPr>
              <w:szCs w:val="22"/>
            </w:rPr>
            <w:fldChar w:fldCharType="begin"/>
          </w:r>
          <w:r>
            <w:rPr>
              <w:szCs w:val="22"/>
            </w:rPr>
            <w:instrText xml:space="preserve"> PAGEREF _Toc27596 \h </w:instrText>
          </w:r>
          <w:r>
            <w:rPr>
              <w:szCs w:val="22"/>
            </w:rPr>
            <w:fldChar w:fldCharType="separate"/>
          </w:r>
          <w:r>
            <w:rPr>
              <w:szCs w:val="22"/>
            </w:rPr>
            <w:t>8</w:t>
          </w:r>
          <w:r>
            <w:rPr>
              <w:szCs w:val="22"/>
            </w:rPr>
            <w:fldChar w:fldCharType="end"/>
          </w:r>
          <w:r>
            <w:rPr>
              <w:szCs w:val="22"/>
            </w:rPr>
            <w:fldChar w:fldCharType="end"/>
          </w:r>
        </w:p>
        <w:p w14:paraId="2CC4E139">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"_Toc15907" </w:instrText>
          </w:r>
          <w:r>
            <w:fldChar w:fldCharType="separate"/>
          </w:r>
          <w:r>
            <w:rPr>
              <w:rFonts w:hint="eastAsia"/>
              <w:kern w:val="44"/>
              <w:szCs w:val="32"/>
            </w:rPr>
            <w:t>第三节 投标人须知正文</w:t>
          </w:r>
          <w:r>
            <w:rPr>
              <w:szCs w:val="22"/>
            </w:rPr>
            <w:tab/>
          </w:r>
          <w:r>
            <w:rPr>
              <w:szCs w:val="22"/>
            </w:rPr>
            <w:fldChar w:fldCharType="begin"/>
          </w:r>
          <w:r>
            <w:rPr>
              <w:szCs w:val="22"/>
            </w:rPr>
            <w:instrText xml:space="preserve"> PAGEREF _Toc15907 \h </w:instrText>
          </w:r>
          <w:r>
            <w:rPr>
              <w:szCs w:val="22"/>
            </w:rPr>
            <w:fldChar w:fldCharType="separate"/>
          </w:r>
          <w:r>
            <w:rPr>
              <w:szCs w:val="22"/>
            </w:rPr>
            <w:t>9</w:t>
          </w:r>
          <w:r>
            <w:rPr>
              <w:szCs w:val="22"/>
            </w:rPr>
            <w:fldChar w:fldCharType="end"/>
          </w:r>
          <w:r>
            <w:rPr>
              <w:szCs w:val="22"/>
            </w:rPr>
            <w:fldChar w:fldCharType="end"/>
          </w:r>
        </w:p>
        <w:p w14:paraId="180120CD">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"_Toc19945" </w:instrText>
          </w:r>
          <w:r>
            <w:fldChar w:fldCharType="separate"/>
          </w:r>
          <w:r>
            <w:rPr>
              <w:rFonts w:hint="eastAsia"/>
              <w:kern w:val="2"/>
              <w:szCs w:val="32"/>
            </w:rPr>
            <w:t>1 工程概况综合说明</w:t>
          </w:r>
          <w:r>
            <w:rPr>
              <w:szCs w:val="22"/>
            </w:rPr>
            <w:tab/>
          </w:r>
          <w:r>
            <w:rPr>
              <w:szCs w:val="22"/>
            </w:rPr>
            <w:fldChar w:fldCharType="begin"/>
          </w:r>
          <w:r>
            <w:rPr>
              <w:szCs w:val="22"/>
            </w:rPr>
            <w:instrText xml:space="preserve"> PAGEREF _Toc19945 \h </w:instrText>
          </w:r>
          <w:r>
            <w:rPr>
              <w:szCs w:val="22"/>
            </w:rPr>
            <w:fldChar w:fldCharType="separate"/>
          </w:r>
          <w:r>
            <w:rPr>
              <w:szCs w:val="22"/>
            </w:rPr>
            <w:t>9</w:t>
          </w:r>
          <w:r>
            <w:rPr>
              <w:szCs w:val="22"/>
            </w:rPr>
            <w:fldChar w:fldCharType="end"/>
          </w:r>
          <w:r>
            <w:rPr>
              <w:szCs w:val="22"/>
            </w:rPr>
            <w:fldChar w:fldCharType="end"/>
          </w:r>
        </w:p>
        <w:p w14:paraId="7E540AD2">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"_Toc15584" </w:instrText>
          </w:r>
          <w:r>
            <w:fldChar w:fldCharType="separate"/>
          </w:r>
          <w:r>
            <w:rPr>
              <w:rFonts w:hint="eastAsia"/>
              <w:kern w:val="2"/>
              <w:szCs w:val="32"/>
            </w:rPr>
            <w:t>2 招标范围</w:t>
          </w:r>
          <w:r>
            <w:rPr>
              <w:szCs w:val="22"/>
            </w:rPr>
            <w:tab/>
          </w:r>
          <w:r>
            <w:rPr>
              <w:rFonts w:hint="eastAsia"/>
              <w:szCs w:val="22"/>
            </w:rPr>
            <w:t>9</w:t>
          </w:r>
          <w:r>
            <w:rPr>
              <w:rFonts w:hint="eastAsia"/>
              <w:szCs w:val="22"/>
            </w:rPr>
            <w:fldChar w:fldCharType="end"/>
          </w:r>
        </w:p>
        <w:p w14:paraId="79301CE3">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"_Toc15632" </w:instrText>
          </w:r>
          <w:r>
            <w:fldChar w:fldCharType="separate"/>
          </w:r>
          <w:r>
            <w:rPr>
              <w:rFonts w:hint="eastAsia"/>
              <w:kern w:val="2"/>
              <w:szCs w:val="32"/>
            </w:rPr>
            <w:t>3 工期要求</w:t>
          </w:r>
          <w:r>
            <w:rPr>
              <w:szCs w:val="22"/>
            </w:rPr>
            <w:tab/>
          </w:r>
          <w:r>
            <w:rPr>
              <w:szCs w:val="22"/>
            </w:rPr>
            <w:fldChar w:fldCharType="begin"/>
          </w:r>
          <w:r>
            <w:rPr>
              <w:szCs w:val="22"/>
            </w:rPr>
            <w:instrText xml:space="preserve"> PAGEREF _Toc15632 \h </w:instrText>
          </w:r>
          <w:r>
            <w:rPr>
              <w:szCs w:val="22"/>
            </w:rPr>
            <w:fldChar w:fldCharType="separate"/>
          </w:r>
          <w:r>
            <w:rPr>
              <w:szCs w:val="22"/>
            </w:rPr>
            <w:t>9</w:t>
          </w:r>
          <w:r>
            <w:rPr>
              <w:szCs w:val="22"/>
            </w:rPr>
            <w:fldChar w:fldCharType="end"/>
          </w:r>
          <w:r>
            <w:rPr>
              <w:szCs w:val="22"/>
            </w:rPr>
            <w:fldChar w:fldCharType="end"/>
          </w:r>
        </w:p>
        <w:p w14:paraId="45D12162">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"_Toc7539" </w:instrText>
          </w:r>
          <w:r>
            <w:fldChar w:fldCharType="separate"/>
          </w:r>
          <w:r>
            <w:rPr>
              <w:rFonts w:hint="eastAsia"/>
              <w:kern w:val="2"/>
              <w:szCs w:val="32"/>
            </w:rPr>
            <w:t>4 投标人资质等级及人员要求</w:t>
          </w:r>
          <w:r>
            <w:rPr>
              <w:szCs w:val="22"/>
            </w:rPr>
            <w:tab/>
          </w:r>
          <w:r>
            <w:rPr>
              <w:szCs w:val="22"/>
            </w:rPr>
            <w:fldChar w:fldCharType="begin"/>
          </w:r>
          <w:r>
            <w:rPr>
              <w:szCs w:val="22"/>
            </w:rPr>
            <w:instrText xml:space="preserve"> PAGEREF _Toc7539 \h </w:instrText>
          </w:r>
          <w:r>
            <w:rPr>
              <w:szCs w:val="22"/>
            </w:rPr>
            <w:fldChar w:fldCharType="separate"/>
          </w:r>
          <w:r>
            <w:rPr>
              <w:szCs w:val="22"/>
            </w:rPr>
            <w:t>10</w:t>
          </w:r>
          <w:r>
            <w:rPr>
              <w:szCs w:val="22"/>
            </w:rPr>
            <w:fldChar w:fldCharType="end"/>
          </w:r>
          <w:r>
            <w:rPr>
              <w:szCs w:val="22"/>
            </w:rPr>
            <w:fldChar w:fldCharType="end"/>
          </w:r>
        </w:p>
        <w:p w14:paraId="02FA7C41">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"_Toc16609" </w:instrText>
          </w:r>
          <w:r>
            <w:fldChar w:fldCharType="separate"/>
          </w:r>
          <w:r>
            <w:rPr>
              <w:rFonts w:hint="eastAsia"/>
              <w:kern w:val="2"/>
              <w:szCs w:val="32"/>
            </w:rPr>
            <w:t xml:space="preserve">5 </w:t>
          </w:r>
          <w:r>
            <w:rPr>
              <w:rFonts w:hint="eastAsia"/>
              <w:bCs/>
              <w:szCs w:val="32"/>
            </w:rPr>
            <w:t>招标文件获取</w:t>
          </w:r>
          <w:r>
            <w:rPr>
              <w:szCs w:val="22"/>
            </w:rPr>
            <w:tab/>
          </w:r>
          <w:r>
            <w:rPr>
              <w:szCs w:val="22"/>
            </w:rPr>
            <w:fldChar w:fldCharType="begin"/>
          </w:r>
          <w:r>
            <w:rPr>
              <w:szCs w:val="22"/>
            </w:rPr>
            <w:instrText xml:space="preserve"> PAGEREF _Toc16609 \h </w:instrText>
          </w:r>
          <w:r>
            <w:rPr>
              <w:szCs w:val="22"/>
            </w:rPr>
            <w:fldChar w:fldCharType="separate"/>
          </w:r>
          <w:r>
            <w:rPr>
              <w:szCs w:val="22"/>
            </w:rPr>
            <w:t>12</w:t>
          </w:r>
          <w:r>
            <w:rPr>
              <w:szCs w:val="22"/>
            </w:rPr>
            <w:fldChar w:fldCharType="end"/>
          </w:r>
          <w:r>
            <w:rPr>
              <w:szCs w:val="22"/>
            </w:rPr>
            <w:fldChar w:fldCharType="end"/>
          </w:r>
        </w:p>
        <w:p w14:paraId="5E7D804F">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"_Toc4740" </w:instrText>
          </w:r>
          <w:r>
            <w:fldChar w:fldCharType="separate"/>
          </w:r>
          <w:r>
            <w:rPr>
              <w:rFonts w:hint="eastAsia"/>
              <w:kern w:val="2"/>
              <w:szCs w:val="32"/>
            </w:rPr>
            <w:t>6 设计工程内容和质量标准</w:t>
          </w:r>
          <w:r>
            <w:rPr>
              <w:szCs w:val="22"/>
            </w:rPr>
            <w:tab/>
          </w:r>
          <w:r>
            <w:rPr>
              <w:szCs w:val="22"/>
            </w:rPr>
            <w:fldChar w:fldCharType="begin"/>
          </w:r>
          <w:r>
            <w:rPr>
              <w:szCs w:val="22"/>
            </w:rPr>
            <w:instrText xml:space="preserve"> PAGEREF _Toc4740 \h </w:instrText>
          </w:r>
          <w:r>
            <w:rPr>
              <w:szCs w:val="22"/>
            </w:rPr>
            <w:fldChar w:fldCharType="separate"/>
          </w:r>
          <w:r>
            <w:rPr>
              <w:szCs w:val="22"/>
            </w:rPr>
            <w:t>14</w:t>
          </w:r>
          <w:r>
            <w:rPr>
              <w:szCs w:val="22"/>
            </w:rPr>
            <w:fldChar w:fldCharType="end"/>
          </w:r>
          <w:r>
            <w:rPr>
              <w:szCs w:val="22"/>
            </w:rPr>
            <w:fldChar w:fldCharType="end"/>
          </w:r>
        </w:p>
        <w:p w14:paraId="0FB04779">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"_Toc3271" </w:instrText>
          </w:r>
          <w:r>
            <w:fldChar w:fldCharType="separate"/>
          </w:r>
          <w:r>
            <w:rPr>
              <w:rFonts w:hint="eastAsia"/>
              <w:kern w:val="2"/>
              <w:szCs w:val="32"/>
            </w:rPr>
            <w:t>7 现场踏勘</w:t>
          </w:r>
          <w:r>
            <w:rPr>
              <w:szCs w:val="22"/>
            </w:rPr>
            <w:tab/>
          </w:r>
          <w:r>
            <w:rPr>
              <w:szCs w:val="22"/>
            </w:rPr>
            <w:fldChar w:fldCharType="begin"/>
          </w:r>
          <w:r>
            <w:rPr>
              <w:szCs w:val="22"/>
            </w:rPr>
            <w:instrText xml:space="preserve"> PAGEREF _Toc3271 \h </w:instrText>
          </w:r>
          <w:r>
            <w:rPr>
              <w:szCs w:val="22"/>
            </w:rPr>
            <w:fldChar w:fldCharType="separate"/>
          </w:r>
          <w:r>
            <w:rPr>
              <w:szCs w:val="22"/>
            </w:rPr>
            <w:t>14</w:t>
          </w:r>
          <w:r>
            <w:rPr>
              <w:szCs w:val="22"/>
            </w:rPr>
            <w:fldChar w:fldCharType="end"/>
          </w:r>
          <w:r>
            <w:rPr>
              <w:szCs w:val="22"/>
            </w:rPr>
            <w:fldChar w:fldCharType="end"/>
          </w:r>
        </w:p>
        <w:p w14:paraId="78B29F3B">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"_Toc10153" </w:instrText>
          </w:r>
          <w:r>
            <w:fldChar w:fldCharType="separate"/>
          </w:r>
          <w:r>
            <w:rPr>
              <w:rFonts w:hint="eastAsia"/>
              <w:kern w:val="2"/>
              <w:szCs w:val="32"/>
            </w:rPr>
            <w:t>8 招标答疑</w:t>
          </w:r>
          <w:r>
            <w:rPr>
              <w:szCs w:val="22"/>
            </w:rPr>
            <w:tab/>
          </w:r>
          <w:r>
            <w:rPr>
              <w:szCs w:val="22"/>
            </w:rPr>
            <w:fldChar w:fldCharType="begin"/>
          </w:r>
          <w:r>
            <w:rPr>
              <w:szCs w:val="22"/>
            </w:rPr>
            <w:instrText xml:space="preserve"> PAGEREF _Toc10153 \h </w:instrText>
          </w:r>
          <w:r>
            <w:rPr>
              <w:szCs w:val="22"/>
            </w:rPr>
            <w:fldChar w:fldCharType="separate"/>
          </w:r>
          <w:r>
            <w:rPr>
              <w:szCs w:val="22"/>
            </w:rPr>
            <w:t>15</w:t>
          </w:r>
          <w:r>
            <w:rPr>
              <w:szCs w:val="22"/>
            </w:rPr>
            <w:fldChar w:fldCharType="end"/>
          </w:r>
          <w:r>
            <w:rPr>
              <w:szCs w:val="22"/>
            </w:rPr>
            <w:fldChar w:fldCharType="end"/>
          </w:r>
        </w:p>
        <w:p w14:paraId="77939610">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"_Toc29808" </w:instrText>
          </w:r>
          <w:r>
            <w:fldChar w:fldCharType="separate"/>
          </w:r>
          <w:r>
            <w:rPr>
              <w:rFonts w:hint="eastAsia"/>
              <w:kern w:val="2"/>
              <w:szCs w:val="32"/>
            </w:rPr>
            <w:t>9 最高投标限价的确定及投标报价的约定</w:t>
          </w:r>
          <w:r>
            <w:rPr>
              <w:szCs w:val="22"/>
            </w:rPr>
            <w:tab/>
          </w:r>
          <w:r>
            <w:rPr>
              <w:szCs w:val="22"/>
            </w:rPr>
            <w:fldChar w:fldCharType="begin"/>
          </w:r>
          <w:r>
            <w:rPr>
              <w:szCs w:val="22"/>
            </w:rPr>
            <w:instrText xml:space="preserve"> PAGEREF _Toc29808 \h </w:instrText>
          </w:r>
          <w:r>
            <w:rPr>
              <w:szCs w:val="22"/>
            </w:rPr>
            <w:fldChar w:fldCharType="separate"/>
          </w:r>
          <w:r>
            <w:rPr>
              <w:szCs w:val="22"/>
            </w:rPr>
            <w:t>15</w:t>
          </w:r>
          <w:r>
            <w:rPr>
              <w:szCs w:val="22"/>
            </w:rPr>
            <w:fldChar w:fldCharType="end"/>
          </w:r>
          <w:r>
            <w:rPr>
              <w:szCs w:val="22"/>
            </w:rPr>
            <w:fldChar w:fldCharType="end"/>
          </w:r>
        </w:p>
        <w:p w14:paraId="73F0D8C6">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"_Toc18053" </w:instrText>
          </w:r>
          <w:r>
            <w:fldChar w:fldCharType="separate"/>
          </w:r>
          <w:r>
            <w:rPr>
              <w:rFonts w:hint="eastAsia"/>
              <w:kern w:val="2"/>
              <w:szCs w:val="32"/>
            </w:rPr>
            <w:t>10 投标文件的编制要求</w:t>
          </w:r>
          <w:r>
            <w:rPr>
              <w:szCs w:val="22"/>
            </w:rPr>
            <w:tab/>
          </w:r>
          <w:r>
            <w:rPr>
              <w:szCs w:val="22"/>
            </w:rPr>
            <w:fldChar w:fldCharType="begin"/>
          </w:r>
          <w:r>
            <w:rPr>
              <w:szCs w:val="22"/>
            </w:rPr>
            <w:instrText xml:space="preserve"> PAGEREF _Toc18053 \h </w:instrText>
          </w:r>
          <w:r>
            <w:rPr>
              <w:szCs w:val="22"/>
            </w:rPr>
            <w:fldChar w:fldCharType="separate"/>
          </w:r>
          <w:r>
            <w:rPr>
              <w:szCs w:val="22"/>
            </w:rPr>
            <w:t>16</w:t>
          </w:r>
          <w:r>
            <w:rPr>
              <w:szCs w:val="22"/>
            </w:rPr>
            <w:fldChar w:fldCharType="end"/>
          </w:r>
          <w:r>
            <w:rPr>
              <w:szCs w:val="22"/>
            </w:rPr>
            <w:fldChar w:fldCharType="end"/>
          </w:r>
        </w:p>
        <w:p w14:paraId="79B91298">
          <w:pPr>
            <w:pStyle w:val="1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960" w:leftChars="0" w:firstLine="0" w:firstLineChars="0"/>
            <w:textAlignment w:val="auto"/>
            <w:rPr>
              <w:szCs w:val="22"/>
            </w:rPr>
          </w:pPr>
          <w:r>
            <w:fldChar w:fldCharType="begin"/>
          </w:r>
          <w:r>
            <w:instrText xml:space="preserve"> HYPERLINK \l "_Toc13558" </w:instrText>
          </w:r>
          <w:r>
            <w:fldChar w:fldCharType="separate"/>
          </w:r>
          <w:r>
            <w:rPr>
              <w:rFonts w:hint="eastAsia"/>
              <w:szCs w:val="32"/>
            </w:rPr>
            <w:t>10.1 一般要求</w:t>
          </w:r>
          <w:r>
            <w:rPr>
              <w:szCs w:val="22"/>
            </w:rPr>
            <w:tab/>
          </w:r>
          <w:r>
            <w:rPr>
              <w:szCs w:val="22"/>
            </w:rPr>
            <w:fldChar w:fldCharType="begin"/>
          </w:r>
          <w:r>
            <w:rPr>
              <w:szCs w:val="22"/>
            </w:rPr>
            <w:instrText xml:space="preserve"> PAGEREF _Toc13558 \h </w:instrText>
          </w:r>
          <w:r>
            <w:rPr>
              <w:szCs w:val="22"/>
            </w:rPr>
            <w:fldChar w:fldCharType="separate"/>
          </w:r>
          <w:r>
            <w:rPr>
              <w:szCs w:val="22"/>
            </w:rPr>
            <w:t>16</w:t>
          </w:r>
          <w:r>
            <w:rPr>
              <w:szCs w:val="22"/>
            </w:rPr>
            <w:fldChar w:fldCharType="end"/>
          </w:r>
          <w:r>
            <w:rPr>
              <w:szCs w:val="22"/>
            </w:rPr>
            <w:fldChar w:fldCharType="end"/>
          </w:r>
        </w:p>
        <w:p w14:paraId="4C0B5C5C">
          <w:pPr>
            <w:pStyle w:val="1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960" w:leftChars="0" w:firstLine="0" w:firstLineChars="0"/>
            <w:textAlignment w:val="auto"/>
            <w:rPr>
              <w:szCs w:val="22"/>
            </w:rPr>
          </w:pPr>
          <w:r>
            <w:fldChar w:fldCharType="begin"/>
          </w:r>
          <w:r>
            <w:instrText xml:space="preserve"> HYPERLINK \l "_Toc20932" </w:instrText>
          </w:r>
          <w:r>
            <w:fldChar w:fldCharType="separate"/>
          </w:r>
          <w:r>
            <w:rPr>
              <w:rFonts w:hint="eastAsia"/>
              <w:szCs w:val="32"/>
            </w:rPr>
            <w:t>10.2 商务经济标书的编制要求</w:t>
          </w:r>
          <w:r>
            <w:rPr>
              <w:szCs w:val="22"/>
            </w:rPr>
            <w:tab/>
          </w:r>
          <w:r>
            <w:rPr>
              <w:szCs w:val="22"/>
            </w:rPr>
            <w:fldChar w:fldCharType="begin"/>
          </w:r>
          <w:r>
            <w:rPr>
              <w:szCs w:val="22"/>
            </w:rPr>
            <w:instrText xml:space="preserve"> PAGEREF _Toc20932 \h </w:instrText>
          </w:r>
          <w:r>
            <w:rPr>
              <w:szCs w:val="22"/>
            </w:rPr>
            <w:fldChar w:fldCharType="separate"/>
          </w:r>
          <w:r>
            <w:rPr>
              <w:szCs w:val="22"/>
            </w:rPr>
            <w:t>17</w:t>
          </w:r>
          <w:r>
            <w:rPr>
              <w:szCs w:val="22"/>
            </w:rPr>
            <w:fldChar w:fldCharType="end"/>
          </w:r>
          <w:r>
            <w:rPr>
              <w:szCs w:val="22"/>
            </w:rPr>
            <w:fldChar w:fldCharType="end"/>
          </w:r>
        </w:p>
        <w:p w14:paraId="6AE31B19">
          <w:pPr>
            <w:pStyle w:val="1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960" w:leftChars="0" w:firstLine="0" w:firstLineChars="0"/>
            <w:textAlignment w:val="auto"/>
            <w:rPr>
              <w:szCs w:val="22"/>
            </w:rPr>
          </w:pPr>
          <w:r>
            <w:fldChar w:fldCharType="begin"/>
          </w:r>
          <w:r>
            <w:instrText xml:space="preserve"> HYPERLINK \l "_Toc16489" </w:instrText>
          </w:r>
          <w:r>
            <w:fldChar w:fldCharType="separate"/>
          </w:r>
          <w:r>
            <w:rPr>
              <w:rFonts w:hint="eastAsia"/>
              <w:szCs w:val="32"/>
            </w:rPr>
            <w:t>10.3 技术标书的编制要求</w:t>
          </w:r>
          <w:r>
            <w:rPr>
              <w:szCs w:val="22"/>
            </w:rPr>
            <w:tab/>
          </w:r>
          <w:r>
            <w:rPr>
              <w:szCs w:val="22"/>
            </w:rPr>
            <w:fldChar w:fldCharType="begin"/>
          </w:r>
          <w:r>
            <w:rPr>
              <w:szCs w:val="22"/>
            </w:rPr>
            <w:instrText xml:space="preserve"> PAGEREF _Toc16489 \h </w:instrText>
          </w:r>
          <w:r>
            <w:rPr>
              <w:szCs w:val="22"/>
            </w:rPr>
            <w:fldChar w:fldCharType="separate"/>
          </w:r>
          <w:r>
            <w:rPr>
              <w:szCs w:val="22"/>
            </w:rPr>
            <w:t>18</w:t>
          </w:r>
          <w:r>
            <w:rPr>
              <w:szCs w:val="22"/>
            </w:rPr>
            <w:fldChar w:fldCharType="end"/>
          </w:r>
          <w:r>
            <w:rPr>
              <w:szCs w:val="22"/>
            </w:rPr>
            <w:fldChar w:fldCharType="end"/>
          </w:r>
        </w:p>
        <w:p w14:paraId="25937A95">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"_Toc27903" </w:instrText>
          </w:r>
          <w:r>
            <w:fldChar w:fldCharType="separate"/>
          </w:r>
          <w:r>
            <w:rPr>
              <w:rFonts w:hint="eastAsia"/>
              <w:kern w:val="2"/>
              <w:szCs w:val="32"/>
            </w:rPr>
            <w:t>11 投标文件的编制依据</w:t>
          </w:r>
          <w:r>
            <w:rPr>
              <w:szCs w:val="22"/>
            </w:rPr>
            <w:tab/>
          </w:r>
          <w:r>
            <w:rPr>
              <w:szCs w:val="22"/>
            </w:rPr>
            <w:fldChar w:fldCharType="begin"/>
          </w:r>
          <w:r>
            <w:rPr>
              <w:szCs w:val="22"/>
            </w:rPr>
            <w:instrText xml:space="preserve"> PAGEREF _Toc27903 \h </w:instrText>
          </w:r>
          <w:r>
            <w:rPr>
              <w:szCs w:val="22"/>
            </w:rPr>
            <w:fldChar w:fldCharType="separate"/>
          </w:r>
          <w:r>
            <w:rPr>
              <w:szCs w:val="22"/>
            </w:rPr>
            <w:t>18</w:t>
          </w:r>
          <w:r>
            <w:rPr>
              <w:szCs w:val="22"/>
            </w:rPr>
            <w:fldChar w:fldCharType="end"/>
          </w:r>
          <w:r>
            <w:rPr>
              <w:szCs w:val="22"/>
            </w:rPr>
            <w:fldChar w:fldCharType="end"/>
          </w:r>
        </w:p>
        <w:p w14:paraId="25D25A35">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"_Toc26268" </w:instrText>
          </w:r>
          <w:r>
            <w:fldChar w:fldCharType="separate"/>
          </w:r>
          <w:r>
            <w:rPr>
              <w:rFonts w:hint="eastAsia"/>
              <w:kern w:val="2"/>
              <w:szCs w:val="32"/>
            </w:rPr>
            <w:t>12 电子投标</w:t>
          </w:r>
          <w:r>
            <w:rPr>
              <w:szCs w:val="22"/>
            </w:rPr>
            <w:tab/>
          </w:r>
          <w:r>
            <w:rPr>
              <w:szCs w:val="22"/>
            </w:rPr>
            <w:fldChar w:fldCharType="begin"/>
          </w:r>
          <w:r>
            <w:rPr>
              <w:szCs w:val="22"/>
            </w:rPr>
            <w:instrText xml:space="preserve"> PAGEREF _Toc26268 \h </w:instrText>
          </w:r>
          <w:r>
            <w:rPr>
              <w:szCs w:val="22"/>
            </w:rPr>
            <w:fldChar w:fldCharType="separate"/>
          </w:r>
          <w:r>
            <w:rPr>
              <w:szCs w:val="22"/>
            </w:rPr>
            <w:t>18</w:t>
          </w:r>
          <w:r>
            <w:rPr>
              <w:szCs w:val="22"/>
            </w:rPr>
            <w:fldChar w:fldCharType="end"/>
          </w:r>
          <w:r>
            <w:rPr>
              <w:szCs w:val="22"/>
            </w:rPr>
            <w:fldChar w:fldCharType="end"/>
          </w:r>
        </w:p>
        <w:p w14:paraId="11DB5FF3">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"_Toc216" </w:instrText>
          </w:r>
          <w:r>
            <w:fldChar w:fldCharType="separate"/>
          </w:r>
          <w:r>
            <w:rPr>
              <w:rFonts w:hint="eastAsia"/>
              <w:kern w:val="2"/>
              <w:szCs w:val="32"/>
            </w:rPr>
            <w:t>13 投标有效期</w:t>
          </w:r>
          <w:r>
            <w:rPr>
              <w:szCs w:val="22"/>
            </w:rPr>
            <w:tab/>
          </w:r>
          <w:r>
            <w:rPr>
              <w:szCs w:val="22"/>
            </w:rPr>
            <w:fldChar w:fldCharType="begin"/>
          </w:r>
          <w:r>
            <w:rPr>
              <w:szCs w:val="22"/>
            </w:rPr>
            <w:instrText xml:space="preserve"> PAGEREF _Toc216 \h </w:instrText>
          </w:r>
          <w:r>
            <w:rPr>
              <w:szCs w:val="22"/>
            </w:rPr>
            <w:fldChar w:fldCharType="separate"/>
          </w:r>
          <w:r>
            <w:rPr>
              <w:szCs w:val="22"/>
            </w:rPr>
            <w:t>19</w:t>
          </w:r>
          <w:r>
            <w:rPr>
              <w:szCs w:val="22"/>
            </w:rPr>
            <w:fldChar w:fldCharType="end"/>
          </w:r>
          <w:r>
            <w:rPr>
              <w:szCs w:val="22"/>
            </w:rPr>
            <w:fldChar w:fldCharType="end"/>
          </w:r>
        </w:p>
        <w:p w14:paraId="27FCA5B3">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"_Toc19808" </w:instrText>
          </w:r>
          <w:r>
            <w:fldChar w:fldCharType="separate"/>
          </w:r>
          <w:r>
            <w:rPr>
              <w:rFonts w:hint="eastAsia"/>
              <w:kern w:val="2"/>
              <w:szCs w:val="32"/>
            </w:rPr>
            <w:t>14 开标</w:t>
          </w:r>
          <w:r>
            <w:rPr>
              <w:szCs w:val="22"/>
            </w:rPr>
            <w:tab/>
          </w:r>
          <w:r>
            <w:rPr>
              <w:szCs w:val="22"/>
            </w:rPr>
            <w:fldChar w:fldCharType="begin"/>
          </w:r>
          <w:r>
            <w:rPr>
              <w:szCs w:val="22"/>
            </w:rPr>
            <w:instrText xml:space="preserve"> PAGEREF _Toc19808 \h </w:instrText>
          </w:r>
          <w:r>
            <w:rPr>
              <w:szCs w:val="22"/>
            </w:rPr>
            <w:fldChar w:fldCharType="separate"/>
          </w:r>
          <w:r>
            <w:rPr>
              <w:szCs w:val="22"/>
            </w:rPr>
            <w:t>19</w:t>
          </w:r>
          <w:r>
            <w:rPr>
              <w:szCs w:val="22"/>
            </w:rPr>
            <w:fldChar w:fldCharType="end"/>
          </w:r>
          <w:r>
            <w:rPr>
              <w:szCs w:val="22"/>
            </w:rPr>
            <w:fldChar w:fldCharType="end"/>
          </w:r>
        </w:p>
        <w:p w14:paraId="226D9540">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"_Toc17603" </w:instrText>
          </w:r>
          <w:r>
            <w:fldChar w:fldCharType="separate"/>
          </w:r>
          <w:r>
            <w:rPr>
              <w:rFonts w:hint="eastAsia"/>
              <w:kern w:val="2"/>
              <w:szCs w:val="32"/>
            </w:rPr>
            <w:t>15 电子投标及评标时突发补救方案</w:t>
          </w:r>
          <w:r>
            <w:rPr>
              <w:szCs w:val="22"/>
            </w:rPr>
            <w:tab/>
          </w:r>
          <w:r>
            <w:rPr>
              <w:szCs w:val="22"/>
            </w:rPr>
            <w:fldChar w:fldCharType="begin"/>
          </w:r>
          <w:r>
            <w:rPr>
              <w:szCs w:val="22"/>
            </w:rPr>
            <w:instrText xml:space="preserve"> PAGEREF _Toc17603 \h </w:instrText>
          </w:r>
          <w:r>
            <w:rPr>
              <w:szCs w:val="22"/>
            </w:rPr>
            <w:fldChar w:fldCharType="separate"/>
          </w:r>
          <w:r>
            <w:rPr>
              <w:szCs w:val="22"/>
            </w:rPr>
            <w:t>20</w:t>
          </w:r>
          <w:r>
            <w:rPr>
              <w:szCs w:val="22"/>
            </w:rPr>
            <w:fldChar w:fldCharType="end"/>
          </w:r>
          <w:r>
            <w:rPr>
              <w:szCs w:val="22"/>
            </w:rPr>
            <w:fldChar w:fldCharType="end"/>
          </w:r>
        </w:p>
        <w:p w14:paraId="61038E31">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"_Toc31636" </w:instrText>
          </w:r>
          <w:r>
            <w:fldChar w:fldCharType="separate"/>
          </w:r>
          <w:r>
            <w:rPr>
              <w:rFonts w:hint="eastAsia"/>
              <w:kern w:val="2"/>
              <w:szCs w:val="32"/>
            </w:rPr>
            <w:t>16 评标</w:t>
          </w:r>
          <w:r>
            <w:rPr>
              <w:szCs w:val="22"/>
            </w:rPr>
            <w:tab/>
          </w:r>
          <w:r>
            <w:rPr>
              <w:szCs w:val="22"/>
            </w:rPr>
            <w:fldChar w:fldCharType="begin"/>
          </w:r>
          <w:r>
            <w:rPr>
              <w:szCs w:val="22"/>
            </w:rPr>
            <w:instrText xml:space="preserve"> PAGEREF _Toc31636 \h </w:instrText>
          </w:r>
          <w:r>
            <w:rPr>
              <w:szCs w:val="22"/>
            </w:rPr>
            <w:fldChar w:fldCharType="separate"/>
          </w:r>
          <w:r>
            <w:rPr>
              <w:szCs w:val="22"/>
            </w:rPr>
            <w:t>21</w:t>
          </w:r>
          <w:r>
            <w:rPr>
              <w:szCs w:val="22"/>
            </w:rPr>
            <w:fldChar w:fldCharType="end"/>
          </w:r>
          <w:r>
            <w:rPr>
              <w:szCs w:val="22"/>
            </w:rPr>
            <w:fldChar w:fldCharType="end"/>
          </w:r>
        </w:p>
        <w:p w14:paraId="6072D4C0">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pPr>
          <w:r>
            <w:fldChar w:fldCharType="begin"/>
          </w:r>
          <w:r>
            <w:instrText xml:space="preserve"> HYPERLINK \l "_Toc9312" </w:instrText>
          </w:r>
          <w:r>
            <w:fldChar w:fldCharType="separate"/>
          </w:r>
          <w:r>
            <w:rPr>
              <w:rFonts w:hint="eastAsia"/>
              <w:kern w:val="2"/>
              <w:szCs w:val="32"/>
            </w:rPr>
            <w:t>17 评标结果公示</w:t>
          </w:r>
          <w:r>
            <w:rPr>
              <w:szCs w:val="22"/>
            </w:rPr>
            <w:tab/>
          </w:r>
          <w:r>
            <w:rPr>
              <w:szCs w:val="22"/>
            </w:rPr>
            <w:fldChar w:fldCharType="end"/>
          </w:r>
          <w:r>
            <w:rPr>
              <w:rFonts w:hint="eastAsia"/>
              <w:szCs w:val="22"/>
            </w:rPr>
            <w:t>30</w:t>
          </w:r>
        </w:p>
        <w:p w14:paraId="3058B99F">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"_Toc17485" </w:instrText>
          </w:r>
          <w:r>
            <w:fldChar w:fldCharType="separate"/>
          </w:r>
          <w:r>
            <w:rPr>
              <w:rFonts w:hint="eastAsia"/>
              <w:bCs/>
              <w:snapToGrid w:val="0"/>
              <w:szCs w:val="32"/>
            </w:rPr>
            <w:t>第四节 否决投标条件</w:t>
          </w:r>
          <w:r>
            <w:rPr>
              <w:szCs w:val="22"/>
            </w:rPr>
            <w:tab/>
          </w:r>
          <w:r>
            <w:rPr>
              <w:szCs w:val="22"/>
            </w:rPr>
            <w:fldChar w:fldCharType="begin"/>
          </w:r>
          <w:r>
            <w:rPr>
              <w:szCs w:val="22"/>
            </w:rPr>
            <w:instrText xml:space="preserve"> PAGEREF _Toc17485 \h </w:instrText>
          </w:r>
          <w:r>
            <w:rPr>
              <w:szCs w:val="22"/>
            </w:rPr>
            <w:fldChar w:fldCharType="separate"/>
          </w:r>
          <w:r>
            <w:rPr>
              <w:szCs w:val="22"/>
            </w:rPr>
            <w:t>31</w:t>
          </w:r>
          <w:r>
            <w:rPr>
              <w:szCs w:val="22"/>
            </w:rPr>
            <w:fldChar w:fldCharType="end"/>
          </w:r>
          <w:r>
            <w:rPr>
              <w:szCs w:val="22"/>
            </w:rPr>
            <w:fldChar w:fldCharType="end"/>
          </w:r>
        </w:p>
        <w:p w14:paraId="56D5C381">
          <w:pPr>
            <w:pStyle w:val="1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960" w:leftChars="0" w:firstLine="0" w:firstLineChars="0"/>
            <w:textAlignment w:val="auto"/>
            <w:rPr>
              <w:szCs w:val="22"/>
            </w:rPr>
          </w:pPr>
          <w:r>
            <w:fldChar w:fldCharType="begin"/>
          </w:r>
          <w:r>
            <w:instrText xml:space="preserve"> HYPERLINK \l "_Toc8124" </w:instrText>
          </w:r>
          <w:r>
            <w:fldChar w:fldCharType="separate"/>
          </w:r>
          <w:r>
            <w:rPr>
              <w:rFonts w:hint="eastAsia"/>
              <w:bCs/>
              <w:snapToGrid w:val="0"/>
              <w:szCs w:val="32"/>
            </w:rPr>
            <w:t>1．资格评审环节</w:t>
          </w:r>
          <w:r>
            <w:rPr>
              <w:szCs w:val="22"/>
            </w:rPr>
            <w:tab/>
          </w:r>
          <w:r>
            <w:rPr>
              <w:szCs w:val="22"/>
            </w:rPr>
            <w:fldChar w:fldCharType="begin"/>
          </w:r>
          <w:r>
            <w:rPr>
              <w:szCs w:val="22"/>
            </w:rPr>
            <w:instrText xml:space="preserve"> PAGEREF _Toc8124 \h </w:instrText>
          </w:r>
          <w:r>
            <w:rPr>
              <w:szCs w:val="22"/>
            </w:rPr>
            <w:fldChar w:fldCharType="separate"/>
          </w:r>
          <w:r>
            <w:rPr>
              <w:szCs w:val="22"/>
            </w:rPr>
            <w:t>31</w:t>
          </w:r>
          <w:r>
            <w:rPr>
              <w:szCs w:val="22"/>
            </w:rPr>
            <w:fldChar w:fldCharType="end"/>
          </w:r>
          <w:r>
            <w:rPr>
              <w:szCs w:val="22"/>
            </w:rPr>
            <w:fldChar w:fldCharType="end"/>
          </w:r>
        </w:p>
        <w:p w14:paraId="61BA1549">
          <w:pPr>
            <w:pStyle w:val="1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960" w:leftChars="0" w:firstLine="0" w:firstLineChars="0"/>
            <w:textAlignment w:val="auto"/>
            <w:rPr>
              <w:szCs w:val="22"/>
            </w:rPr>
          </w:pPr>
          <w:r>
            <w:fldChar w:fldCharType="begin"/>
          </w:r>
          <w:r>
            <w:instrText xml:space="preserve"> HYPERLINK \l "_Toc19158" </w:instrText>
          </w:r>
          <w:r>
            <w:fldChar w:fldCharType="separate"/>
          </w:r>
          <w:r>
            <w:rPr>
              <w:rFonts w:hint="eastAsia"/>
              <w:bCs/>
              <w:snapToGrid w:val="0"/>
              <w:szCs w:val="32"/>
            </w:rPr>
            <w:t>2．形式评审环节</w:t>
          </w:r>
          <w:r>
            <w:rPr>
              <w:szCs w:val="22"/>
            </w:rPr>
            <w:tab/>
          </w:r>
          <w:r>
            <w:rPr>
              <w:szCs w:val="22"/>
            </w:rPr>
            <w:fldChar w:fldCharType="begin"/>
          </w:r>
          <w:r>
            <w:rPr>
              <w:szCs w:val="22"/>
            </w:rPr>
            <w:instrText xml:space="preserve"> PAGEREF _Toc19158 \h </w:instrText>
          </w:r>
          <w:r>
            <w:rPr>
              <w:szCs w:val="22"/>
            </w:rPr>
            <w:fldChar w:fldCharType="separate"/>
          </w:r>
          <w:r>
            <w:rPr>
              <w:szCs w:val="22"/>
            </w:rPr>
            <w:t>31</w:t>
          </w:r>
          <w:r>
            <w:rPr>
              <w:szCs w:val="22"/>
            </w:rPr>
            <w:fldChar w:fldCharType="end"/>
          </w:r>
          <w:r>
            <w:rPr>
              <w:szCs w:val="22"/>
            </w:rPr>
            <w:fldChar w:fldCharType="end"/>
          </w:r>
        </w:p>
        <w:p w14:paraId="3ACF812A">
          <w:pPr>
            <w:pStyle w:val="1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960" w:leftChars="0" w:firstLine="0" w:firstLineChars="0"/>
            <w:textAlignment w:val="auto"/>
            <w:rPr>
              <w:szCs w:val="22"/>
            </w:rPr>
          </w:pPr>
          <w:r>
            <w:fldChar w:fldCharType="begin"/>
          </w:r>
          <w:r>
            <w:instrText xml:space="preserve"> HYPERLINK \l "_Toc30661" </w:instrText>
          </w:r>
          <w:r>
            <w:fldChar w:fldCharType="separate"/>
          </w:r>
          <w:r>
            <w:rPr>
              <w:rFonts w:hint="eastAsia"/>
              <w:bCs/>
              <w:snapToGrid w:val="0"/>
              <w:szCs w:val="32"/>
            </w:rPr>
            <w:t>3．响应性评审环节</w:t>
          </w:r>
          <w:r>
            <w:rPr>
              <w:szCs w:val="22"/>
            </w:rPr>
            <w:tab/>
          </w:r>
          <w:r>
            <w:rPr>
              <w:szCs w:val="22"/>
            </w:rPr>
            <w:fldChar w:fldCharType="begin"/>
          </w:r>
          <w:r>
            <w:rPr>
              <w:szCs w:val="22"/>
            </w:rPr>
            <w:instrText xml:space="preserve"> PAGEREF _Toc30661 \h </w:instrText>
          </w:r>
          <w:r>
            <w:rPr>
              <w:szCs w:val="22"/>
            </w:rPr>
            <w:fldChar w:fldCharType="separate"/>
          </w:r>
          <w:r>
            <w:rPr>
              <w:szCs w:val="22"/>
            </w:rPr>
            <w:t>32</w:t>
          </w:r>
          <w:r>
            <w:rPr>
              <w:szCs w:val="22"/>
            </w:rPr>
            <w:fldChar w:fldCharType="end"/>
          </w:r>
          <w:r>
            <w:rPr>
              <w:szCs w:val="22"/>
            </w:rPr>
            <w:fldChar w:fldCharType="end"/>
          </w:r>
        </w:p>
        <w:p w14:paraId="459AF476">
          <w:pPr>
            <w:pStyle w:val="1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960" w:leftChars="0" w:firstLine="0" w:firstLineChars="0"/>
            <w:textAlignment w:val="auto"/>
            <w:rPr>
              <w:szCs w:val="22"/>
            </w:rPr>
          </w:pPr>
          <w:r>
            <w:fldChar w:fldCharType="begin"/>
          </w:r>
          <w:r>
            <w:instrText xml:space="preserve"> HYPERLINK \l "_Toc29431" </w:instrText>
          </w:r>
          <w:r>
            <w:fldChar w:fldCharType="separate"/>
          </w:r>
          <w:r>
            <w:rPr>
              <w:rFonts w:hint="eastAsia"/>
              <w:bCs/>
              <w:snapToGrid w:val="0"/>
              <w:szCs w:val="32"/>
            </w:rPr>
            <w:t>4．其他</w:t>
          </w:r>
          <w:r>
            <w:rPr>
              <w:szCs w:val="22"/>
            </w:rPr>
            <w:tab/>
          </w:r>
          <w:r>
            <w:rPr>
              <w:szCs w:val="22"/>
            </w:rPr>
            <w:fldChar w:fldCharType="begin"/>
          </w:r>
          <w:r>
            <w:rPr>
              <w:szCs w:val="22"/>
            </w:rPr>
            <w:instrText xml:space="preserve"> PAGEREF _Toc29431 \h </w:instrText>
          </w:r>
          <w:r>
            <w:rPr>
              <w:szCs w:val="22"/>
            </w:rPr>
            <w:fldChar w:fldCharType="separate"/>
          </w:r>
          <w:r>
            <w:rPr>
              <w:szCs w:val="22"/>
            </w:rPr>
            <w:t>32</w:t>
          </w:r>
          <w:r>
            <w:rPr>
              <w:szCs w:val="22"/>
            </w:rPr>
            <w:fldChar w:fldCharType="end"/>
          </w:r>
          <w:r>
            <w:rPr>
              <w:szCs w:val="22"/>
            </w:rPr>
            <w:fldChar w:fldCharType="end"/>
          </w:r>
        </w:p>
        <w:p w14:paraId="64A1224A">
          <w:pPr>
            <w:pStyle w:val="1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0" w:leftChars="0" w:firstLine="0" w:firstLineChars="0"/>
            <w:textAlignment w:val="auto"/>
            <w:rPr>
              <w:szCs w:val="22"/>
            </w:rPr>
          </w:pPr>
          <w:r>
            <w:fldChar w:fldCharType="begin"/>
          </w:r>
          <w:r>
            <w:instrText xml:space="preserve"> HYPERLINK \l "_Toc29431" </w:instrText>
          </w:r>
          <w:r>
            <w:fldChar w:fldCharType="separate"/>
          </w:r>
          <w:r>
            <w:rPr>
              <w:rFonts w:hint="eastAsia"/>
              <w:bCs/>
              <w:snapToGrid w:val="0"/>
              <w:szCs w:val="32"/>
            </w:rPr>
            <w:t>第五节．定标规定及细则</w:t>
          </w:r>
          <w:r>
            <w:rPr>
              <w:szCs w:val="22"/>
            </w:rPr>
            <w:tab/>
          </w:r>
          <w:r>
            <w:rPr>
              <w:szCs w:val="22"/>
            </w:rPr>
            <w:fldChar w:fldCharType="begin"/>
          </w:r>
          <w:r>
            <w:rPr>
              <w:szCs w:val="22"/>
            </w:rPr>
            <w:instrText xml:space="preserve"> PAGEREF _Toc29431 \h </w:instrText>
          </w:r>
          <w:r>
            <w:rPr>
              <w:szCs w:val="22"/>
            </w:rPr>
            <w:fldChar w:fldCharType="separate"/>
          </w:r>
          <w:r>
            <w:rPr>
              <w:szCs w:val="22"/>
            </w:rPr>
            <w:t>32</w:t>
          </w:r>
          <w:r>
            <w:rPr>
              <w:szCs w:val="22"/>
            </w:rPr>
            <w:fldChar w:fldCharType="end"/>
          </w:r>
          <w:r>
            <w:rPr>
              <w:szCs w:val="22"/>
            </w:rPr>
            <w:fldChar w:fldCharType="end"/>
          </w:r>
        </w:p>
        <w:p w14:paraId="14AD5F68">
          <w:pPr>
            <w:pStyle w:val="1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0" w:leftChars="0" w:firstLine="0" w:firstLineChars="0"/>
            <w:textAlignment w:val="auto"/>
          </w:pPr>
          <w:r>
            <w:fldChar w:fldCharType="begin"/>
          </w:r>
          <w:r>
            <w:instrText xml:space="preserve"> HYPERLINK \l "_Toc29431" </w:instrText>
          </w:r>
          <w:r>
            <w:fldChar w:fldCharType="separate"/>
          </w:r>
          <w:r>
            <w:rPr>
              <w:rFonts w:hint="eastAsia"/>
              <w:bCs/>
              <w:snapToGrid w:val="0"/>
              <w:szCs w:val="32"/>
            </w:rPr>
            <w:t>第六节．中标确认</w:t>
          </w:r>
          <w:r>
            <w:rPr>
              <w:szCs w:val="22"/>
            </w:rPr>
            <w:tab/>
          </w:r>
          <w:r>
            <w:rPr>
              <w:szCs w:val="22"/>
            </w:rPr>
            <w:fldChar w:fldCharType="begin"/>
          </w:r>
          <w:r>
            <w:rPr>
              <w:szCs w:val="22"/>
            </w:rPr>
            <w:instrText xml:space="preserve"> PAGEREF _Toc29431 \h </w:instrText>
          </w:r>
          <w:r>
            <w:rPr>
              <w:szCs w:val="22"/>
            </w:rPr>
            <w:fldChar w:fldCharType="separate"/>
          </w:r>
          <w:r>
            <w:rPr>
              <w:szCs w:val="22"/>
            </w:rPr>
            <w:t>32</w:t>
          </w:r>
          <w:r>
            <w:rPr>
              <w:szCs w:val="22"/>
            </w:rPr>
            <w:fldChar w:fldCharType="end"/>
          </w:r>
          <w:r>
            <w:rPr>
              <w:szCs w:val="22"/>
            </w:rPr>
            <w:fldChar w:fldCharType="end"/>
          </w:r>
        </w:p>
        <w:p w14:paraId="5A31C92F">
          <w:pPr>
            <w:pStyle w:val="22"/>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Chars="0" w:firstLine="0" w:firstLineChars="0"/>
            <w:textAlignment w:val="auto"/>
            <w:rPr>
              <w:szCs w:val="22"/>
            </w:rPr>
          </w:pPr>
          <w:r>
            <w:fldChar w:fldCharType="begin"/>
          </w:r>
          <w:r>
            <w:instrText xml:space="preserve"> HYPERLINK \l "_Toc5463" </w:instrText>
          </w:r>
          <w:r>
            <w:fldChar w:fldCharType="separate"/>
          </w:r>
          <w:r>
            <w:rPr>
              <w:rFonts w:hint="eastAsia"/>
              <w:bCs/>
              <w:szCs w:val="32"/>
            </w:rPr>
            <w:t>第二章 拟签订合同的主要条款</w:t>
          </w:r>
          <w:r>
            <w:rPr>
              <w:szCs w:val="22"/>
            </w:rPr>
            <w:tab/>
          </w:r>
          <w:r>
            <w:rPr>
              <w:szCs w:val="22"/>
            </w:rPr>
            <w:fldChar w:fldCharType="begin"/>
          </w:r>
          <w:r>
            <w:rPr>
              <w:szCs w:val="22"/>
            </w:rPr>
            <w:instrText xml:space="preserve"> PAGEREF _Toc5463 \h </w:instrText>
          </w:r>
          <w:r>
            <w:rPr>
              <w:szCs w:val="22"/>
            </w:rPr>
            <w:fldChar w:fldCharType="separate"/>
          </w:r>
          <w:r>
            <w:rPr>
              <w:szCs w:val="22"/>
            </w:rPr>
            <w:t>39</w:t>
          </w:r>
          <w:r>
            <w:rPr>
              <w:szCs w:val="22"/>
            </w:rPr>
            <w:fldChar w:fldCharType="end"/>
          </w:r>
          <w:r>
            <w:rPr>
              <w:szCs w:val="22"/>
            </w:rPr>
            <w:fldChar w:fldCharType="end"/>
          </w:r>
        </w:p>
        <w:p w14:paraId="42FFF6F3">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"_Toc25729" </w:instrText>
          </w:r>
          <w:r>
            <w:fldChar w:fldCharType="separate"/>
          </w:r>
          <w:r>
            <w:rPr>
              <w:rFonts w:hint="eastAsia"/>
              <w:kern w:val="2"/>
              <w:szCs w:val="32"/>
            </w:rPr>
            <w:t>1、承包方式</w:t>
          </w:r>
          <w:r>
            <w:rPr>
              <w:szCs w:val="22"/>
            </w:rPr>
            <w:tab/>
          </w:r>
          <w:r>
            <w:rPr>
              <w:szCs w:val="22"/>
            </w:rPr>
            <w:fldChar w:fldCharType="begin"/>
          </w:r>
          <w:r>
            <w:rPr>
              <w:szCs w:val="22"/>
            </w:rPr>
            <w:instrText xml:space="preserve"> PAGEREF _Toc25729 \h </w:instrText>
          </w:r>
          <w:r>
            <w:rPr>
              <w:szCs w:val="22"/>
            </w:rPr>
            <w:fldChar w:fldCharType="separate"/>
          </w:r>
          <w:r>
            <w:rPr>
              <w:szCs w:val="22"/>
            </w:rPr>
            <w:t>39</w:t>
          </w:r>
          <w:r>
            <w:rPr>
              <w:szCs w:val="22"/>
            </w:rPr>
            <w:fldChar w:fldCharType="end"/>
          </w:r>
          <w:r>
            <w:rPr>
              <w:szCs w:val="22"/>
            </w:rPr>
            <w:fldChar w:fldCharType="end"/>
          </w:r>
        </w:p>
        <w:p w14:paraId="70B1B12D">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"_Toc15760" </w:instrText>
          </w:r>
          <w:r>
            <w:fldChar w:fldCharType="separate"/>
          </w:r>
          <w:r>
            <w:rPr>
              <w:rFonts w:hint="eastAsia"/>
              <w:kern w:val="2"/>
              <w:szCs w:val="32"/>
            </w:rPr>
            <w:t>2、合同价款支付办法及结算原则</w:t>
          </w:r>
          <w:r>
            <w:rPr>
              <w:szCs w:val="22"/>
            </w:rPr>
            <w:tab/>
          </w:r>
          <w:r>
            <w:rPr>
              <w:szCs w:val="22"/>
            </w:rPr>
            <w:fldChar w:fldCharType="begin"/>
          </w:r>
          <w:r>
            <w:rPr>
              <w:szCs w:val="22"/>
            </w:rPr>
            <w:instrText xml:space="preserve"> PAGEREF _Toc15760 \h </w:instrText>
          </w:r>
          <w:r>
            <w:rPr>
              <w:szCs w:val="22"/>
            </w:rPr>
            <w:fldChar w:fldCharType="separate"/>
          </w:r>
          <w:r>
            <w:rPr>
              <w:szCs w:val="22"/>
            </w:rPr>
            <w:t>39</w:t>
          </w:r>
          <w:r>
            <w:rPr>
              <w:szCs w:val="22"/>
            </w:rPr>
            <w:fldChar w:fldCharType="end"/>
          </w:r>
          <w:r>
            <w:rPr>
              <w:szCs w:val="22"/>
            </w:rPr>
            <w:fldChar w:fldCharType="end"/>
          </w:r>
        </w:p>
        <w:p w14:paraId="6BE6F093">
          <w:pPr>
            <w:pStyle w:val="22"/>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Chars="0" w:firstLine="0" w:firstLineChars="0"/>
            <w:textAlignment w:val="auto"/>
            <w:rPr>
              <w:szCs w:val="22"/>
            </w:rPr>
          </w:pPr>
          <w:r>
            <w:fldChar w:fldCharType="begin"/>
          </w:r>
          <w:r>
            <w:instrText xml:space="preserve"> HYPERLINK \l "_Toc25196" </w:instrText>
          </w:r>
          <w:r>
            <w:fldChar w:fldCharType="separate"/>
          </w:r>
          <w:r>
            <w:rPr>
              <w:rFonts w:hint="eastAsia"/>
              <w:bCs/>
              <w:szCs w:val="32"/>
            </w:rPr>
            <w:t>第三章 中标人须知</w:t>
          </w:r>
          <w:r>
            <w:rPr>
              <w:szCs w:val="22"/>
            </w:rPr>
            <w:tab/>
          </w:r>
          <w:r>
            <w:rPr>
              <w:szCs w:val="22"/>
            </w:rPr>
            <w:fldChar w:fldCharType="begin"/>
          </w:r>
          <w:r>
            <w:rPr>
              <w:szCs w:val="22"/>
            </w:rPr>
            <w:instrText xml:space="preserve"> PAGEREF _Toc25196 \h </w:instrText>
          </w:r>
          <w:r>
            <w:rPr>
              <w:szCs w:val="22"/>
            </w:rPr>
            <w:fldChar w:fldCharType="separate"/>
          </w:r>
          <w:r>
            <w:rPr>
              <w:szCs w:val="22"/>
            </w:rPr>
            <w:t>41</w:t>
          </w:r>
          <w:r>
            <w:rPr>
              <w:szCs w:val="22"/>
            </w:rPr>
            <w:fldChar w:fldCharType="end"/>
          </w:r>
          <w:r>
            <w:rPr>
              <w:szCs w:val="22"/>
            </w:rPr>
            <w:fldChar w:fldCharType="end"/>
          </w:r>
        </w:p>
        <w:p w14:paraId="15A82088">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"_Toc6320" </w:instrText>
          </w:r>
          <w:r>
            <w:fldChar w:fldCharType="separate"/>
          </w:r>
          <w:r>
            <w:rPr>
              <w:rFonts w:hint="eastAsia"/>
              <w:snapToGrid w:val="0"/>
              <w:szCs w:val="32"/>
            </w:rPr>
            <w:t>1．中标通知书</w:t>
          </w:r>
          <w:r>
            <w:rPr>
              <w:szCs w:val="22"/>
            </w:rPr>
            <w:tab/>
          </w:r>
          <w:r>
            <w:rPr>
              <w:szCs w:val="22"/>
            </w:rPr>
            <w:fldChar w:fldCharType="begin"/>
          </w:r>
          <w:r>
            <w:rPr>
              <w:szCs w:val="22"/>
            </w:rPr>
            <w:instrText xml:space="preserve"> PAGEREF _Toc6320 \h </w:instrText>
          </w:r>
          <w:r>
            <w:rPr>
              <w:szCs w:val="22"/>
            </w:rPr>
            <w:fldChar w:fldCharType="separate"/>
          </w:r>
          <w:r>
            <w:rPr>
              <w:szCs w:val="22"/>
            </w:rPr>
            <w:t>41</w:t>
          </w:r>
          <w:r>
            <w:rPr>
              <w:szCs w:val="22"/>
            </w:rPr>
            <w:fldChar w:fldCharType="end"/>
          </w:r>
          <w:r>
            <w:rPr>
              <w:szCs w:val="22"/>
            </w:rPr>
            <w:fldChar w:fldCharType="end"/>
          </w:r>
        </w:p>
        <w:p w14:paraId="6DF4AEE3">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"_Toc10383" </w:instrText>
          </w:r>
          <w:r>
            <w:fldChar w:fldCharType="separate"/>
          </w:r>
          <w:r>
            <w:rPr>
              <w:rFonts w:hint="eastAsia"/>
              <w:bCs/>
              <w:snapToGrid w:val="0"/>
              <w:szCs w:val="32"/>
            </w:rPr>
            <w:t>2．中标结果公示</w:t>
          </w:r>
          <w:r>
            <w:rPr>
              <w:szCs w:val="22"/>
            </w:rPr>
            <w:tab/>
          </w:r>
          <w:r>
            <w:rPr>
              <w:szCs w:val="22"/>
            </w:rPr>
            <w:fldChar w:fldCharType="begin"/>
          </w:r>
          <w:r>
            <w:rPr>
              <w:szCs w:val="22"/>
            </w:rPr>
            <w:instrText xml:space="preserve"> PAGEREF _Toc10383 \h </w:instrText>
          </w:r>
          <w:r>
            <w:rPr>
              <w:szCs w:val="22"/>
            </w:rPr>
            <w:fldChar w:fldCharType="separate"/>
          </w:r>
          <w:r>
            <w:rPr>
              <w:szCs w:val="22"/>
            </w:rPr>
            <w:t>41</w:t>
          </w:r>
          <w:r>
            <w:rPr>
              <w:szCs w:val="22"/>
            </w:rPr>
            <w:fldChar w:fldCharType="end"/>
          </w:r>
          <w:r>
            <w:rPr>
              <w:szCs w:val="22"/>
            </w:rPr>
            <w:fldChar w:fldCharType="end"/>
          </w:r>
        </w:p>
        <w:p w14:paraId="5EE61E1E">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"_Toc15710" </w:instrText>
          </w:r>
          <w:r>
            <w:fldChar w:fldCharType="separate"/>
          </w:r>
          <w:r>
            <w:rPr>
              <w:rFonts w:hint="eastAsia"/>
              <w:bCs/>
              <w:snapToGrid w:val="0"/>
              <w:szCs w:val="32"/>
            </w:rPr>
            <w:t>3．履约保证</w:t>
          </w:r>
          <w:r>
            <w:rPr>
              <w:szCs w:val="22"/>
            </w:rPr>
            <w:tab/>
          </w:r>
          <w:r>
            <w:rPr>
              <w:szCs w:val="22"/>
            </w:rPr>
            <w:fldChar w:fldCharType="begin"/>
          </w:r>
          <w:r>
            <w:rPr>
              <w:szCs w:val="22"/>
            </w:rPr>
            <w:instrText xml:space="preserve"> PAGEREF _Toc15710 \h </w:instrText>
          </w:r>
          <w:r>
            <w:rPr>
              <w:szCs w:val="22"/>
            </w:rPr>
            <w:fldChar w:fldCharType="separate"/>
          </w:r>
          <w:r>
            <w:rPr>
              <w:szCs w:val="22"/>
            </w:rPr>
            <w:t>41</w:t>
          </w:r>
          <w:r>
            <w:rPr>
              <w:szCs w:val="22"/>
            </w:rPr>
            <w:fldChar w:fldCharType="end"/>
          </w:r>
          <w:r>
            <w:rPr>
              <w:szCs w:val="22"/>
            </w:rPr>
            <w:fldChar w:fldCharType="end"/>
          </w:r>
        </w:p>
        <w:p w14:paraId="3D1E5511">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"_Toc23646" </w:instrText>
          </w:r>
          <w:r>
            <w:fldChar w:fldCharType="separate"/>
          </w:r>
          <w:r>
            <w:rPr>
              <w:rFonts w:hint="eastAsia"/>
              <w:szCs w:val="32"/>
            </w:rPr>
            <w:t>4.</w:t>
          </w:r>
          <w:r>
            <w:rPr>
              <w:rFonts w:hint="eastAsia"/>
              <w:bCs/>
              <w:szCs w:val="32"/>
            </w:rPr>
            <w:t>合同订立</w:t>
          </w:r>
          <w:r>
            <w:rPr>
              <w:szCs w:val="22"/>
            </w:rPr>
            <w:tab/>
          </w:r>
          <w:r>
            <w:rPr>
              <w:szCs w:val="22"/>
            </w:rPr>
            <w:fldChar w:fldCharType="begin"/>
          </w:r>
          <w:r>
            <w:rPr>
              <w:szCs w:val="22"/>
            </w:rPr>
            <w:instrText xml:space="preserve"> PAGEREF _Toc23646 \h </w:instrText>
          </w:r>
          <w:r>
            <w:rPr>
              <w:szCs w:val="22"/>
            </w:rPr>
            <w:fldChar w:fldCharType="separate"/>
          </w:r>
          <w:r>
            <w:rPr>
              <w:szCs w:val="22"/>
            </w:rPr>
            <w:t>42</w:t>
          </w:r>
          <w:r>
            <w:rPr>
              <w:szCs w:val="22"/>
            </w:rPr>
            <w:fldChar w:fldCharType="end"/>
          </w:r>
          <w:r>
            <w:rPr>
              <w:szCs w:val="22"/>
            </w:rPr>
            <w:fldChar w:fldCharType="end"/>
          </w:r>
        </w:p>
        <w:p w14:paraId="4FB243CB">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"_Toc9985" </w:instrText>
          </w:r>
          <w:r>
            <w:fldChar w:fldCharType="separate"/>
          </w:r>
          <w:r>
            <w:rPr>
              <w:rFonts w:hint="eastAsia"/>
              <w:szCs w:val="32"/>
            </w:rPr>
            <w:t>5.放弃中标的处理</w:t>
          </w:r>
          <w:r>
            <w:rPr>
              <w:szCs w:val="22"/>
            </w:rPr>
            <w:tab/>
          </w:r>
          <w:r>
            <w:rPr>
              <w:szCs w:val="22"/>
            </w:rPr>
            <w:fldChar w:fldCharType="begin"/>
          </w:r>
          <w:r>
            <w:rPr>
              <w:szCs w:val="22"/>
            </w:rPr>
            <w:instrText xml:space="preserve"> PAGEREF _Toc9985 \h </w:instrText>
          </w:r>
          <w:r>
            <w:rPr>
              <w:szCs w:val="22"/>
            </w:rPr>
            <w:fldChar w:fldCharType="separate"/>
          </w:r>
          <w:r>
            <w:rPr>
              <w:szCs w:val="22"/>
            </w:rPr>
            <w:t>42</w:t>
          </w:r>
          <w:r>
            <w:rPr>
              <w:szCs w:val="22"/>
            </w:rPr>
            <w:fldChar w:fldCharType="end"/>
          </w:r>
          <w:r>
            <w:rPr>
              <w:szCs w:val="22"/>
            </w:rPr>
            <w:fldChar w:fldCharType="end"/>
          </w:r>
        </w:p>
        <w:p w14:paraId="04DF9BB1">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"_Toc20579" </w:instrText>
          </w:r>
          <w:r>
            <w:fldChar w:fldCharType="separate"/>
          </w:r>
          <w:r>
            <w:rPr>
              <w:rFonts w:hint="eastAsia"/>
              <w:snapToGrid w:val="0"/>
              <w:szCs w:val="32"/>
            </w:rPr>
            <w:t>6．项目管理机构</w:t>
          </w:r>
          <w:r>
            <w:rPr>
              <w:szCs w:val="22"/>
            </w:rPr>
            <w:tab/>
          </w:r>
          <w:r>
            <w:rPr>
              <w:szCs w:val="22"/>
            </w:rPr>
            <w:fldChar w:fldCharType="begin"/>
          </w:r>
          <w:r>
            <w:rPr>
              <w:szCs w:val="22"/>
            </w:rPr>
            <w:instrText xml:space="preserve"> PAGEREF _Toc20579 \h </w:instrText>
          </w:r>
          <w:r>
            <w:rPr>
              <w:szCs w:val="22"/>
            </w:rPr>
            <w:fldChar w:fldCharType="separate"/>
          </w:r>
          <w:r>
            <w:rPr>
              <w:szCs w:val="22"/>
            </w:rPr>
            <w:t>43</w:t>
          </w:r>
          <w:r>
            <w:rPr>
              <w:szCs w:val="22"/>
            </w:rPr>
            <w:fldChar w:fldCharType="end"/>
          </w:r>
          <w:r>
            <w:rPr>
              <w:szCs w:val="22"/>
            </w:rPr>
            <w:fldChar w:fldCharType="end"/>
          </w:r>
        </w:p>
        <w:p w14:paraId="116479B8">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"_Toc30672" </w:instrText>
          </w:r>
          <w:r>
            <w:fldChar w:fldCharType="separate"/>
          </w:r>
          <w:r>
            <w:rPr>
              <w:rFonts w:hint="eastAsia"/>
              <w:snapToGrid w:val="0"/>
              <w:szCs w:val="32"/>
            </w:rPr>
            <w:t>7．监督实施</w:t>
          </w:r>
          <w:r>
            <w:rPr>
              <w:szCs w:val="22"/>
            </w:rPr>
            <w:tab/>
          </w:r>
          <w:r>
            <w:rPr>
              <w:szCs w:val="22"/>
            </w:rPr>
            <w:fldChar w:fldCharType="begin"/>
          </w:r>
          <w:r>
            <w:rPr>
              <w:szCs w:val="22"/>
            </w:rPr>
            <w:instrText xml:space="preserve"> PAGEREF _Toc30672 \h </w:instrText>
          </w:r>
          <w:r>
            <w:rPr>
              <w:szCs w:val="22"/>
            </w:rPr>
            <w:fldChar w:fldCharType="separate"/>
          </w:r>
          <w:r>
            <w:rPr>
              <w:szCs w:val="22"/>
            </w:rPr>
            <w:t>43</w:t>
          </w:r>
          <w:r>
            <w:rPr>
              <w:szCs w:val="22"/>
            </w:rPr>
            <w:fldChar w:fldCharType="end"/>
          </w:r>
          <w:r>
            <w:rPr>
              <w:szCs w:val="22"/>
            </w:rPr>
            <w:fldChar w:fldCharType="end"/>
          </w:r>
        </w:p>
        <w:p w14:paraId="569E45F5">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"_Toc6268" </w:instrText>
          </w:r>
          <w:r>
            <w:fldChar w:fldCharType="separate"/>
          </w:r>
          <w:r>
            <w:rPr>
              <w:rFonts w:hint="eastAsia"/>
              <w:snapToGrid w:val="0"/>
              <w:szCs w:val="32"/>
            </w:rPr>
            <w:t>8 其他事项</w:t>
          </w:r>
          <w:r>
            <w:rPr>
              <w:szCs w:val="22"/>
            </w:rPr>
            <w:tab/>
          </w:r>
          <w:r>
            <w:rPr>
              <w:szCs w:val="22"/>
            </w:rPr>
            <w:fldChar w:fldCharType="begin"/>
          </w:r>
          <w:r>
            <w:rPr>
              <w:szCs w:val="22"/>
            </w:rPr>
            <w:instrText xml:space="preserve"> PAGEREF _Toc6268 \h </w:instrText>
          </w:r>
          <w:r>
            <w:rPr>
              <w:szCs w:val="22"/>
            </w:rPr>
            <w:fldChar w:fldCharType="separate"/>
          </w:r>
          <w:r>
            <w:rPr>
              <w:szCs w:val="22"/>
            </w:rPr>
            <w:t>43</w:t>
          </w:r>
          <w:r>
            <w:rPr>
              <w:szCs w:val="22"/>
            </w:rPr>
            <w:fldChar w:fldCharType="end"/>
          </w:r>
          <w:r>
            <w:rPr>
              <w:szCs w:val="22"/>
            </w:rPr>
            <w:fldChar w:fldCharType="end"/>
          </w:r>
        </w:p>
        <w:p w14:paraId="10EEB81A">
          <w:pPr>
            <w:pStyle w:val="22"/>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Chars="0" w:firstLine="0" w:firstLineChars="0"/>
            <w:textAlignment w:val="auto"/>
            <w:rPr>
              <w:szCs w:val="22"/>
            </w:rPr>
          </w:pPr>
          <w:r>
            <w:fldChar w:fldCharType="begin"/>
          </w:r>
          <w:r>
            <w:instrText xml:space="preserve"> HYPERLINK \l "_Toc22644" </w:instrText>
          </w:r>
          <w:r>
            <w:fldChar w:fldCharType="separate"/>
          </w:r>
          <w:r>
            <w:rPr>
              <w:rFonts w:hint="eastAsia"/>
              <w:kern w:val="44"/>
              <w:szCs w:val="32"/>
            </w:rPr>
            <w:t>第四章 招标项目的设计要求</w:t>
          </w:r>
          <w:r>
            <w:rPr>
              <w:szCs w:val="22"/>
            </w:rPr>
            <w:tab/>
          </w:r>
          <w:r>
            <w:rPr>
              <w:szCs w:val="22"/>
            </w:rPr>
            <w:fldChar w:fldCharType="begin"/>
          </w:r>
          <w:r>
            <w:rPr>
              <w:szCs w:val="22"/>
            </w:rPr>
            <w:instrText xml:space="preserve"> PAGEREF _Toc22644 \h </w:instrText>
          </w:r>
          <w:r>
            <w:rPr>
              <w:szCs w:val="22"/>
            </w:rPr>
            <w:fldChar w:fldCharType="separate"/>
          </w:r>
          <w:r>
            <w:rPr>
              <w:szCs w:val="22"/>
            </w:rPr>
            <w:t>47</w:t>
          </w:r>
          <w:r>
            <w:rPr>
              <w:szCs w:val="22"/>
            </w:rPr>
            <w:fldChar w:fldCharType="end"/>
          </w:r>
          <w:r>
            <w:rPr>
              <w:szCs w:val="22"/>
            </w:rPr>
            <w:fldChar w:fldCharType="end"/>
          </w:r>
        </w:p>
        <w:p w14:paraId="311966BB">
          <w:pPr>
            <w:pStyle w:val="22"/>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Chars="0" w:firstLine="0" w:firstLineChars="0"/>
            <w:textAlignment w:val="auto"/>
            <w:rPr>
              <w:szCs w:val="22"/>
            </w:rPr>
          </w:pPr>
          <w:r>
            <w:fldChar w:fldCharType="begin"/>
          </w:r>
          <w:r>
            <w:instrText xml:space="preserve"> HYPERLINK \l "_Toc13761" </w:instrText>
          </w:r>
          <w:r>
            <w:fldChar w:fldCharType="separate"/>
          </w:r>
          <w:r>
            <w:rPr>
              <w:rFonts w:hint="eastAsia"/>
              <w:kern w:val="44"/>
              <w:szCs w:val="32"/>
            </w:rPr>
            <w:t>第五章 投标文件格式</w:t>
          </w:r>
          <w:r>
            <w:rPr>
              <w:szCs w:val="22"/>
            </w:rPr>
            <w:tab/>
          </w:r>
          <w:r>
            <w:rPr>
              <w:szCs w:val="22"/>
            </w:rPr>
            <w:fldChar w:fldCharType="begin"/>
          </w:r>
          <w:r>
            <w:rPr>
              <w:szCs w:val="22"/>
            </w:rPr>
            <w:instrText xml:space="preserve"> PAGEREF _Toc13761 \h </w:instrText>
          </w:r>
          <w:r>
            <w:rPr>
              <w:szCs w:val="22"/>
            </w:rPr>
            <w:fldChar w:fldCharType="separate"/>
          </w:r>
          <w:r>
            <w:rPr>
              <w:szCs w:val="22"/>
            </w:rPr>
            <w:t>49</w:t>
          </w:r>
          <w:r>
            <w:rPr>
              <w:szCs w:val="22"/>
            </w:rPr>
            <w:fldChar w:fldCharType="end"/>
          </w:r>
          <w:r>
            <w:rPr>
              <w:szCs w:val="22"/>
            </w:rPr>
            <w:fldChar w:fldCharType="end"/>
          </w:r>
        </w:p>
        <w:p w14:paraId="3686F0FF">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"_Toc11660" </w:instrText>
          </w:r>
          <w:r>
            <w:fldChar w:fldCharType="separate"/>
          </w:r>
          <w:r>
            <w:rPr>
              <w:rFonts w:hint="eastAsia"/>
              <w:bCs/>
              <w:szCs w:val="32"/>
            </w:rPr>
            <w:t>格式一 封面</w:t>
          </w:r>
          <w:r>
            <w:rPr>
              <w:szCs w:val="22"/>
            </w:rPr>
            <w:tab/>
          </w:r>
          <w:r>
            <w:rPr>
              <w:szCs w:val="22"/>
            </w:rPr>
            <w:fldChar w:fldCharType="begin"/>
          </w:r>
          <w:r>
            <w:rPr>
              <w:szCs w:val="22"/>
            </w:rPr>
            <w:instrText xml:space="preserve"> PAGEREF _Toc11660 \h </w:instrText>
          </w:r>
          <w:r>
            <w:rPr>
              <w:szCs w:val="22"/>
            </w:rPr>
            <w:fldChar w:fldCharType="separate"/>
          </w:r>
          <w:r>
            <w:rPr>
              <w:szCs w:val="22"/>
            </w:rPr>
            <w:t>49</w:t>
          </w:r>
          <w:r>
            <w:rPr>
              <w:szCs w:val="22"/>
            </w:rPr>
            <w:fldChar w:fldCharType="end"/>
          </w:r>
          <w:r>
            <w:rPr>
              <w:szCs w:val="22"/>
            </w:rPr>
            <w:fldChar w:fldCharType="end"/>
          </w:r>
        </w:p>
        <w:p w14:paraId="71D8310A">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"_Toc19655" </w:instrText>
          </w:r>
          <w:r>
            <w:fldChar w:fldCharType="separate"/>
          </w:r>
          <w:r>
            <w:rPr>
              <w:rFonts w:hint="eastAsia"/>
              <w:bCs/>
              <w:szCs w:val="32"/>
            </w:rPr>
            <w:t>格式二 投标函</w:t>
          </w:r>
          <w:r>
            <w:rPr>
              <w:szCs w:val="22"/>
            </w:rPr>
            <w:tab/>
          </w:r>
          <w:r>
            <w:rPr>
              <w:szCs w:val="22"/>
            </w:rPr>
            <w:fldChar w:fldCharType="begin"/>
          </w:r>
          <w:r>
            <w:rPr>
              <w:szCs w:val="22"/>
            </w:rPr>
            <w:instrText xml:space="preserve"> PAGEREF _Toc19655 \h </w:instrText>
          </w:r>
          <w:r>
            <w:rPr>
              <w:szCs w:val="22"/>
            </w:rPr>
            <w:fldChar w:fldCharType="separate"/>
          </w:r>
          <w:r>
            <w:rPr>
              <w:szCs w:val="22"/>
            </w:rPr>
            <w:t>50</w:t>
          </w:r>
          <w:r>
            <w:rPr>
              <w:szCs w:val="22"/>
            </w:rPr>
            <w:fldChar w:fldCharType="end"/>
          </w:r>
          <w:r>
            <w:rPr>
              <w:szCs w:val="22"/>
            </w:rPr>
            <w:fldChar w:fldCharType="end"/>
          </w:r>
        </w:p>
        <w:p w14:paraId="0DDE34A3">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"_Toc31284" </w:instrText>
          </w:r>
          <w:r>
            <w:fldChar w:fldCharType="separate"/>
          </w:r>
          <w:r>
            <w:rPr>
              <w:rFonts w:hint="eastAsia"/>
              <w:bCs/>
              <w:szCs w:val="22"/>
            </w:rPr>
            <w:t>格式三 工程项目报价表</w:t>
          </w:r>
          <w:r>
            <w:rPr>
              <w:szCs w:val="22"/>
            </w:rPr>
            <w:tab/>
          </w:r>
          <w:r>
            <w:rPr>
              <w:szCs w:val="22"/>
            </w:rPr>
            <w:fldChar w:fldCharType="begin"/>
          </w:r>
          <w:r>
            <w:rPr>
              <w:szCs w:val="22"/>
            </w:rPr>
            <w:instrText xml:space="preserve"> PAGEREF _Toc31284 \h </w:instrText>
          </w:r>
          <w:r>
            <w:rPr>
              <w:szCs w:val="22"/>
            </w:rPr>
            <w:fldChar w:fldCharType="separate"/>
          </w:r>
          <w:r>
            <w:rPr>
              <w:szCs w:val="22"/>
            </w:rPr>
            <w:t>51</w:t>
          </w:r>
          <w:r>
            <w:rPr>
              <w:szCs w:val="22"/>
            </w:rPr>
            <w:fldChar w:fldCharType="end"/>
          </w:r>
          <w:r>
            <w:rPr>
              <w:szCs w:val="22"/>
            </w:rPr>
            <w:fldChar w:fldCharType="end"/>
          </w:r>
        </w:p>
        <w:p w14:paraId="20960930">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"_Toc13247" </w:instrText>
          </w:r>
          <w:r>
            <w:fldChar w:fldCharType="separate"/>
          </w:r>
          <w:r>
            <w:rPr>
              <w:rFonts w:hint="eastAsia"/>
              <w:bCs/>
              <w:szCs w:val="32"/>
            </w:rPr>
            <w:t>格式四 各项承诺一览表</w:t>
          </w:r>
          <w:r>
            <w:rPr>
              <w:szCs w:val="22"/>
            </w:rPr>
            <w:tab/>
          </w:r>
          <w:r>
            <w:rPr>
              <w:szCs w:val="22"/>
            </w:rPr>
            <w:fldChar w:fldCharType="begin"/>
          </w:r>
          <w:r>
            <w:rPr>
              <w:szCs w:val="22"/>
            </w:rPr>
            <w:instrText xml:space="preserve"> PAGEREF _Toc13247 \h </w:instrText>
          </w:r>
          <w:r>
            <w:rPr>
              <w:szCs w:val="22"/>
            </w:rPr>
            <w:fldChar w:fldCharType="separate"/>
          </w:r>
          <w:r>
            <w:rPr>
              <w:szCs w:val="22"/>
            </w:rPr>
            <w:t>52</w:t>
          </w:r>
          <w:r>
            <w:rPr>
              <w:szCs w:val="22"/>
            </w:rPr>
            <w:fldChar w:fldCharType="end"/>
          </w:r>
          <w:r>
            <w:rPr>
              <w:szCs w:val="22"/>
            </w:rPr>
            <w:fldChar w:fldCharType="end"/>
          </w:r>
        </w:p>
        <w:p w14:paraId="36EB4437">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"_Toc22549" </w:instrText>
          </w:r>
          <w:r>
            <w:fldChar w:fldCharType="separate"/>
          </w:r>
          <w:r>
            <w:rPr>
              <w:rFonts w:hint="eastAsia"/>
              <w:bCs/>
              <w:szCs w:val="32"/>
            </w:rPr>
            <w:t>格式五 投标人基本情况表</w:t>
          </w:r>
          <w:r>
            <w:rPr>
              <w:szCs w:val="22"/>
            </w:rPr>
            <w:tab/>
          </w:r>
          <w:r>
            <w:rPr>
              <w:szCs w:val="22"/>
            </w:rPr>
            <w:fldChar w:fldCharType="begin"/>
          </w:r>
          <w:r>
            <w:rPr>
              <w:szCs w:val="22"/>
            </w:rPr>
            <w:instrText xml:space="preserve"> PAGEREF _Toc22549 \h </w:instrText>
          </w:r>
          <w:r>
            <w:rPr>
              <w:szCs w:val="22"/>
            </w:rPr>
            <w:fldChar w:fldCharType="separate"/>
          </w:r>
          <w:r>
            <w:rPr>
              <w:szCs w:val="22"/>
            </w:rPr>
            <w:t>55</w:t>
          </w:r>
          <w:r>
            <w:rPr>
              <w:szCs w:val="22"/>
            </w:rPr>
            <w:fldChar w:fldCharType="end"/>
          </w:r>
          <w:r>
            <w:rPr>
              <w:szCs w:val="22"/>
            </w:rPr>
            <w:fldChar w:fldCharType="end"/>
          </w:r>
        </w:p>
        <w:p w14:paraId="7AA4BA48">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"_Toc29917" </w:instrText>
          </w:r>
          <w:r>
            <w:fldChar w:fldCharType="separate"/>
          </w:r>
          <w:r>
            <w:rPr>
              <w:rFonts w:hint="eastAsia"/>
              <w:bCs/>
              <w:szCs w:val="32"/>
            </w:rPr>
            <w:t>格式六 设计负责人简历表</w:t>
          </w:r>
          <w:r>
            <w:rPr>
              <w:szCs w:val="22"/>
            </w:rPr>
            <w:tab/>
          </w:r>
          <w:r>
            <w:rPr>
              <w:szCs w:val="22"/>
            </w:rPr>
            <w:fldChar w:fldCharType="begin"/>
          </w:r>
          <w:r>
            <w:rPr>
              <w:szCs w:val="22"/>
            </w:rPr>
            <w:instrText xml:space="preserve"> PAGEREF _Toc29917 \h </w:instrText>
          </w:r>
          <w:r>
            <w:rPr>
              <w:szCs w:val="22"/>
            </w:rPr>
            <w:fldChar w:fldCharType="separate"/>
          </w:r>
          <w:r>
            <w:rPr>
              <w:szCs w:val="22"/>
            </w:rPr>
            <w:t>56</w:t>
          </w:r>
          <w:r>
            <w:rPr>
              <w:szCs w:val="22"/>
            </w:rPr>
            <w:fldChar w:fldCharType="end"/>
          </w:r>
          <w:r>
            <w:rPr>
              <w:szCs w:val="22"/>
            </w:rPr>
            <w:fldChar w:fldCharType="end"/>
          </w:r>
        </w:p>
        <w:p w14:paraId="1C8B673A">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"_Toc19225" </w:instrText>
          </w:r>
          <w:r>
            <w:fldChar w:fldCharType="separate"/>
          </w:r>
          <w:r>
            <w:rPr>
              <w:rFonts w:hint="eastAsia"/>
              <w:bCs/>
              <w:szCs w:val="32"/>
            </w:rPr>
            <w:t>格式七 本项目拟投入的人员基本情况表</w:t>
          </w:r>
          <w:r>
            <w:rPr>
              <w:szCs w:val="22"/>
            </w:rPr>
            <w:tab/>
          </w:r>
          <w:r>
            <w:rPr>
              <w:szCs w:val="22"/>
            </w:rPr>
            <w:fldChar w:fldCharType="begin"/>
          </w:r>
          <w:r>
            <w:rPr>
              <w:szCs w:val="22"/>
            </w:rPr>
            <w:instrText xml:space="preserve"> PAGEREF _Toc19225 \h </w:instrText>
          </w:r>
          <w:r>
            <w:rPr>
              <w:szCs w:val="22"/>
            </w:rPr>
            <w:fldChar w:fldCharType="separate"/>
          </w:r>
          <w:r>
            <w:rPr>
              <w:szCs w:val="22"/>
            </w:rPr>
            <w:t>57</w:t>
          </w:r>
          <w:r>
            <w:rPr>
              <w:szCs w:val="22"/>
            </w:rPr>
            <w:fldChar w:fldCharType="end"/>
          </w:r>
          <w:r>
            <w:rPr>
              <w:szCs w:val="22"/>
            </w:rPr>
            <w:fldChar w:fldCharType="end"/>
          </w:r>
        </w:p>
        <w:p w14:paraId="2B03D458">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"_Toc9436" </w:instrText>
          </w:r>
          <w:r>
            <w:fldChar w:fldCharType="separate"/>
          </w:r>
          <w:r>
            <w:rPr>
              <w:rFonts w:hint="eastAsia"/>
              <w:bCs/>
              <w:szCs w:val="32"/>
            </w:rPr>
            <w:t>格式八 法定代表人身份证明</w:t>
          </w:r>
          <w:r>
            <w:rPr>
              <w:szCs w:val="22"/>
            </w:rPr>
            <w:tab/>
          </w:r>
          <w:r>
            <w:rPr>
              <w:szCs w:val="22"/>
            </w:rPr>
            <w:fldChar w:fldCharType="begin"/>
          </w:r>
          <w:r>
            <w:rPr>
              <w:szCs w:val="22"/>
            </w:rPr>
            <w:instrText xml:space="preserve"> PAGEREF _Toc9436 \h </w:instrText>
          </w:r>
          <w:r>
            <w:rPr>
              <w:szCs w:val="22"/>
            </w:rPr>
            <w:fldChar w:fldCharType="separate"/>
          </w:r>
          <w:r>
            <w:rPr>
              <w:szCs w:val="22"/>
            </w:rPr>
            <w:t>58</w:t>
          </w:r>
          <w:r>
            <w:rPr>
              <w:szCs w:val="22"/>
            </w:rPr>
            <w:fldChar w:fldCharType="end"/>
          </w:r>
          <w:r>
            <w:rPr>
              <w:szCs w:val="22"/>
            </w:rPr>
            <w:fldChar w:fldCharType="end"/>
          </w:r>
        </w:p>
        <w:p w14:paraId="4CF5F741">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"_Toc7068" </w:instrText>
          </w:r>
          <w:r>
            <w:fldChar w:fldCharType="separate"/>
          </w:r>
          <w:r>
            <w:rPr>
              <w:rFonts w:hint="eastAsia"/>
              <w:bCs/>
              <w:szCs w:val="32"/>
            </w:rPr>
            <w:t xml:space="preserve">格式九 </w:t>
          </w:r>
          <w:r>
            <w:rPr>
              <w:rFonts w:hint="eastAsia"/>
              <w:szCs w:val="32"/>
            </w:rPr>
            <w:t>法定代表人授权委托书</w:t>
          </w:r>
          <w:r>
            <w:rPr>
              <w:szCs w:val="22"/>
            </w:rPr>
            <w:tab/>
          </w:r>
          <w:r>
            <w:rPr>
              <w:szCs w:val="22"/>
            </w:rPr>
            <w:fldChar w:fldCharType="begin"/>
          </w:r>
          <w:r>
            <w:rPr>
              <w:szCs w:val="22"/>
            </w:rPr>
            <w:instrText xml:space="preserve"> PAGEREF _Toc7068 \h </w:instrText>
          </w:r>
          <w:r>
            <w:rPr>
              <w:szCs w:val="22"/>
            </w:rPr>
            <w:fldChar w:fldCharType="separate"/>
          </w:r>
          <w:r>
            <w:rPr>
              <w:szCs w:val="22"/>
            </w:rPr>
            <w:t>59</w:t>
          </w:r>
          <w:r>
            <w:rPr>
              <w:szCs w:val="22"/>
            </w:rPr>
            <w:fldChar w:fldCharType="end"/>
          </w:r>
          <w:r>
            <w:rPr>
              <w:szCs w:val="22"/>
            </w:rPr>
            <w:fldChar w:fldCharType="end"/>
          </w:r>
        </w:p>
        <w:p w14:paraId="131B56CD">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"_Toc7068" </w:instrText>
          </w:r>
          <w:r>
            <w:fldChar w:fldCharType="separate"/>
          </w:r>
          <w:r>
            <w:rPr>
              <w:rFonts w:hint="eastAsia"/>
              <w:bCs/>
              <w:szCs w:val="32"/>
            </w:rPr>
            <w:t xml:space="preserve">格式十 </w:t>
          </w:r>
          <w:r>
            <w:rPr>
              <w:rFonts w:hint="eastAsia"/>
              <w:snapToGrid w:val="0"/>
              <w:szCs w:val="32"/>
            </w:rPr>
            <w:t>联合体协议书</w:t>
          </w:r>
          <w:r>
            <w:rPr>
              <w:szCs w:val="22"/>
            </w:rPr>
            <w:tab/>
          </w:r>
          <w:r>
            <w:rPr>
              <w:szCs w:val="22"/>
            </w:rPr>
            <w:fldChar w:fldCharType="begin"/>
          </w:r>
          <w:r>
            <w:rPr>
              <w:szCs w:val="22"/>
            </w:rPr>
            <w:instrText xml:space="preserve"> PAGEREF _Toc7068 \h </w:instrText>
          </w:r>
          <w:r>
            <w:rPr>
              <w:szCs w:val="22"/>
            </w:rPr>
            <w:fldChar w:fldCharType="separate"/>
          </w:r>
          <w:r>
            <w:rPr>
              <w:szCs w:val="22"/>
            </w:rPr>
            <w:t>59</w:t>
          </w:r>
          <w:r>
            <w:rPr>
              <w:szCs w:val="22"/>
            </w:rPr>
            <w:fldChar w:fldCharType="end"/>
          </w:r>
          <w:r>
            <w:rPr>
              <w:szCs w:val="22"/>
            </w:rPr>
            <w:fldChar w:fldCharType="end"/>
          </w:r>
        </w:p>
        <w:p w14:paraId="1ADDB650">
          <w:pPr>
            <w:pStyle w:val="24"/>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480" w:leftChars="0" w:firstLine="0" w:firstLineChars="0"/>
            <w:textAlignment w:val="auto"/>
            <w:rPr>
              <w:szCs w:val="22"/>
            </w:rPr>
          </w:pPr>
          <w:r>
            <w:fldChar w:fldCharType="begin"/>
          </w:r>
          <w:r>
            <w:instrText xml:space="preserve"> HYPERLINK \l "_Toc7922" </w:instrText>
          </w:r>
          <w:r>
            <w:fldChar w:fldCharType="separate"/>
          </w:r>
          <w:r>
            <w:rPr>
              <w:rFonts w:hint="eastAsia"/>
              <w:bCs/>
              <w:szCs w:val="32"/>
            </w:rPr>
            <w:t>格式十一 定标因素评审资料</w:t>
          </w:r>
          <w:r>
            <w:rPr>
              <w:szCs w:val="22"/>
            </w:rPr>
            <w:tab/>
          </w:r>
          <w:r>
            <w:rPr>
              <w:szCs w:val="22"/>
            </w:rPr>
            <w:fldChar w:fldCharType="begin"/>
          </w:r>
          <w:r>
            <w:rPr>
              <w:szCs w:val="22"/>
            </w:rPr>
            <w:instrText xml:space="preserve"> PAGEREF _Toc7922 \h </w:instrText>
          </w:r>
          <w:r>
            <w:rPr>
              <w:szCs w:val="22"/>
            </w:rPr>
            <w:fldChar w:fldCharType="separate"/>
          </w:r>
          <w:r>
            <w:rPr>
              <w:szCs w:val="22"/>
            </w:rPr>
            <w:t>60</w:t>
          </w:r>
          <w:r>
            <w:rPr>
              <w:szCs w:val="22"/>
            </w:rPr>
            <w:fldChar w:fldCharType="end"/>
          </w:r>
          <w:r>
            <w:rPr>
              <w:szCs w:val="22"/>
            </w:rPr>
            <w:fldChar w:fldCharType="end"/>
          </w:r>
        </w:p>
        <w:p w14:paraId="46A7EB9C">
          <w:pPr>
            <w:pStyle w:val="22"/>
            <w:keepNext w:val="0"/>
            <w:keepLines w:val="0"/>
            <w:pageBreakBefore w:val="0"/>
            <w:widowControl/>
            <w:tabs>
              <w:tab w:val="right" w:leader="dot" w:pos="8306"/>
            </w:tabs>
            <w:kinsoku/>
            <w:wordWrap/>
            <w:overflowPunct/>
            <w:topLinePunct w:val="0"/>
            <w:autoSpaceDE/>
            <w:autoSpaceDN/>
            <w:bidi w:val="0"/>
            <w:adjustRightInd/>
            <w:snapToGrid/>
            <w:spacing w:line="460" w:lineRule="exact"/>
            <w:ind w:leftChars="0" w:firstLine="0" w:firstLineChars="0"/>
            <w:textAlignment w:val="auto"/>
          </w:pPr>
          <w:r>
            <w:fldChar w:fldCharType="begin"/>
          </w:r>
          <w:r>
            <w:instrText xml:space="preserve"> HYPERLINK \l "_Toc17186" </w:instrText>
          </w:r>
          <w:r>
            <w:fldChar w:fldCharType="separate"/>
          </w:r>
          <w:r>
            <w:rPr>
              <w:rFonts w:hint="eastAsia"/>
              <w:kern w:val="44"/>
              <w:szCs w:val="32"/>
            </w:rPr>
            <w:t>第六章 设计任务书</w:t>
          </w:r>
          <w:r>
            <w:rPr>
              <w:szCs w:val="22"/>
            </w:rPr>
            <w:tab/>
          </w:r>
          <w:r>
            <w:rPr>
              <w:szCs w:val="22"/>
            </w:rPr>
            <w:fldChar w:fldCharType="begin"/>
          </w:r>
          <w:r>
            <w:rPr>
              <w:szCs w:val="22"/>
            </w:rPr>
            <w:instrText xml:space="preserve"> PAGEREF _Toc17186 \h </w:instrText>
          </w:r>
          <w:r>
            <w:rPr>
              <w:szCs w:val="22"/>
            </w:rPr>
            <w:fldChar w:fldCharType="separate"/>
          </w:r>
          <w:r>
            <w:rPr>
              <w:szCs w:val="22"/>
            </w:rPr>
            <w:t>62</w:t>
          </w:r>
          <w:r>
            <w:rPr>
              <w:szCs w:val="22"/>
            </w:rPr>
            <w:fldChar w:fldCharType="end"/>
          </w:r>
          <w:r>
            <w:rPr>
              <w:szCs w:val="22"/>
            </w:rPr>
            <w:fldChar w:fldCharType="end"/>
          </w:r>
        </w:p>
        <w:p w14:paraId="20C016CE">
          <w:pPr>
            <w:pStyle w:val="22"/>
            <w:keepNext w:val="0"/>
            <w:keepLines w:val="0"/>
            <w:pageBreakBefore w:val="0"/>
            <w:widowControl/>
            <w:tabs>
              <w:tab w:val="right" w:leader="dot" w:pos="8306"/>
            </w:tabs>
            <w:kinsoku/>
            <w:wordWrap/>
            <w:overflowPunct/>
            <w:topLinePunct w:val="0"/>
            <w:autoSpaceDE/>
            <w:autoSpaceDN/>
            <w:bidi w:val="0"/>
            <w:adjustRightInd/>
            <w:snapToGrid/>
            <w:spacing w:line="240" w:lineRule="auto"/>
            <w:ind w:leftChars="0" w:firstLine="0" w:firstLineChars="0"/>
            <w:jc w:val="center"/>
            <w:textAlignment w:val="auto"/>
            <w:outlineLvl w:val="2"/>
            <w:rPr>
              <w:rFonts w:hAnsi="宋体" w:cs="宋体"/>
              <w:b/>
              <w:kern w:val="44"/>
              <w:sz w:val="32"/>
              <w:szCs w:val="22"/>
            </w:rPr>
            <w:sectPr>
              <w:headerReference r:id="rId8" w:type="default"/>
              <w:footerReference r:id="rId9" w:type="default"/>
              <w:endnotePr>
                <w:numFmt w:val="decimal"/>
              </w:endnotePr>
              <w:pgSz w:w="11906" w:h="16838"/>
              <w:pgMar w:top="1384" w:right="1115" w:bottom="1276" w:left="1551" w:header="1418" w:footer="992" w:gutter="0"/>
              <w:pgNumType w:start="1"/>
              <w:cols w:space="720" w:num="1"/>
              <w:docGrid w:linePitch="327" w:charSpace="0"/>
            </w:sectPr>
          </w:pPr>
          <w:r>
            <w:fldChar w:fldCharType="end"/>
          </w:r>
          <w:bookmarkStart w:id="0" w:name="_Toc32584"/>
          <w:bookmarkStart w:id="1" w:name="_Toc183"/>
          <w:bookmarkStart w:id="2" w:name="_Toc10060"/>
          <w:bookmarkStart w:id="3" w:name="_Toc4177"/>
          <w:bookmarkStart w:id="4" w:name="_Hlt111690251"/>
        </w:p>
      </w:sdtContent>
    </w:sdt>
    <w:p w14:paraId="0437A2F9">
      <w:pPr>
        <w:pStyle w:val="175"/>
        <w:keepNext/>
        <w:keepLines/>
        <w:numPr>
          <w:ilvl w:val="0"/>
          <w:numId w:val="1"/>
        </w:numPr>
        <w:snapToGrid w:val="0"/>
        <w:spacing w:line="360" w:lineRule="exact"/>
        <w:jc w:val="center"/>
        <w:rPr>
          <w:rFonts w:hAnsi="宋体" w:cs="宋体"/>
          <w:b/>
          <w:kern w:val="44"/>
          <w:sz w:val="32"/>
          <w:szCs w:val="22"/>
        </w:rPr>
      </w:pPr>
      <w:r>
        <w:rPr>
          <w:rFonts w:hint="eastAsia" w:hAnsi="宋体" w:cs="宋体"/>
          <w:b/>
          <w:kern w:val="44"/>
          <w:sz w:val="32"/>
          <w:szCs w:val="22"/>
        </w:rPr>
        <w:t>投标人须知</w:t>
      </w:r>
      <w:bookmarkEnd w:id="0"/>
      <w:bookmarkEnd w:id="1"/>
      <w:bookmarkEnd w:id="2"/>
      <w:bookmarkEnd w:id="3"/>
    </w:p>
    <w:p w14:paraId="6573DE88">
      <w:pPr>
        <w:pStyle w:val="56"/>
      </w:pPr>
    </w:p>
    <w:p w14:paraId="292CEA77">
      <w:pPr>
        <w:pStyle w:val="2"/>
        <w:spacing w:line="360" w:lineRule="auto"/>
        <w:jc w:val="center"/>
        <w:rPr>
          <w:b/>
          <w:bCs/>
          <w:sz w:val="24"/>
        </w:rPr>
      </w:pPr>
      <w:bookmarkStart w:id="5" w:name="_Hlt127175444"/>
      <w:bookmarkEnd w:id="5"/>
      <w:bookmarkStart w:id="6" w:name="_Toc12674"/>
      <w:bookmarkStart w:id="7" w:name="_Toc10490"/>
      <w:bookmarkStart w:id="8" w:name="_Toc7880"/>
      <w:bookmarkStart w:id="9" w:name="_Toc1921"/>
      <w:bookmarkStart w:id="10" w:name="_Toc2102"/>
      <w:bookmarkStart w:id="11" w:name="_Toc18643"/>
      <w:bookmarkStart w:id="12" w:name="_Toc31366"/>
      <w:bookmarkStart w:id="13" w:name="_Hlt120077520"/>
      <w:r>
        <w:rPr>
          <w:rFonts w:hint="eastAsia"/>
          <w:b/>
          <w:bCs/>
          <w:sz w:val="24"/>
        </w:rPr>
        <w:t>第一节 投标人须知前附表</w:t>
      </w:r>
      <w:bookmarkEnd w:id="6"/>
      <w:bookmarkEnd w:id="7"/>
      <w:bookmarkEnd w:id="8"/>
      <w:bookmarkEnd w:id="9"/>
      <w:bookmarkEnd w:id="10"/>
      <w:bookmarkEnd w:id="11"/>
      <w:bookmarkEnd w:id="12"/>
    </w:p>
    <w:tbl>
      <w:tblPr>
        <w:tblStyle w:val="31"/>
        <w:tblW w:w="963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10"/>
        <w:gridCol w:w="1966"/>
        <w:gridCol w:w="6861"/>
      </w:tblGrid>
      <w:tr w14:paraId="5246E5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3B2B8FA7">
            <w:pPr>
              <w:pStyle w:val="56"/>
              <w:spacing w:line="400" w:lineRule="exact"/>
              <w:jc w:val="center"/>
              <w:rPr>
                <w:rFonts w:hAnsi="宋体" w:cs="宋体"/>
                <w:szCs w:val="24"/>
              </w:rPr>
            </w:pPr>
            <w:r>
              <w:rPr>
                <w:rFonts w:hint="eastAsia" w:hAnsi="宋体" w:cs="宋体"/>
                <w:szCs w:val="24"/>
              </w:rPr>
              <w:t>序</w:t>
            </w:r>
          </w:p>
          <w:p w14:paraId="1132CAE5">
            <w:pPr>
              <w:pStyle w:val="56"/>
              <w:spacing w:line="400" w:lineRule="exact"/>
              <w:jc w:val="center"/>
              <w:rPr>
                <w:rFonts w:hAnsi="宋体" w:cs="宋体"/>
                <w:szCs w:val="24"/>
              </w:rPr>
            </w:pPr>
            <w:r>
              <w:rPr>
                <w:rFonts w:hint="eastAsia" w:hAnsi="宋体" w:cs="宋体"/>
                <w:szCs w:val="24"/>
              </w:rPr>
              <w:t>号</w:t>
            </w:r>
          </w:p>
        </w:tc>
        <w:tc>
          <w:tcPr>
            <w:tcW w:w="1966" w:type="dxa"/>
            <w:tcBorders>
              <w:top w:val="single" w:color="auto" w:sz="4" w:space="0"/>
              <w:left w:val="single" w:color="auto" w:sz="4" w:space="0"/>
              <w:bottom w:val="single" w:color="auto" w:sz="4" w:space="0"/>
              <w:right w:val="single" w:color="auto" w:sz="4" w:space="0"/>
            </w:tcBorders>
            <w:vAlign w:val="center"/>
          </w:tcPr>
          <w:p w14:paraId="649E62C5">
            <w:pPr>
              <w:pStyle w:val="56"/>
              <w:spacing w:line="400" w:lineRule="exact"/>
              <w:jc w:val="center"/>
              <w:rPr>
                <w:rFonts w:hAnsi="宋体" w:cs="宋体"/>
                <w:szCs w:val="24"/>
              </w:rPr>
            </w:pPr>
            <w:r>
              <w:rPr>
                <w:rFonts w:hint="eastAsia" w:hAnsi="宋体" w:cs="宋体"/>
                <w:szCs w:val="24"/>
              </w:rPr>
              <w:t>内容</w:t>
            </w:r>
          </w:p>
        </w:tc>
        <w:tc>
          <w:tcPr>
            <w:tcW w:w="6861" w:type="dxa"/>
            <w:tcBorders>
              <w:top w:val="single" w:color="auto" w:sz="4" w:space="0"/>
              <w:left w:val="single" w:color="auto" w:sz="4" w:space="0"/>
              <w:bottom w:val="single" w:color="auto" w:sz="4" w:space="0"/>
              <w:right w:val="single" w:color="auto" w:sz="4" w:space="0"/>
            </w:tcBorders>
            <w:vAlign w:val="center"/>
          </w:tcPr>
          <w:p w14:paraId="2B400685">
            <w:pPr>
              <w:pStyle w:val="56"/>
              <w:tabs>
                <w:tab w:val="left" w:pos="1180"/>
              </w:tabs>
              <w:spacing w:line="400" w:lineRule="exact"/>
              <w:jc w:val="center"/>
              <w:rPr>
                <w:rFonts w:hAnsi="宋体" w:cs="宋体"/>
                <w:szCs w:val="24"/>
              </w:rPr>
            </w:pPr>
            <w:r>
              <w:rPr>
                <w:rFonts w:hint="eastAsia" w:hAnsi="宋体" w:cs="宋体"/>
                <w:szCs w:val="24"/>
              </w:rPr>
              <w:t>说明与要求</w:t>
            </w:r>
          </w:p>
        </w:tc>
      </w:tr>
      <w:tr w14:paraId="4D55F6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04EB8A66">
            <w:pPr>
              <w:pStyle w:val="56"/>
              <w:numPr>
                <w:ilvl w:val="0"/>
                <w:numId w:val="2"/>
              </w:numPr>
              <w:tabs>
                <w:tab w:val="left" w:pos="640"/>
              </w:tabs>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5B292E1D">
            <w:pPr>
              <w:pStyle w:val="56"/>
              <w:spacing w:line="400" w:lineRule="exact"/>
              <w:jc w:val="center"/>
              <w:rPr>
                <w:rFonts w:hAnsi="宋体" w:cs="宋体"/>
                <w:szCs w:val="24"/>
              </w:rPr>
            </w:pPr>
            <w:r>
              <w:rPr>
                <w:rFonts w:hint="eastAsia" w:hAnsi="宋体" w:cs="宋体"/>
                <w:szCs w:val="24"/>
              </w:rPr>
              <w:t>项目业主</w:t>
            </w:r>
          </w:p>
        </w:tc>
        <w:tc>
          <w:tcPr>
            <w:tcW w:w="6861" w:type="dxa"/>
            <w:tcBorders>
              <w:top w:val="single" w:color="auto" w:sz="4" w:space="0"/>
              <w:left w:val="single" w:color="auto" w:sz="4" w:space="0"/>
              <w:bottom w:val="single" w:color="auto" w:sz="4" w:space="0"/>
              <w:right w:val="single" w:color="auto" w:sz="4" w:space="0"/>
            </w:tcBorders>
            <w:vAlign w:val="center"/>
          </w:tcPr>
          <w:p w14:paraId="55DAFE2D">
            <w:pPr>
              <w:pStyle w:val="56"/>
              <w:spacing w:line="400" w:lineRule="exact"/>
              <w:ind w:firstLine="240" w:firstLineChars="100"/>
              <w:jc w:val="left"/>
              <w:rPr>
                <w:rFonts w:hAnsi="宋体" w:cs="宋体"/>
                <w:szCs w:val="24"/>
              </w:rPr>
            </w:pPr>
            <w:r>
              <w:rPr>
                <w:rFonts w:hint="eastAsia" w:hAnsi="宋体" w:cs="宋体"/>
                <w:kern w:val="0"/>
                <w:szCs w:val="24"/>
              </w:rPr>
              <w:t>韶关市金沁房地产开发有限公司</w:t>
            </w:r>
          </w:p>
        </w:tc>
      </w:tr>
      <w:tr w14:paraId="392C83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5EE3E6E">
            <w:pPr>
              <w:pStyle w:val="56"/>
              <w:numPr>
                <w:ilvl w:val="0"/>
                <w:numId w:val="2"/>
              </w:numPr>
              <w:tabs>
                <w:tab w:val="left" w:pos="640"/>
              </w:tabs>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4FDDF07B">
            <w:pPr>
              <w:pStyle w:val="56"/>
              <w:spacing w:line="400" w:lineRule="exact"/>
              <w:jc w:val="center"/>
              <w:rPr>
                <w:rFonts w:hAnsi="宋体" w:cs="宋体"/>
                <w:szCs w:val="24"/>
              </w:rPr>
            </w:pPr>
            <w:r>
              <w:rPr>
                <w:rFonts w:hint="eastAsia" w:hAnsi="宋体" w:cs="宋体"/>
                <w:szCs w:val="24"/>
              </w:rPr>
              <w:t>项目名称</w:t>
            </w:r>
          </w:p>
        </w:tc>
        <w:tc>
          <w:tcPr>
            <w:tcW w:w="6861" w:type="dxa"/>
            <w:tcBorders>
              <w:top w:val="single" w:color="auto" w:sz="4" w:space="0"/>
              <w:left w:val="single" w:color="auto" w:sz="4" w:space="0"/>
              <w:bottom w:val="single" w:color="auto" w:sz="4" w:space="0"/>
              <w:right w:val="single" w:color="auto" w:sz="4" w:space="0"/>
            </w:tcBorders>
            <w:vAlign w:val="center"/>
          </w:tcPr>
          <w:p w14:paraId="105F7587">
            <w:pPr>
              <w:pStyle w:val="56"/>
              <w:spacing w:line="400" w:lineRule="exact"/>
              <w:ind w:firstLine="240" w:firstLineChars="100"/>
              <w:jc w:val="left"/>
              <w:rPr>
                <w:rFonts w:hAnsi="宋体" w:cs="宋体"/>
                <w:szCs w:val="24"/>
              </w:rPr>
            </w:pPr>
            <w:r>
              <w:rPr>
                <w:rFonts w:hint="eastAsia" w:hAnsi="宋体" w:cs="宋体"/>
                <w:szCs w:val="24"/>
              </w:rPr>
              <w:t>韶关百年东街及周边历史街区城市更新项目方案设计、初步设计</w:t>
            </w:r>
          </w:p>
        </w:tc>
      </w:tr>
      <w:tr w14:paraId="435A7C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BBE9074">
            <w:pPr>
              <w:pStyle w:val="56"/>
              <w:numPr>
                <w:ilvl w:val="0"/>
                <w:numId w:val="2"/>
              </w:numPr>
              <w:tabs>
                <w:tab w:val="left" w:pos="640"/>
              </w:tabs>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58B8BE1B">
            <w:pPr>
              <w:snapToGrid w:val="0"/>
              <w:spacing w:line="400" w:lineRule="exact"/>
              <w:jc w:val="center"/>
            </w:pPr>
            <w:r>
              <w:rPr>
                <w:rFonts w:hint="eastAsia"/>
              </w:rPr>
              <w:t>项目批准部门</w:t>
            </w:r>
          </w:p>
        </w:tc>
        <w:tc>
          <w:tcPr>
            <w:tcW w:w="6861" w:type="dxa"/>
            <w:tcBorders>
              <w:top w:val="single" w:color="auto" w:sz="4" w:space="0"/>
              <w:left w:val="single" w:color="auto" w:sz="4" w:space="0"/>
              <w:bottom w:val="single" w:color="auto" w:sz="4" w:space="0"/>
              <w:right w:val="single" w:color="auto" w:sz="4" w:space="0"/>
            </w:tcBorders>
            <w:vAlign w:val="center"/>
          </w:tcPr>
          <w:p w14:paraId="4261F756">
            <w:pPr>
              <w:pStyle w:val="56"/>
              <w:spacing w:line="400" w:lineRule="exact"/>
              <w:ind w:firstLine="240" w:firstLineChars="100"/>
              <w:jc w:val="left"/>
              <w:rPr>
                <w:rFonts w:hAnsi="宋体" w:cs="宋体"/>
                <w:szCs w:val="24"/>
              </w:rPr>
            </w:pPr>
            <w:r>
              <w:rPr>
                <w:rFonts w:hint="eastAsia" w:hAnsi="宋体" w:cs="宋体"/>
                <w:szCs w:val="24"/>
              </w:rPr>
              <w:t>韶关市浈江区发展和改革局</w:t>
            </w:r>
          </w:p>
        </w:tc>
      </w:tr>
      <w:tr w14:paraId="61DE21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6E763FB3">
            <w:pPr>
              <w:pStyle w:val="56"/>
              <w:numPr>
                <w:ilvl w:val="0"/>
                <w:numId w:val="2"/>
              </w:numPr>
              <w:tabs>
                <w:tab w:val="left" w:pos="640"/>
              </w:tabs>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49769A3E">
            <w:pPr>
              <w:snapToGrid w:val="0"/>
              <w:spacing w:line="400" w:lineRule="exact"/>
              <w:jc w:val="center"/>
            </w:pPr>
            <w:r>
              <w:rPr>
                <w:rFonts w:hint="eastAsia"/>
              </w:rPr>
              <w:t>项目代码</w:t>
            </w:r>
          </w:p>
        </w:tc>
        <w:tc>
          <w:tcPr>
            <w:tcW w:w="6861" w:type="dxa"/>
            <w:tcBorders>
              <w:top w:val="single" w:color="auto" w:sz="4" w:space="0"/>
              <w:left w:val="single" w:color="auto" w:sz="4" w:space="0"/>
              <w:bottom w:val="single" w:color="auto" w:sz="4" w:space="0"/>
              <w:right w:val="single" w:color="auto" w:sz="4" w:space="0"/>
            </w:tcBorders>
            <w:vAlign w:val="center"/>
          </w:tcPr>
          <w:p w14:paraId="66082772">
            <w:pPr>
              <w:pStyle w:val="56"/>
              <w:spacing w:line="400" w:lineRule="exact"/>
              <w:ind w:firstLine="240" w:firstLineChars="100"/>
              <w:jc w:val="left"/>
              <w:rPr>
                <w:rFonts w:hAnsi="宋体" w:cs="宋体"/>
                <w:szCs w:val="24"/>
              </w:rPr>
            </w:pPr>
            <w:r>
              <w:rPr>
                <w:rFonts w:hint="eastAsia" w:hAnsi="宋体" w:cs="宋体"/>
                <w:szCs w:val="24"/>
              </w:rPr>
              <w:t>2604-440204-04-01-901150</w:t>
            </w:r>
          </w:p>
        </w:tc>
      </w:tr>
      <w:tr w14:paraId="0E8E8B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21CA13F7">
            <w:pPr>
              <w:pStyle w:val="56"/>
              <w:numPr>
                <w:ilvl w:val="0"/>
                <w:numId w:val="2"/>
              </w:numPr>
              <w:tabs>
                <w:tab w:val="left" w:pos="640"/>
              </w:tabs>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606CC1A5">
            <w:pPr>
              <w:snapToGrid w:val="0"/>
              <w:spacing w:line="400" w:lineRule="exact"/>
              <w:jc w:val="center"/>
            </w:pPr>
            <w:r>
              <w:rPr>
                <w:rFonts w:hint="eastAsia"/>
              </w:rPr>
              <w:t>项目资金来源</w:t>
            </w:r>
          </w:p>
        </w:tc>
        <w:tc>
          <w:tcPr>
            <w:tcW w:w="6861" w:type="dxa"/>
            <w:tcBorders>
              <w:top w:val="single" w:color="auto" w:sz="4" w:space="0"/>
              <w:left w:val="single" w:color="auto" w:sz="4" w:space="0"/>
              <w:bottom w:val="single" w:color="auto" w:sz="4" w:space="0"/>
              <w:right w:val="single" w:color="auto" w:sz="4" w:space="0"/>
            </w:tcBorders>
            <w:vAlign w:val="center"/>
          </w:tcPr>
          <w:p w14:paraId="474DCBC1">
            <w:pPr>
              <w:pStyle w:val="56"/>
              <w:spacing w:line="400" w:lineRule="exact"/>
              <w:ind w:firstLine="240" w:firstLineChars="100"/>
              <w:jc w:val="left"/>
              <w:rPr>
                <w:rFonts w:hAnsi="宋体" w:cs="宋体"/>
                <w:szCs w:val="24"/>
              </w:rPr>
            </w:pPr>
            <w:r>
              <w:rPr>
                <w:rFonts w:hAnsi="宋体" w:cs="宋体"/>
                <w:szCs w:val="24"/>
              </w:rPr>
              <w:t>资金拟通过新型政策性金融工具、专项资金、股东注资、银行融资等方式筹集。100%</w:t>
            </w:r>
          </w:p>
        </w:tc>
      </w:tr>
      <w:tr w14:paraId="2DD994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0D94EA8C">
            <w:pPr>
              <w:pStyle w:val="56"/>
              <w:numPr>
                <w:ilvl w:val="0"/>
                <w:numId w:val="2"/>
              </w:numPr>
              <w:tabs>
                <w:tab w:val="left" w:pos="640"/>
              </w:tabs>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24F6B881">
            <w:pPr>
              <w:pStyle w:val="56"/>
              <w:spacing w:line="400" w:lineRule="exact"/>
              <w:jc w:val="center"/>
              <w:rPr>
                <w:rFonts w:hAnsi="宋体" w:cs="宋体"/>
                <w:kern w:val="0"/>
                <w:szCs w:val="24"/>
              </w:rPr>
            </w:pPr>
            <w:r>
              <w:rPr>
                <w:rFonts w:hint="eastAsia" w:hAnsi="宋体" w:cs="宋体"/>
                <w:szCs w:val="24"/>
              </w:rPr>
              <w:t>招标人</w:t>
            </w:r>
          </w:p>
        </w:tc>
        <w:tc>
          <w:tcPr>
            <w:tcW w:w="6861" w:type="dxa"/>
            <w:tcBorders>
              <w:top w:val="single" w:color="auto" w:sz="4" w:space="0"/>
              <w:left w:val="single" w:color="auto" w:sz="4" w:space="0"/>
              <w:bottom w:val="single" w:color="auto" w:sz="4" w:space="0"/>
              <w:right w:val="single" w:color="auto" w:sz="4" w:space="0"/>
            </w:tcBorders>
            <w:vAlign w:val="center"/>
          </w:tcPr>
          <w:p w14:paraId="2810F6D2">
            <w:pPr>
              <w:pStyle w:val="56"/>
              <w:spacing w:line="400" w:lineRule="exact"/>
              <w:ind w:firstLine="240" w:firstLineChars="100"/>
              <w:jc w:val="left"/>
              <w:rPr>
                <w:rFonts w:hAnsi="宋体" w:cs="宋体"/>
                <w:szCs w:val="24"/>
              </w:rPr>
            </w:pPr>
            <w:r>
              <w:rPr>
                <w:rFonts w:hint="eastAsia" w:hAnsi="宋体" w:cs="宋体"/>
                <w:szCs w:val="24"/>
              </w:rPr>
              <w:t>韶关市金沁房地产开发有限公司</w:t>
            </w:r>
          </w:p>
        </w:tc>
      </w:tr>
      <w:tr w14:paraId="43B3F1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0F220362">
            <w:pPr>
              <w:pStyle w:val="56"/>
              <w:numPr>
                <w:ilvl w:val="0"/>
                <w:numId w:val="2"/>
              </w:numPr>
              <w:tabs>
                <w:tab w:val="left" w:pos="640"/>
              </w:tabs>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26E89222">
            <w:pPr>
              <w:snapToGrid w:val="0"/>
              <w:spacing w:line="400" w:lineRule="exact"/>
              <w:jc w:val="center"/>
            </w:pPr>
            <w:r>
              <w:rPr>
                <w:rFonts w:hint="eastAsia"/>
              </w:rPr>
              <w:t>招标代理机构</w:t>
            </w:r>
          </w:p>
        </w:tc>
        <w:tc>
          <w:tcPr>
            <w:tcW w:w="6861" w:type="dxa"/>
            <w:tcBorders>
              <w:top w:val="single" w:color="auto" w:sz="4" w:space="0"/>
              <w:left w:val="single" w:color="auto" w:sz="4" w:space="0"/>
              <w:bottom w:val="single" w:color="auto" w:sz="4" w:space="0"/>
              <w:right w:val="single" w:color="auto" w:sz="4" w:space="0"/>
            </w:tcBorders>
            <w:vAlign w:val="center"/>
          </w:tcPr>
          <w:p w14:paraId="433AD96D">
            <w:pPr>
              <w:pStyle w:val="56"/>
              <w:spacing w:line="400" w:lineRule="exact"/>
              <w:ind w:firstLine="240" w:firstLineChars="100"/>
              <w:jc w:val="left"/>
              <w:rPr>
                <w:rFonts w:hAnsi="宋体" w:cs="宋体"/>
                <w:szCs w:val="24"/>
              </w:rPr>
            </w:pPr>
            <w:r>
              <w:rPr>
                <w:rFonts w:hint="eastAsia" w:hAnsi="宋体" w:cs="宋体"/>
                <w:szCs w:val="24"/>
              </w:rPr>
              <w:t>广东信誉招标代理有限公司</w:t>
            </w:r>
          </w:p>
        </w:tc>
      </w:tr>
      <w:tr w14:paraId="0D2025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6943CF14">
            <w:pPr>
              <w:pStyle w:val="56"/>
              <w:numPr>
                <w:ilvl w:val="0"/>
                <w:numId w:val="2"/>
              </w:numPr>
              <w:tabs>
                <w:tab w:val="left" w:pos="640"/>
              </w:tabs>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696C1279">
            <w:pPr>
              <w:snapToGrid w:val="0"/>
              <w:spacing w:line="400" w:lineRule="exact"/>
              <w:jc w:val="center"/>
            </w:pPr>
            <w:r>
              <w:rPr>
                <w:rFonts w:hint="eastAsia"/>
              </w:rPr>
              <w:t>建设地点</w:t>
            </w:r>
          </w:p>
        </w:tc>
        <w:tc>
          <w:tcPr>
            <w:tcW w:w="6861" w:type="dxa"/>
            <w:tcBorders>
              <w:top w:val="single" w:color="auto" w:sz="4" w:space="0"/>
              <w:left w:val="single" w:color="auto" w:sz="4" w:space="0"/>
              <w:bottom w:val="single" w:color="auto" w:sz="4" w:space="0"/>
              <w:right w:val="single" w:color="auto" w:sz="4" w:space="0"/>
            </w:tcBorders>
            <w:vAlign w:val="center"/>
          </w:tcPr>
          <w:p w14:paraId="720D8E7C">
            <w:pPr>
              <w:pStyle w:val="56"/>
              <w:spacing w:line="400" w:lineRule="exact"/>
              <w:ind w:firstLine="240" w:firstLineChars="100"/>
              <w:jc w:val="left"/>
              <w:rPr>
                <w:rFonts w:hAnsi="宋体" w:cs="宋体"/>
                <w:szCs w:val="24"/>
              </w:rPr>
            </w:pPr>
            <w:r>
              <w:rPr>
                <w:rFonts w:hint="eastAsia" w:hAnsi="宋体" w:cs="宋体"/>
                <w:szCs w:val="24"/>
              </w:rPr>
              <w:t>韶关百年东街及周边历史街区城市更新项目用地位于韶关市浈江区风采街道百年东街及周边历史街区（包括升平路、广富新街、峰前街、群众巷等）。</w:t>
            </w:r>
          </w:p>
        </w:tc>
      </w:tr>
      <w:tr w14:paraId="6D20F4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2556315D">
            <w:pPr>
              <w:pStyle w:val="56"/>
              <w:numPr>
                <w:ilvl w:val="0"/>
                <w:numId w:val="2"/>
              </w:numPr>
              <w:tabs>
                <w:tab w:val="left" w:pos="640"/>
              </w:tabs>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76B0901A">
            <w:pPr>
              <w:pStyle w:val="56"/>
              <w:spacing w:line="400" w:lineRule="exact"/>
              <w:jc w:val="center"/>
              <w:rPr>
                <w:rFonts w:hAnsi="宋体" w:cs="宋体"/>
                <w:szCs w:val="24"/>
              </w:rPr>
            </w:pPr>
            <w:r>
              <w:rPr>
                <w:rFonts w:hint="eastAsia" w:hAnsi="宋体" w:cs="宋体"/>
                <w:szCs w:val="24"/>
              </w:rPr>
              <w:t>建设内容和规模</w:t>
            </w:r>
          </w:p>
        </w:tc>
        <w:tc>
          <w:tcPr>
            <w:tcW w:w="6861" w:type="dxa"/>
            <w:tcBorders>
              <w:top w:val="single" w:color="auto" w:sz="4" w:space="0"/>
              <w:left w:val="single" w:color="auto" w:sz="4" w:space="0"/>
              <w:bottom w:val="single" w:color="auto" w:sz="4" w:space="0"/>
              <w:right w:val="single" w:color="auto" w:sz="4" w:space="0"/>
            </w:tcBorders>
            <w:vAlign w:val="center"/>
          </w:tcPr>
          <w:p w14:paraId="6E95350C">
            <w:pPr>
              <w:pStyle w:val="56"/>
              <w:spacing w:line="400" w:lineRule="exact"/>
              <w:ind w:firstLine="240" w:firstLineChars="100"/>
              <w:jc w:val="left"/>
              <w:rPr>
                <w:rFonts w:hAnsi="宋体" w:cs="宋体"/>
                <w:szCs w:val="24"/>
              </w:rPr>
            </w:pPr>
            <w:r>
              <w:rPr>
                <w:rFonts w:hAnsi="宋体" w:cs="宋体"/>
                <w:szCs w:val="24"/>
              </w:rPr>
              <w:t>本项目总改造建筑面积约150000m²（其中，百年东街片区改造面积约为50000m²，周边历史街区改造面积约为100000m²）。主要改造内容包括：一是对百年东街的主体结构、外立面、室外广场、滨河步道、卫生间、垃圾房等进行改造升级</w:t>
            </w:r>
            <w:r>
              <w:rPr>
                <w:rFonts w:hint="eastAsia" w:hAnsi="宋体" w:cs="宋体"/>
                <w:szCs w:val="24"/>
                <w:lang w:eastAsia="zh-CN"/>
              </w:rPr>
              <w:t>；</w:t>
            </w:r>
            <w:r>
              <w:rPr>
                <w:rFonts w:hAnsi="宋体" w:cs="宋体"/>
                <w:szCs w:val="24"/>
              </w:rPr>
              <w:t>对公共室外走道</w:t>
            </w:r>
            <w:r>
              <w:rPr>
                <w:rFonts w:hint="eastAsia" w:hAnsi="宋体" w:cs="宋体"/>
                <w:szCs w:val="24"/>
                <w:lang w:eastAsia="zh-CN"/>
              </w:rPr>
              <w:t>、</w:t>
            </w:r>
            <w:r>
              <w:rPr>
                <w:rFonts w:hAnsi="宋体" w:cs="宋体"/>
                <w:szCs w:val="24"/>
              </w:rPr>
              <w:t>电梯厅</w:t>
            </w:r>
            <w:r>
              <w:rPr>
                <w:rFonts w:hint="eastAsia" w:hAnsi="宋体" w:cs="宋体"/>
                <w:szCs w:val="24"/>
                <w:lang w:eastAsia="zh-CN"/>
              </w:rPr>
              <w:t>、</w:t>
            </w:r>
            <w:r>
              <w:rPr>
                <w:rFonts w:hAnsi="宋体" w:cs="宋体"/>
                <w:szCs w:val="24"/>
              </w:rPr>
              <w:t>卫生间</w:t>
            </w:r>
            <w:r>
              <w:rPr>
                <w:rFonts w:hint="eastAsia" w:hAnsi="宋体" w:cs="宋体"/>
                <w:szCs w:val="24"/>
                <w:lang w:eastAsia="zh-CN"/>
              </w:rPr>
              <w:t>、</w:t>
            </w:r>
            <w:r>
              <w:rPr>
                <w:rFonts w:hAnsi="宋体" w:cs="宋体"/>
                <w:szCs w:val="24"/>
              </w:rPr>
              <w:t>B区室内等公共区域进行更新改造；对机电工程、弱电智能化工程、水电、给排水、排油烟工程、室外灯光造型和停车场进行改造提升。二是对周边历史街区（包括升平路、广富新街、峰前街、群众巷</w:t>
            </w:r>
            <w:r>
              <w:rPr>
                <w:rFonts w:hint="eastAsia" w:hAnsi="宋体" w:cs="宋体"/>
                <w:szCs w:val="24"/>
              </w:rPr>
              <w:t>等</w:t>
            </w:r>
            <w:r>
              <w:rPr>
                <w:rFonts w:hAnsi="宋体" w:cs="宋体"/>
                <w:szCs w:val="24"/>
              </w:rPr>
              <w:t>）的建筑</w:t>
            </w:r>
            <w:r>
              <w:rPr>
                <w:rFonts w:hint="eastAsia" w:hAnsi="宋体" w:cs="宋体"/>
                <w:szCs w:val="24"/>
              </w:rPr>
              <w:t>物</w:t>
            </w:r>
            <w:r>
              <w:rPr>
                <w:rFonts w:hAnsi="宋体" w:cs="宋体"/>
                <w:szCs w:val="24"/>
              </w:rPr>
              <w:t>、道路、沿街外立面进行更新改造。</w:t>
            </w:r>
          </w:p>
        </w:tc>
      </w:tr>
      <w:tr w14:paraId="22BA01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2440CB08">
            <w:pPr>
              <w:pStyle w:val="56"/>
              <w:numPr>
                <w:ilvl w:val="0"/>
                <w:numId w:val="2"/>
              </w:numPr>
              <w:tabs>
                <w:tab w:val="left" w:pos="640"/>
              </w:tabs>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64B9C00E">
            <w:pPr>
              <w:snapToGrid w:val="0"/>
              <w:spacing w:line="400" w:lineRule="exact"/>
              <w:jc w:val="center"/>
            </w:pPr>
            <w:r>
              <w:rPr>
                <w:rFonts w:hint="eastAsia"/>
              </w:rPr>
              <w:t>项目总投资</w:t>
            </w:r>
          </w:p>
        </w:tc>
        <w:tc>
          <w:tcPr>
            <w:tcW w:w="6861" w:type="dxa"/>
            <w:tcBorders>
              <w:top w:val="single" w:color="auto" w:sz="4" w:space="0"/>
              <w:left w:val="single" w:color="auto" w:sz="4" w:space="0"/>
              <w:bottom w:val="single" w:color="auto" w:sz="4" w:space="0"/>
              <w:right w:val="single" w:color="auto" w:sz="4" w:space="0"/>
            </w:tcBorders>
            <w:vAlign w:val="center"/>
          </w:tcPr>
          <w:p w14:paraId="4509C43C">
            <w:pPr>
              <w:pStyle w:val="56"/>
              <w:spacing w:line="400" w:lineRule="exact"/>
              <w:ind w:firstLine="240" w:firstLineChars="100"/>
              <w:jc w:val="left"/>
              <w:rPr>
                <w:rFonts w:hAnsi="宋体" w:cs="宋体"/>
                <w:szCs w:val="24"/>
              </w:rPr>
            </w:pPr>
            <w:r>
              <w:rPr>
                <w:rFonts w:hint="eastAsia" w:hAnsi="宋体" w:cs="宋体"/>
                <w:szCs w:val="24"/>
              </w:rPr>
              <w:t>项目总投资估算</w:t>
            </w:r>
            <w:r>
              <w:rPr>
                <w:rFonts w:hint="eastAsia" w:hAnsi="宋体" w:cs="宋体"/>
                <w:szCs w:val="24"/>
                <w:lang w:val="en-US" w:eastAsia="zh-CN"/>
              </w:rPr>
              <w:t>约</w:t>
            </w:r>
            <w:r>
              <w:rPr>
                <w:rFonts w:hint="eastAsia" w:hAnsi="宋体" w:cs="宋体"/>
                <w:szCs w:val="24"/>
              </w:rPr>
              <w:t>为</w:t>
            </w:r>
            <w:r>
              <w:rPr>
                <w:rFonts w:hint="eastAsia" w:hAnsi="宋体" w:cs="宋体"/>
                <w:szCs w:val="24"/>
                <w:lang w:val="en-US" w:eastAsia="zh-CN"/>
              </w:rPr>
              <w:t>36000</w:t>
            </w:r>
            <w:r>
              <w:rPr>
                <w:rFonts w:hint="eastAsia" w:hAnsi="宋体" w:cs="宋体"/>
                <w:szCs w:val="24"/>
              </w:rPr>
              <w:t>万元，其中：工程费用</w:t>
            </w:r>
            <w:r>
              <w:rPr>
                <w:rFonts w:hint="eastAsia" w:hAnsi="宋体" w:cs="宋体"/>
                <w:szCs w:val="24"/>
                <w:lang w:val="en-US" w:eastAsia="zh-CN"/>
              </w:rPr>
              <w:t>约30000万元</w:t>
            </w:r>
            <w:r>
              <w:rPr>
                <w:rFonts w:hint="eastAsia" w:hAnsi="宋体" w:cs="宋体"/>
                <w:color w:val="auto"/>
                <w:szCs w:val="24"/>
              </w:rPr>
              <w:t>（其中百年东街</w:t>
            </w:r>
            <w:r>
              <w:rPr>
                <w:rFonts w:hint="eastAsia" w:hAnsi="宋体" w:cs="宋体"/>
                <w:color w:val="auto"/>
                <w:szCs w:val="24"/>
                <w:lang w:val="en-US" w:eastAsia="zh-CN"/>
              </w:rPr>
              <w:t>改造升级</w:t>
            </w:r>
            <w:r>
              <w:rPr>
                <w:rFonts w:hint="eastAsia" w:hAnsi="宋体" w:cs="宋体"/>
                <w:color w:val="auto"/>
                <w:szCs w:val="24"/>
              </w:rPr>
              <w:t>工程费用</w:t>
            </w:r>
            <w:r>
              <w:rPr>
                <w:rFonts w:hint="eastAsia" w:hAnsi="宋体" w:cs="宋体"/>
                <w:color w:val="auto"/>
                <w:szCs w:val="24"/>
                <w:lang w:val="en-US" w:eastAsia="zh-CN"/>
              </w:rPr>
              <w:t>约12000万元</w:t>
            </w:r>
            <w:r>
              <w:rPr>
                <w:rFonts w:hint="eastAsia" w:hAnsi="宋体" w:cs="宋体"/>
                <w:color w:val="auto"/>
                <w:szCs w:val="24"/>
              </w:rPr>
              <w:t>）</w:t>
            </w:r>
            <w:r>
              <w:rPr>
                <w:rFonts w:hint="eastAsia" w:hAnsi="宋体" w:cs="宋体"/>
                <w:szCs w:val="24"/>
              </w:rPr>
              <w:t>，本次招标设计费</w:t>
            </w:r>
            <w:r>
              <w:rPr>
                <w:rFonts w:hint="eastAsia" w:hAnsi="宋体" w:cs="宋体"/>
                <w:szCs w:val="24"/>
                <w:lang w:val="en-US" w:eastAsia="zh-CN"/>
              </w:rPr>
              <w:t>为</w:t>
            </w:r>
            <w:r>
              <w:rPr>
                <w:rFonts w:hint="eastAsia" w:hAnsi="宋体" w:cs="宋体"/>
                <w:szCs w:val="24"/>
              </w:rPr>
              <w:t>7</w:t>
            </w:r>
            <w:r>
              <w:rPr>
                <w:rFonts w:hint="eastAsia" w:hAnsi="宋体" w:cs="宋体"/>
                <w:szCs w:val="24"/>
                <w:lang w:val="en-US" w:eastAsia="zh-CN"/>
              </w:rPr>
              <w:t>17</w:t>
            </w:r>
            <w:r>
              <w:rPr>
                <w:rFonts w:hint="eastAsia" w:hAnsi="宋体" w:cs="宋体"/>
                <w:szCs w:val="24"/>
              </w:rPr>
              <w:t>万元。</w:t>
            </w:r>
          </w:p>
        </w:tc>
      </w:tr>
      <w:tr w14:paraId="2BA83C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4E78EB3">
            <w:pPr>
              <w:pStyle w:val="56"/>
              <w:numPr>
                <w:ilvl w:val="0"/>
                <w:numId w:val="2"/>
              </w:numPr>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525A4111">
            <w:pPr>
              <w:pStyle w:val="56"/>
              <w:spacing w:line="400" w:lineRule="exact"/>
              <w:jc w:val="center"/>
              <w:rPr>
                <w:rFonts w:hAnsi="宋体" w:cs="宋体"/>
                <w:strike/>
                <w:szCs w:val="24"/>
              </w:rPr>
            </w:pPr>
            <w:r>
              <w:rPr>
                <w:rFonts w:hint="eastAsia" w:hAnsi="宋体" w:cs="宋体"/>
                <w:szCs w:val="24"/>
              </w:rPr>
              <w:t>招标范围</w:t>
            </w:r>
          </w:p>
        </w:tc>
        <w:tc>
          <w:tcPr>
            <w:tcW w:w="6861" w:type="dxa"/>
            <w:tcBorders>
              <w:top w:val="single" w:color="auto" w:sz="4" w:space="0"/>
              <w:left w:val="single" w:color="auto" w:sz="4" w:space="0"/>
              <w:bottom w:val="single" w:color="auto" w:sz="4" w:space="0"/>
              <w:right w:val="single" w:color="auto" w:sz="4" w:space="0"/>
            </w:tcBorders>
            <w:vAlign w:val="center"/>
          </w:tcPr>
          <w:p w14:paraId="6B7F136C">
            <w:pPr>
              <w:pStyle w:val="56"/>
              <w:ind w:firstLine="240" w:firstLineChars="100"/>
              <w:jc w:val="left"/>
              <w:rPr>
                <w:rFonts w:hAnsi="宋体" w:cs="宋体"/>
                <w:szCs w:val="24"/>
              </w:rPr>
            </w:pPr>
            <w:bookmarkStart w:id="14" w:name="_Hlt106417017"/>
            <w:bookmarkEnd w:id="14"/>
            <w:r>
              <w:rPr>
                <w:rFonts w:hint="eastAsia" w:hAnsi="宋体" w:cs="宋体"/>
                <w:color w:val="auto"/>
                <w:szCs w:val="24"/>
              </w:rPr>
              <w:t>本次招标的设计为分区域分期实施，一期实施的是百年东街改造升级部分</w:t>
            </w:r>
            <w:r>
              <w:rPr>
                <w:rFonts w:hint="eastAsia" w:hAnsi="宋体" w:cs="宋体"/>
                <w:bCs/>
                <w:color w:val="auto"/>
                <w:szCs w:val="24"/>
              </w:rPr>
              <w:t>（详见第六章</w:t>
            </w:r>
            <w:r>
              <w:rPr>
                <w:rFonts w:hint="eastAsia" w:hAnsi="宋体" w:cs="宋体"/>
                <w:color w:val="auto"/>
                <w:szCs w:val="24"/>
              </w:rPr>
              <w:t>百年东街改造升级部分设计任务书</w:t>
            </w:r>
            <w:r>
              <w:rPr>
                <w:rFonts w:hint="eastAsia" w:hAnsi="宋体" w:cs="宋体"/>
                <w:color w:val="auto"/>
                <w:szCs w:val="24"/>
                <w:lang w:eastAsia="zh-CN"/>
              </w:rPr>
              <w:t>）</w:t>
            </w:r>
            <w:r>
              <w:rPr>
                <w:rFonts w:hint="eastAsia" w:hAnsi="宋体" w:cs="宋体"/>
                <w:color w:val="auto"/>
                <w:szCs w:val="24"/>
              </w:rPr>
              <w:t>，二期实施周边历史街区部分</w:t>
            </w:r>
            <w:r>
              <w:rPr>
                <w:rFonts w:hint="eastAsia" w:hAnsi="宋体" w:cs="宋体"/>
                <w:bCs/>
                <w:color w:val="auto"/>
                <w:szCs w:val="24"/>
              </w:rPr>
              <w:t>（</w:t>
            </w:r>
            <w:r>
              <w:rPr>
                <w:rFonts w:hint="eastAsia" w:hAnsi="宋体" w:cs="宋体"/>
                <w:color w:val="auto"/>
                <w:szCs w:val="24"/>
              </w:rPr>
              <w:t>周边历史街区部分的设计任务</w:t>
            </w:r>
            <w:r>
              <w:rPr>
                <w:rFonts w:hint="eastAsia" w:hAnsi="宋体" w:cs="宋体"/>
                <w:color w:val="auto"/>
                <w:szCs w:val="24"/>
                <w:lang w:eastAsia="zh-CN"/>
              </w:rPr>
              <w:t>书由</w:t>
            </w:r>
            <w:r>
              <w:rPr>
                <w:rFonts w:hint="eastAsia" w:hAnsi="宋体" w:cs="宋体"/>
                <w:color w:val="auto"/>
                <w:szCs w:val="24"/>
              </w:rPr>
              <w:t>招标人</w:t>
            </w:r>
            <w:r>
              <w:rPr>
                <w:rFonts w:hint="eastAsia" w:hAnsi="宋体" w:cs="宋体"/>
                <w:color w:val="auto"/>
                <w:szCs w:val="24"/>
                <w:lang w:eastAsia="zh-CN"/>
              </w:rPr>
              <w:t>另行</w:t>
            </w:r>
            <w:r>
              <w:rPr>
                <w:rFonts w:hint="eastAsia" w:hAnsi="宋体" w:cs="宋体"/>
                <w:color w:val="auto"/>
                <w:szCs w:val="24"/>
              </w:rPr>
              <w:t>提供</w:t>
            </w:r>
            <w:r>
              <w:rPr>
                <w:rFonts w:hint="eastAsia" w:hAnsi="宋体" w:cs="宋体"/>
                <w:bCs/>
                <w:color w:val="auto"/>
                <w:szCs w:val="24"/>
              </w:rPr>
              <w:t>）</w:t>
            </w:r>
            <w:r>
              <w:rPr>
                <w:rFonts w:hint="eastAsia" w:hAnsi="宋体" w:cs="宋体"/>
                <w:szCs w:val="24"/>
              </w:rPr>
              <w:t>。所涉及的设计服务内容包括但不限于以下方面</w:t>
            </w:r>
            <w:r>
              <w:rPr>
                <w:rFonts w:hint="eastAsia" w:hAnsi="宋体" w:cs="宋体"/>
                <w:bCs/>
                <w:szCs w:val="24"/>
                <w:lang w:eastAsia="zh-CN"/>
              </w:rPr>
              <w:t>：</w:t>
            </w:r>
          </w:p>
          <w:p w14:paraId="051905CE">
            <w:pPr>
              <w:pStyle w:val="56"/>
              <w:ind w:firstLine="240" w:firstLineChars="100"/>
              <w:jc w:val="left"/>
              <w:rPr>
                <w:rFonts w:hAnsi="宋体" w:cs="宋体"/>
                <w:szCs w:val="24"/>
              </w:rPr>
            </w:pPr>
            <w:r>
              <w:rPr>
                <w:rFonts w:hint="eastAsia" w:hAnsi="宋体" w:cs="宋体"/>
                <w:szCs w:val="24"/>
              </w:rPr>
              <w:t>①方案设计及深化（含效果图）；</w:t>
            </w:r>
          </w:p>
          <w:p w14:paraId="2C007525">
            <w:pPr>
              <w:pStyle w:val="56"/>
              <w:ind w:firstLine="240" w:firstLineChars="100"/>
              <w:jc w:val="left"/>
              <w:rPr>
                <w:rFonts w:hAnsi="宋体" w:cs="宋体"/>
                <w:szCs w:val="24"/>
              </w:rPr>
            </w:pPr>
            <w:r>
              <w:rPr>
                <w:rFonts w:hint="eastAsia" w:hAnsi="宋体" w:cs="宋体"/>
                <w:szCs w:val="24"/>
              </w:rPr>
              <w:t>②初步设计文件（包含初步设计深化、总平面及设计说明书、设计图纸等涉及初步设计文件需提交的所有专项设计）；</w:t>
            </w:r>
          </w:p>
          <w:p w14:paraId="289AE6F5">
            <w:pPr>
              <w:pStyle w:val="56"/>
              <w:ind w:firstLine="240" w:firstLineChars="100"/>
              <w:jc w:val="left"/>
              <w:rPr>
                <w:rFonts w:hAnsi="宋体" w:cs="宋体"/>
                <w:szCs w:val="24"/>
              </w:rPr>
            </w:pPr>
            <w:r>
              <w:rPr>
                <w:rFonts w:hint="eastAsia" w:hAnsi="宋体" w:cs="宋体"/>
                <w:szCs w:val="24"/>
              </w:rPr>
              <w:t>③初步设计概算的编制；对应设计阶段造价文件编制和配合报审工作，包含初步设计概算（项目总投资概算编制和配合报审）</w:t>
            </w:r>
            <w:r>
              <w:rPr>
                <w:rFonts w:hint="eastAsia" w:hAnsi="宋体" w:cs="宋体"/>
                <w:szCs w:val="24"/>
                <w:lang w:eastAsia="zh-CN"/>
              </w:rPr>
              <w:t>。</w:t>
            </w:r>
          </w:p>
          <w:p w14:paraId="599B08AA">
            <w:pPr>
              <w:pStyle w:val="56"/>
              <w:ind w:firstLine="240" w:firstLineChars="100"/>
              <w:jc w:val="left"/>
              <w:rPr>
                <w:rFonts w:hAnsi="宋体" w:cs="宋体"/>
                <w:szCs w:val="24"/>
              </w:rPr>
            </w:pPr>
            <w:r>
              <w:rPr>
                <w:rFonts w:hint="eastAsia" w:hAnsi="宋体" w:cs="宋体"/>
                <w:szCs w:val="24"/>
              </w:rPr>
              <w:t>④后续需配合报批报审、施工配合等服务。</w:t>
            </w:r>
          </w:p>
        </w:tc>
      </w:tr>
      <w:tr w14:paraId="5530C6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022CCD4">
            <w:pPr>
              <w:pStyle w:val="56"/>
              <w:numPr>
                <w:ilvl w:val="0"/>
                <w:numId w:val="2"/>
              </w:numPr>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0218D9CE">
            <w:pPr>
              <w:pStyle w:val="56"/>
              <w:spacing w:line="400" w:lineRule="exact"/>
              <w:jc w:val="center"/>
              <w:rPr>
                <w:rFonts w:hAnsi="宋体" w:cs="宋体"/>
                <w:szCs w:val="24"/>
              </w:rPr>
            </w:pPr>
            <w:r>
              <w:rPr>
                <w:rFonts w:hint="eastAsia" w:hAnsi="宋体" w:cs="宋体"/>
                <w:kern w:val="0"/>
                <w:szCs w:val="24"/>
              </w:rPr>
              <w:t>标段划分</w:t>
            </w:r>
          </w:p>
        </w:tc>
        <w:tc>
          <w:tcPr>
            <w:tcW w:w="6861" w:type="dxa"/>
            <w:tcBorders>
              <w:top w:val="single" w:color="auto" w:sz="4" w:space="0"/>
              <w:left w:val="single" w:color="auto" w:sz="4" w:space="0"/>
              <w:bottom w:val="single" w:color="auto" w:sz="4" w:space="0"/>
              <w:right w:val="single" w:color="auto" w:sz="4" w:space="0"/>
            </w:tcBorders>
            <w:vAlign w:val="center"/>
          </w:tcPr>
          <w:p w14:paraId="0E685FD2">
            <w:pPr>
              <w:pStyle w:val="56"/>
              <w:spacing w:line="400" w:lineRule="exact"/>
              <w:ind w:firstLine="240" w:firstLineChars="100"/>
              <w:jc w:val="left"/>
              <w:rPr>
                <w:rFonts w:hAnsi="宋体" w:cs="宋体"/>
                <w:szCs w:val="24"/>
              </w:rPr>
            </w:pPr>
            <w:r>
              <w:rPr>
                <w:rFonts w:hint="eastAsia" w:hAnsi="宋体" w:cs="宋体"/>
                <w:szCs w:val="24"/>
              </w:rPr>
              <w:t>本项目不划分标段</w:t>
            </w:r>
          </w:p>
        </w:tc>
      </w:tr>
      <w:tr w14:paraId="26590B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B42749F">
            <w:pPr>
              <w:pStyle w:val="56"/>
              <w:numPr>
                <w:ilvl w:val="0"/>
                <w:numId w:val="2"/>
              </w:numPr>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4F80E42F">
            <w:pPr>
              <w:pStyle w:val="56"/>
              <w:spacing w:line="400" w:lineRule="exact"/>
              <w:jc w:val="center"/>
              <w:rPr>
                <w:rFonts w:hAnsi="宋体" w:cs="宋体"/>
                <w:szCs w:val="24"/>
              </w:rPr>
            </w:pPr>
            <w:r>
              <w:rPr>
                <w:rFonts w:hint="eastAsia" w:hAnsi="宋体" w:cs="宋体"/>
                <w:szCs w:val="24"/>
              </w:rPr>
              <w:t>工期要求</w:t>
            </w:r>
          </w:p>
        </w:tc>
        <w:tc>
          <w:tcPr>
            <w:tcW w:w="6861" w:type="dxa"/>
            <w:tcBorders>
              <w:top w:val="single" w:color="auto" w:sz="4" w:space="0"/>
              <w:left w:val="single" w:color="auto" w:sz="4" w:space="0"/>
              <w:bottom w:val="single" w:color="auto" w:sz="4" w:space="0"/>
              <w:right w:val="single" w:color="auto" w:sz="4" w:space="0"/>
            </w:tcBorders>
            <w:vAlign w:val="center"/>
          </w:tcPr>
          <w:p w14:paraId="1EBEB28C">
            <w:pPr>
              <w:pStyle w:val="56"/>
              <w:ind w:firstLine="480" w:firstLineChars="200"/>
              <w:rPr>
                <w:rFonts w:hAnsi="宋体" w:cs="宋体"/>
                <w:color w:val="auto"/>
                <w:szCs w:val="24"/>
                <w:highlight w:val="none"/>
              </w:rPr>
            </w:pPr>
            <w:r>
              <w:rPr>
                <w:rFonts w:hint="eastAsia" w:hAnsi="宋体" w:cs="宋体"/>
                <w:color w:val="auto"/>
                <w:szCs w:val="24"/>
                <w:highlight w:val="none"/>
              </w:rPr>
              <w:t>本招标项目设计总工期：共</w:t>
            </w:r>
            <w:r>
              <w:rPr>
                <w:rFonts w:hint="eastAsia" w:hAnsi="宋体" w:cs="宋体"/>
                <w:color w:val="auto"/>
                <w:szCs w:val="24"/>
                <w:highlight w:val="none"/>
                <w:lang w:val="en-US" w:eastAsia="zh-CN"/>
              </w:rPr>
              <w:t>8</w:t>
            </w:r>
            <w:r>
              <w:rPr>
                <w:rFonts w:hint="eastAsia" w:hAnsi="宋体" w:cs="宋体"/>
                <w:color w:val="auto"/>
                <w:szCs w:val="24"/>
                <w:highlight w:val="none"/>
              </w:rPr>
              <w:t>0个日历天。</w:t>
            </w:r>
          </w:p>
          <w:p w14:paraId="14D465AD">
            <w:pPr>
              <w:pStyle w:val="56"/>
              <w:ind w:firstLine="480" w:firstLineChars="200"/>
              <w:rPr>
                <w:rFonts w:hAnsi="宋体" w:cs="宋体"/>
                <w:color w:val="auto"/>
                <w:szCs w:val="24"/>
              </w:rPr>
            </w:pPr>
            <w:r>
              <w:rPr>
                <w:rFonts w:hint="eastAsia" w:hAnsi="宋体" w:cs="宋体"/>
                <w:color w:val="auto"/>
                <w:szCs w:val="24"/>
                <w:highlight w:val="none"/>
                <w:lang w:eastAsia="zh-CN"/>
              </w:rPr>
              <w:t>1.一期：</w:t>
            </w:r>
            <w:r>
              <w:rPr>
                <w:rFonts w:hint="eastAsia" w:hAnsi="宋体" w:cs="宋体"/>
                <w:color w:val="auto"/>
                <w:szCs w:val="24"/>
              </w:rPr>
              <w:t>百年东街改造升级部分设计工期</w:t>
            </w:r>
            <w:r>
              <w:rPr>
                <w:rFonts w:hint="eastAsia" w:hAnsi="宋体" w:cs="宋体"/>
                <w:color w:val="auto"/>
                <w:szCs w:val="24"/>
                <w:lang w:val="en-US" w:eastAsia="zh-CN"/>
              </w:rPr>
              <w:t>3</w:t>
            </w:r>
            <w:r>
              <w:rPr>
                <w:rFonts w:hint="eastAsia" w:hAnsi="宋体" w:cs="宋体"/>
                <w:color w:val="auto"/>
                <w:szCs w:val="24"/>
              </w:rPr>
              <w:t>0个日历天，从中标通知书发出之日起计算，至提交符合招标人要求的初步设计文件之日止（每一步设计工作，必须经招标人及有关部门审核批准后方可实施）。各阶段实施期限如下：</w:t>
            </w:r>
          </w:p>
          <w:p w14:paraId="334D55E5">
            <w:pPr>
              <w:pStyle w:val="56"/>
              <w:ind w:firstLine="240" w:firstLineChars="100"/>
              <w:rPr>
                <w:rFonts w:hAnsi="宋体" w:cs="宋体"/>
                <w:color w:val="auto"/>
                <w:szCs w:val="24"/>
              </w:rPr>
            </w:pPr>
            <w:r>
              <w:rPr>
                <w:rFonts w:hint="eastAsia" w:hAnsi="宋体" w:cs="宋体"/>
                <w:color w:val="auto"/>
                <w:szCs w:val="24"/>
              </w:rPr>
              <w:t>（1）方案设计阶段：从中标通知书发出之日</w:t>
            </w:r>
            <w:r>
              <w:rPr>
                <w:rFonts w:hint="eastAsia" w:hAnsi="宋体" w:cs="宋体"/>
                <w:color w:val="auto"/>
                <w:szCs w:val="24"/>
                <w:highlight w:val="none"/>
              </w:rPr>
              <w:t>起</w:t>
            </w:r>
            <w:r>
              <w:rPr>
                <w:rFonts w:hint="eastAsia" w:hAnsi="宋体" w:cs="宋体"/>
                <w:color w:val="auto"/>
                <w:szCs w:val="24"/>
                <w:highlight w:val="none"/>
                <w:u w:val="single"/>
              </w:rPr>
              <w:t>10</w:t>
            </w:r>
            <w:r>
              <w:rPr>
                <w:rFonts w:hint="eastAsia" w:hAnsi="宋体" w:cs="宋体"/>
                <w:color w:val="auto"/>
                <w:szCs w:val="24"/>
                <w:highlight w:val="none"/>
              </w:rPr>
              <w:t>个日历天</w:t>
            </w:r>
            <w:r>
              <w:rPr>
                <w:rFonts w:hint="eastAsia" w:hAnsi="宋体" w:cs="宋体"/>
                <w:color w:val="auto"/>
                <w:szCs w:val="24"/>
              </w:rPr>
              <w:t>内提交方案设计；</w:t>
            </w:r>
          </w:p>
          <w:p w14:paraId="38E506F0">
            <w:pPr>
              <w:pStyle w:val="56"/>
              <w:ind w:firstLine="240" w:firstLineChars="100"/>
              <w:rPr>
                <w:rFonts w:hAnsi="宋体" w:cs="宋体"/>
                <w:color w:val="auto"/>
                <w:szCs w:val="24"/>
              </w:rPr>
            </w:pPr>
            <w:r>
              <w:rPr>
                <w:rFonts w:hint="eastAsia" w:hAnsi="宋体" w:cs="宋体"/>
                <w:color w:val="auto"/>
                <w:szCs w:val="24"/>
              </w:rPr>
              <w:t>（2）初步设计阶段：</w:t>
            </w:r>
            <w:r>
              <w:rPr>
                <w:rFonts w:hint="eastAsia" w:hAnsi="宋体" w:cs="宋体"/>
                <w:b/>
                <w:bCs/>
                <w:color w:val="auto"/>
                <w:szCs w:val="24"/>
              </w:rPr>
              <w:t>确认方案设计文件后</w:t>
            </w:r>
            <w:r>
              <w:rPr>
                <w:rFonts w:hint="eastAsia" w:hAnsi="宋体" w:cs="宋体"/>
                <w:color w:val="auto"/>
                <w:szCs w:val="24"/>
                <w:lang w:val="en-US" w:eastAsia="zh-CN"/>
              </w:rPr>
              <w:t>15</w:t>
            </w:r>
            <w:r>
              <w:rPr>
                <w:rFonts w:hint="eastAsia" w:hAnsi="宋体" w:cs="宋体"/>
                <w:color w:val="auto"/>
                <w:szCs w:val="24"/>
                <w:highlight w:val="none"/>
              </w:rPr>
              <w:t>个日历天内</w:t>
            </w:r>
            <w:r>
              <w:rPr>
                <w:rFonts w:hint="eastAsia" w:hAnsi="宋体" w:cs="宋体"/>
                <w:color w:val="auto"/>
                <w:szCs w:val="24"/>
              </w:rPr>
              <w:t>提交初步设计文件及概算；</w:t>
            </w:r>
          </w:p>
          <w:p w14:paraId="4547E95F">
            <w:pPr>
              <w:pStyle w:val="56"/>
              <w:numPr>
                <w:ilvl w:val="0"/>
                <w:numId w:val="3"/>
              </w:numPr>
              <w:ind w:left="314" w:leftChars="123" w:hanging="19" w:hangingChars="8"/>
              <w:rPr>
                <w:rFonts w:hAnsi="宋体" w:cs="宋体"/>
                <w:color w:val="auto"/>
                <w:szCs w:val="24"/>
              </w:rPr>
            </w:pPr>
            <w:r>
              <w:rPr>
                <w:rFonts w:hint="eastAsia" w:hAnsi="宋体" w:cs="宋体"/>
                <w:color w:val="auto"/>
                <w:szCs w:val="24"/>
              </w:rPr>
              <w:t xml:space="preserve">初步设计修编：出具初步设计（含概算）修编初审意见后，    </w:t>
            </w:r>
            <w:r>
              <w:rPr>
                <w:rFonts w:hint="eastAsia" w:hAnsi="宋体" w:cs="宋体"/>
                <w:color w:val="auto"/>
                <w:szCs w:val="24"/>
                <w:u w:val="single"/>
                <w:lang w:val="en-US" w:eastAsia="zh-CN"/>
              </w:rPr>
              <w:t>5</w:t>
            </w:r>
            <w:r>
              <w:rPr>
                <w:rFonts w:hint="eastAsia" w:hAnsi="宋体" w:cs="宋体"/>
                <w:color w:val="auto"/>
                <w:szCs w:val="24"/>
                <w:highlight w:val="none"/>
              </w:rPr>
              <w:t>个日历天内</w:t>
            </w:r>
            <w:r>
              <w:rPr>
                <w:rFonts w:hint="eastAsia" w:hAnsi="宋体" w:cs="宋体"/>
                <w:color w:val="auto"/>
                <w:szCs w:val="24"/>
              </w:rPr>
              <w:t>完成初步设计（含概算）修编，并提交招标人审核。</w:t>
            </w:r>
          </w:p>
          <w:p w14:paraId="72D0C696">
            <w:pPr>
              <w:pStyle w:val="56"/>
              <w:ind w:firstLine="240" w:firstLineChars="100"/>
              <w:rPr>
                <w:rFonts w:hAnsi="宋体" w:cs="宋体"/>
                <w:szCs w:val="24"/>
                <w:highlight w:val="none"/>
              </w:rPr>
            </w:pPr>
            <w:r>
              <w:rPr>
                <w:rFonts w:hint="eastAsia" w:hAnsi="宋体" w:cs="宋体"/>
                <w:color w:val="auto"/>
                <w:szCs w:val="24"/>
              </w:rPr>
              <w:t xml:space="preserve">  </w:t>
            </w:r>
            <w:r>
              <w:rPr>
                <w:rFonts w:hint="eastAsia" w:hAnsi="宋体" w:cs="宋体"/>
                <w:color w:val="auto"/>
                <w:szCs w:val="24"/>
                <w:lang w:eastAsia="zh-CN"/>
              </w:rPr>
              <w:t>2.二期</w:t>
            </w:r>
            <w:r>
              <w:rPr>
                <w:rFonts w:hint="eastAsia" w:hAnsi="宋体" w:cs="宋体"/>
                <w:szCs w:val="24"/>
                <w:lang w:eastAsia="zh-CN"/>
              </w:rPr>
              <w:t>：</w:t>
            </w:r>
            <w:r>
              <w:rPr>
                <w:rFonts w:hint="eastAsia" w:hAnsi="宋体" w:cs="宋体"/>
                <w:szCs w:val="24"/>
              </w:rPr>
              <w:t>周边历史街区部分50个日历天，从收到招标人书面通知和设计任务书之日起计算，至提交符合招标人要求的初步设计文件之日止（每一步设计工作，必须经招标人及有关部门审核批准后方可实施）。各阶段实施期限如下：</w:t>
            </w:r>
          </w:p>
          <w:p w14:paraId="4E5F69F8">
            <w:pPr>
              <w:pStyle w:val="56"/>
              <w:ind w:firstLine="240" w:firstLineChars="100"/>
              <w:rPr>
                <w:rFonts w:hAnsi="宋体" w:cs="宋体"/>
                <w:szCs w:val="24"/>
                <w:highlight w:val="none"/>
              </w:rPr>
            </w:pPr>
            <w:r>
              <w:rPr>
                <w:rFonts w:hint="eastAsia" w:hAnsi="宋体" w:cs="宋体"/>
                <w:szCs w:val="24"/>
                <w:highlight w:val="none"/>
              </w:rPr>
              <w:t>（1）方案设计阶段：从中标通知书发出之日起</w:t>
            </w:r>
            <w:r>
              <w:rPr>
                <w:rFonts w:hint="eastAsia" w:hAnsi="宋体" w:cs="宋体"/>
                <w:szCs w:val="24"/>
                <w:highlight w:val="none"/>
                <w:u w:val="single"/>
              </w:rPr>
              <w:t>20</w:t>
            </w:r>
            <w:r>
              <w:rPr>
                <w:rFonts w:hint="eastAsia" w:hAnsi="宋体" w:cs="宋体"/>
                <w:szCs w:val="24"/>
                <w:highlight w:val="none"/>
              </w:rPr>
              <w:t>个日历天内提交方案设计；</w:t>
            </w:r>
          </w:p>
          <w:p w14:paraId="41D8EDA4">
            <w:pPr>
              <w:ind w:firstLineChars="100"/>
              <w:rPr>
                <w:rFonts w:hAnsi="宋体" w:cs="宋体"/>
                <w:szCs w:val="24"/>
                <w:highlight w:val="none"/>
              </w:rPr>
            </w:pPr>
            <w:r>
              <w:rPr>
                <w:rFonts w:hint="eastAsia"/>
                <w:highlight w:val="none"/>
              </w:rPr>
              <w:t>（2）初步设计阶段：</w:t>
            </w:r>
            <w:r>
              <w:rPr>
                <w:rFonts w:hint="eastAsia"/>
                <w:b/>
                <w:bCs/>
                <w:color w:val="000000"/>
                <w:highlight w:val="none"/>
              </w:rPr>
              <w:t>确认方案设计文件后</w:t>
            </w:r>
            <w:r>
              <w:rPr>
                <w:rFonts w:hint="eastAsia"/>
                <w:highlight w:val="none"/>
                <w:u w:val="single"/>
                <w:lang w:val="en-US" w:eastAsia="zh-CN"/>
              </w:rPr>
              <w:t>2</w:t>
            </w:r>
            <w:r>
              <w:rPr>
                <w:rFonts w:hint="eastAsia"/>
                <w:highlight w:val="none"/>
                <w:u w:val="single"/>
              </w:rPr>
              <w:t>0</w:t>
            </w:r>
            <w:r>
              <w:rPr>
                <w:rFonts w:hint="eastAsia"/>
                <w:highlight w:val="none"/>
              </w:rPr>
              <w:t>个日历天内提交初步设计</w:t>
            </w:r>
            <w:r>
              <w:rPr>
                <w:rFonts w:hint="eastAsia" w:hAnsi="宋体" w:cs="宋体"/>
                <w:szCs w:val="24"/>
                <w:highlight w:val="none"/>
              </w:rPr>
              <w:t>文件及概算；</w:t>
            </w:r>
          </w:p>
          <w:p w14:paraId="0F46B34B">
            <w:pPr>
              <w:pStyle w:val="56"/>
              <w:numPr>
                <w:ilvl w:val="255"/>
                <w:numId w:val="0"/>
              </w:numPr>
              <w:ind w:left="276" w:leftChars="115"/>
              <w:rPr>
                <w:rFonts w:hAnsi="宋体" w:cs="宋体"/>
                <w:szCs w:val="24"/>
              </w:rPr>
            </w:pPr>
            <w:r>
              <w:rPr>
                <w:rFonts w:hint="eastAsia" w:hAnsi="宋体" w:cs="宋体"/>
                <w:szCs w:val="24"/>
                <w:highlight w:val="none"/>
              </w:rPr>
              <w:t xml:space="preserve">（3）初步设计修编：出具初步设计（含概算）修编初审意见后，     </w:t>
            </w:r>
            <w:r>
              <w:rPr>
                <w:rFonts w:hint="eastAsia" w:hAnsi="宋体" w:cs="宋体"/>
                <w:szCs w:val="24"/>
                <w:highlight w:val="none"/>
                <w:u w:val="single"/>
              </w:rPr>
              <w:t xml:space="preserve">     10</w:t>
            </w:r>
            <w:r>
              <w:rPr>
                <w:rFonts w:hint="eastAsia" w:hAnsi="宋体" w:cs="宋体"/>
                <w:szCs w:val="24"/>
                <w:highlight w:val="none"/>
              </w:rPr>
              <w:t>个日历天内完成初步设计（含概算）</w:t>
            </w:r>
            <w:r>
              <w:rPr>
                <w:rFonts w:hint="eastAsia" w:hAnsi="宋体" w:cs="宋体"/>
                <w:szCs w:val="24"/>
              </w:rPr>
              <w:t>修编，并提交招标人审核。</w:t>
            </w:r>
          </w:p>
        </w:tc>
      </w:tr>
      <w:tr w14:paraId="143F1A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10FA441">
            <w:pPr>
              <w:pStyle w:val="56"/>
              <w:numPr>
                <w:ilvl w:val="0"/>
                <w:numId w:val="2"/>
              </w:numPr>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101D2DB4">
            <w:pPr>
              <w:wordWrap w:val="0"/>
              <w:adjustRightInd w:val="0"/>
              <w:snapToGrid w:val="0"/>
              <w:spacing w:line="360" w:lineRule="exact"/>
              <w:jc w:val="center"/>
            </w:pPr>
            <w:r>
              <w:rPr>
                <w:rFonts w:hint="eastAsia"/>
              </w:rPr>
              <w:t>房屋建筑工程</w:t>
            </w:r>
          </w:p>
          <w:p w14:paraId="4A6F0EEF">
            <w:pPr>
              <w:wordWrap w:val="0"/>
              <w:adjustRightInd w:val="0"/>
              <w:snapToGrid w:val="0"/>
              <w:spacing w:line="380" w:lineRule="exact"/>
              <w:jc w:val="center"/>
            </w:pPr>
            <w:r>
              <w:rPr>
                <w:rFonts w:hint="eastAsia"/>
              </w:rPr>
              <w:t>绿色建筑标准</w:t>
            </w:r>
          </w:p>
        </w:tc>
        <w:tc>
          <w:tcPr>
            <w:tcW w:w="6861" w:type="dxa"/>
            <w:tcBorders>
              <w:top w:val="single" w:color="auto" w:sz="4" w:space="0"/>
              <w:left w:val="single" w:color="auto" w:sz="4" w:space="0"/>
              <w:bottom w:val="single" w:color="auto" w:sz="4" w:space="0"/>
              <w:right w:val="single" w:color="auto" w:sz="4" w:space="0"/>
            </w:tcBorders>
            <w:vAlign w:val="center"/>
          </w:tcPr>
          <w:p w14:paraId="219CB7AD">
            <w:pPr>
              <w:wordWrap w:val="0"/>
              <w:adjustRightInd w:val="0"/>
              <w:snapToGrid w:val="0"/>
              <w:spacing w:line="380" w:lineRule="exact"/>
              <w:ind w:firstLine="240" w:firstLineChars="100"/>
            </w:pPr>
            <w:r>
              <w:rPr>
                <w:rFonts w:hint="eastAsia"/>
              </w:rPr>
              <w:t>本招标项目纳入绿色建设实施范围，要求达到《绿色建筑评价标准》</w:t>
            </w:r>
            <w:r>
              <w:rPr>
                <w:rFonts w:hint="eastAsia"/>
                <w:lang w:eastAsia="zh-CN"/>
              </w:rPr>
              <w:t>（GB/T 50378-2019[2024年局部修订]</w:t>
            </w:r>
            <w:r>
              <w:rPr>
                <w:rFonts w:hint="eastAsia"/>
              </w:rPr>
              <w:t>）规定的二星级标准。</w:t>
            </w:r>
          </w:p>
        </w:tc>
      </w:tr>
      <w:tr w14:paraId="4693CD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3F9B178">
            <w:pPr>
              <w:pStyle w:val="56"/>
              <w:numPr>
                <w:ilvl w:val="0"/>
                <w:numId w:val="2"/>
              </w:numPr>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2D1A3697">
            <w:pPr>
              <w:pStyle w:val="56"/>
              <w:spacing w:line="400" w:lineRule="exact"/>
              <w:jc w:val="center"/>
              <w:rPr>
                <w:rFonts w:hAnsi="宋体" w:cs="宋体"/>
                <w:szCs w:val="24"/>
              </w:rPr>
            </w:pPr>
            <w:r>
              <w:rPr>
                <w:rFonts w:hint="eastAsia" w:hAnsi="宋体" w:cs="宋体"/>
                <w:szCs w:val="24"/>
              </w:rPr>
              <w:t>最高投标限价</w:t>
            </w:r>
          </w:p>
        </w:tc>
        <w:tc>
          <w:tcPr>
            <w:tcW w:w="6861" w:type="dxa"/>
            <w:tcBorders>
              <w:top w:val="single" w:color="auto" w:sz="4" w:space="0"/>
              <w:left w:val="single" w:color="auto" w:sz="4" w:space="0"/>
              <w:bottom w:val="single" w:color="auto" w:sz="4" w:space="0"/>
              <w:right w:val="single" w:color="auto" w:sz="4" w:space="0"/>
            </w:tcBorders>
            <w:vAlign w:val="center"/>
          </w:tcPr>
          <w:p w14:paraId="61AD0B35">
            <w:pPr>
              <w:pStyle w:val="56"/>
              <w:spacing w:line="400" w:lineRule="exact"/>
              <w:ind w:firstLine="240" w:firstLineChars="100"/>
              <w:rPr>
                <w:rFonts w:hAnsi="宋体" w:cs="宋体"/>
                <w:szCs w:val="24"/>
              </w:rPr>
            </w:pPr>
            <w:r>
              <w:rPr>
                <w:rFonts w:hint="eastAsia" w:hAnsi="宋体" w:cs="宋体"/>
                <w:bCs/>
                <w:szCs w:val="24"/>
              </w:rPr>
              <w:t>详见招标文件“9、最高投标限价的确定及投标报价的约定”</w:t>
            </w:r>
          </w:p>
        </w:tc>
      </w:tr>
      <w:tr w14:paraId="7BD37E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2F43E650">
            <w:pPr>
              <w:pStyle w:val="56"/>
              <w:numPr>
                <w:ilvl w:val="0"/>
                <w:numId w:val="2"/>
              </w:numPr>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5AE76294">
            <w:pPr>
              <w:pStyle w:val="56"/>
              <w:spacing w:line="400" w:lineRule="exact"/>
              <w:jc w:val="center"/>
              <w:rPr>
                <w:rFonts w:hAnsi="宋体" w:cs="宋体"/>
                <w:szCs w:val="24"/>
              </w:rPr>
            </w:pPr>
            <w:r>
              <w:rPr>
                <w:rFonts w:hint="eastAsia" w:hAnsi="宋体" w:cs="宋体"/>
                <w:szCs w:val="24"/>
              </w:rPr>
              <w:t>质量标准</w:t>
            </w:r>
          </w:p>
        </w:tc>
        <w:tc>
          <w:tcPr>
            <w:tcW w:w="6861" w:type="dxa"/>
            <w:tcBorders>
              <w:top w:val="single" w:color="auto" w:sz="4" w:space="0"/>
              <w:left w:val="single" w:color="auto" w:sz="4" w:space="0"/>
              <w:bottom w:val="single" w:color="auto" w:sz="4" w:space="0"/>
              <w:right w:val="single" w:color="auto" w:sz="4" w:space="0"/>
            </w:tcBorders>
            <w:vAlign w:val="center"/>
          </w:tcPr>
          <w:p w14:paraId="79BDA799">
            <w:pPr>
              <w:pStyle w:val="56"/>
              <w:spacing w:line="400" w:lineRule="exact"/>
              <w:ind w:firstLine="240" w:firstLineChars="100"/>
              <w:rPr>
                <w:rFonts w:hAnsi="宋体" w:cs="宋体"/>
                <w:szCs w:val="24"/>
              </w:rPr>
            </w:pPr>
            <w:r>
              <w:rPr>
                <w:rFonts w:hint="eastAsia" w:hAnsi="宋体" w:cs="宋体"/>
                <w:kern w:val="0"/>
                <w:szCs w:val="24"/>
              </w:rPr>
              <w:t>设计要求：符合国家及地方现行有效的有关设计规范、标准、规定等；必须经有关部门或招标人组织的专家评审通过。</w:t>
            </w:r>
          </w:p>
        </w:tc>
      </w:tr>
      <w:tr w14:paraId="42DF5B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BADF5D3">
            <w:pPr>
              <w:pStyle w:val="56"/>
              <w:numPr>
                <w:ilvl w:val="0"/>
                <w:numId w:val="2"/>
              </w:numPr>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5BBC8BEC">
            <w:pPr>
              <w:snapToGrid w:val="0"/>
              <w:spacing w:line="400" w:lineRule="exact"/>
              <w:jc w:val="center"/>
            </w:pPr>
            <w:r>
              <w:rPr>
                <w:rFonts w:hint="eastAsia"/>
              </w:rPr>
              <w:t>投标人资质</w:t>
            </w:r>
          </w:p>
          <w:p w14:paraId="6B50C8B4">
            <w:pPr>
              <w:pStyle w:val="56"/>
              <w:spacing w:line="400" w:lineRule="exact"/>
              <w:jc w:val="center"/>
              <w:rPr>
                <w:rFonts w:hAnsi="宋体" w:cs="宋体"/>
                <w:szCs w:val="24"/>
              </w:rPr>
            </w:pPr>
            <w:r>
              <w:rPr>
                <w:rFonts w:hint="eastAsia" w:hAnsi="宋体" w:cs="宋体"/>
                <w:szCs w:val="24"/>
              </w:rPr>
              <w:t>及条件要求</w:t>
            </w:r>
          </w:p>
        </w:tc>
        <w:tc>
          <w:tcPr>
            <w:tcW w:w="6861" w:type="dxa"/>
            <w:tcBorders>
              <w:top w:val="single" w:color="auto" w:sz="4" w:space="0"/>
              <w:left w:val="single" w:color="auto" w:sz="4" w:space="0"/>
              <w:bottom w:val="single" w:color="auto" w:sz="4" w:space="0"/>
              <w:right w:val="single" w:color="auto" w:sz="4" w:space="0"/>
            </w:tcBorders>
            <w:vAlign w:val="center"/>
          </w:tcPr>
          <w:p w14:paraId="153097C8">
            <w:pPr>
              <w:adjustRightInd w:val="0"/>
              <w:snapToGrid w:val="0"/>
              <w:spacing w:line="380" w:lineRule="exact"/>
              <w:ind w:firstLine="420" w:firstLineChars="175"/>
            </w:pPr>
            <w:r>
              <w:rPr>
                <w:rFonts w:hint="eastAsia"/>
              </w:rPr>
              <w:t>投标人必须具备以下资质及条件：</w:t>
            </w:r>
          </w:p>
          <w:p w14:paraId="28F75E5D">
            <w:pPr>
              <w:adjustRightInd w:val="0"/>
              <w:snapToGrid w:val="0"/>
              <w:spacing w:line="380" w:lineRule="exact"/>
              <w:ind w:firstLine="420" w:firstLineChars="175"/>
            </w:pPr>
            <w:r>
              <w:rPr>
                <w:rFonts w:hint="eastAsia"/>
                <w:lang w:eastAsia="zh-CN"/>
              </w:rPr>
              <w:t>1.</w:t>
            </w:r>
            <w:r>
              <w:rPr>
                <w:rFonts w:hint="eastAsia"/>
              </w:rPr>
              <w:t>本次招标接受联合体投标</w:t>
            </w:r>
          </w:p>
          <w:p w14:paraId="7AB0758A">
            <w:pPr>
              <w:adjustRightInd w:val="0"/>
              <w:snapToGrid w:val="0"/>
              <w:spacing w:line="380" w:lineRule="exact"/>
              <w:ind w:firstLine="420" w:firstLineChars="175"/>
            </w:pPr>
            <w:r>
              <w:rPr>
                <w:rFonts w:hint="eastAsia"/>
              </w:rPr>
              <w:t>1.1 联合体成员数量不超过</w:t>
            </w:r>
            <w:r>
              <w:rPr>
                <w:rFonts w:hint="eastAsia"/>
                <w:color w:val="auto"/>
                <w:lang w:val="en-US" w:eastAsia="zh-CN"/>
              </w:rPr>
              <w:t>2</w:t>
            </w:r>
            <w:r>
              <w:rPr>
                <w:rFonts w:hint="eastAsia"/>
                <w:color w:val="auto"/>
              </w:rPr>
              <w:t>个</w:t>
            </w:r>
            <w:r>
              <w:rPr>
                <w:rFonts w:hint="eastAsia"/>
              </w:rPr>
              <w:t>。</w:t>
            </w:r>
          </w:p>
          <w:p w14:paraId="5E9A1901">
            <w:pPr>
              <w:adjustRightInd w:val="0"/>
              <w:snapToGrid w:val="0"/>
              <w:spacing w:line="380" w:lineRule="exact"/>
              <w:ind w:firstLine="420" w:firstLineChars="175"/>
            </w:pPr>
            <w:r>
              <w:rPr>
                <w:rFonts w:hint="eastAsia"/>
              </w:rPr>
              <w:t>1.2 联合体各方应按招标文件提供的格式签订联合体协议书，明确联合体牵头人和各方权利义务，并承诺就中标项目向招标人承担连带责任。《联合体协议书》作为投标文件的组成部分向招标人提交。</w:t>
            </w:r>
          </w:p>
          <w:p w14:paraId="58BE2E87">
            <w:pPr>
              <w:adjustRightInd w:val="0"/>
              <w:snapToGrid w:val="0"/>
              <w:spacing w:line="380" w:lineRule="exact"/>
              <w:ind w:firstLine="420" w:firstLineChars="175"/>
            </w:pPr>
            <w:r>
              <w:rPr>
                <w:rFonts w:hint="eastAsia"/>
              </w:rPr>
              <w:t>1.3 联合体成员单位均应具备拟承担的工作内容（以《联合体协议书》的约定为准）所规定的资格条件。若同一工作内容由两个单位共同承担，该项工作内容按照资质等级较低的单位确定联合体资质等级。</w:t>
            </w:r>
          </w:p>
          <w:p w14:paraId="130BD1DA">
            <w:pPr>
              <w:adjustRightInd w:val="0"/>
              <w:snapToGrid w:val="0"/>
              <w:spacing w:line="380" w:lineRule="exact"/>
              <w:ind w:firstLine="420" w:firstLineChars="175"/>
            </w:pPr>
            <w:r>
              <w:rPr>
                <w:rFonts w:hint="eastAsia"/>
              </w:rPr>
              <w:t>1.4 联合体各方不得再以自己名义单独或参加其他联合体在本招标项目中投标，否则各相关投标均无效。</w:t>
            </w:r>
          </w:p>
          <w:p w14:paraId="477E65BF">
            <w:pPr>
              <w:adjustRightInd w:val="0"/>
              <w:snapToGrid w:val="0"/>
              <w:spacing w:line="380" w:lineRule="exact"/>
              <w:ind w:firstLine="420" w:firstLineChars="175"/>
            </w:pPr>
            <w:r>
              <w:rPr>
                <w:rFonts w:hint="eastAsia"/>
              </w:rPr>
              <w:t>2.资质要求</w:t>
            </w:r>
          </w:p>
          <w:p w14:paraId="729C6D20">
            <w:pPr>
              <w:adjustRightInd w:val="0"/>
              <w:snapToGrid w:val="0"/>
              <w:spacing w:line="380" w:lineRule="exact"/>
              <w:ind w:firstLine="480" w:firstLineChars="200"/>
              <w:rPr>
                <w:rFonts w:hint="eastAsia"/>
                <w:color w:val="auto"/>
              </w:rPr>
            </w:pPr>
            <w:r>
              <w:rPr>
                <w:rFonts w:hint="eastAsia"/>
                <w:color w:val="auto"/>
              </w:rPr>
              <w:t>2.1参加投标的投标人可以是单一独立法人或由不超过</w:t>
            </w:r>
            <w:r>
              <w:rPr>
                <w:rFonts w:hint="eastAsia"/>
                <w:color w:val="auto"/>
                <w:lang w:val="en-US" w:eastAsia="zh-CN"/>
              </w:rPr>
              <w:t>2</w:t>
            </w:r>
            <w:r>
              <w:rPr>
                <w:rFonts w:hint="eastAsia"/>
                <w:color w:val="auto"/>
              </w:rPr>
              <w:t>家独立法人组成的联合体（必须注明其中一家为牵头人），联合体各方不得再以自己的名义单独申请，也不得同时参加两个或两个以上的联合体进行本项目的投标。单一独立法人必须至少同时具备以下①或②+③资质，组成联合体投标的，</w:t>
            </w:r>
            <w:r>
              <w:rPr>
                <w:rFonts w:hint="eastAsia"/>
                <w:color w:val="auto"/>
                <w:lang w:eastAsia="zh-CN"/>
              </w:rPr>
              <w:t>联合体</w:t>
            </w:r>
            <w:r>
              <w:rPr>
                <w:rFonts w:hint="eastAsia"/>
                <w:color w:val="auto"/>
              </w:rPr>
              <w:t>必须至少具备以下①或②+③资质：</w:t>
            </w:r>
          </w:p>
          <w:p w14:paraId="6418062E">
            <w:pPr>
              <w:adjustRightInd w:val="0"/>
              <w:snapToGrid w:val="0"/>
              <w:spacing w:line="380" w:lineRule="exact"/>
              <w:ind w:firstLine="480" w:firstLineChars="200"/>
              <w:rPr>
                <w:rFonts w:hint="eastAsia"/>
                <w:color w:val="auto"/>
              </w:rPr>
            </w:pPr>
            <w:r>
              <w:rPr>
                <w:rFonts w:hint="eastAsia"/>
                <w:color w:val="auto"/>
              </w:rPr>
              <w:t>①工程设计综合甲级资质</w:t>
            </w:r>
          </w:p>
          <w:p w14:paraId="41448219">
            <w:pPr>
              <w:adjustRightInd w:val="0"/>
              <w:snapToGrid w:val="0"/>
              <w:spacing w:line="380" w:lineRule="exact"/>
              <w:ind w:firstLine="480" w:firstLineChars="200"/>
              <w:rPr>
                <w:rFonts w:hint="eastAsia"/>
                <w:color w:val="auto"/>
              </w:rPr>
            </w:pPr>
            <w:r>
              <w:rPr>
                <w:rFonts w:hint="eastAsia"/>
                <w:color w:val="auto"/>
              </w:rPr>
              <w:t>②必须具备以下资质之一：</w:t>
            </w:r>
          </w:p>
          <w:p w14:paraId="3ADEF110">
            <w:pPr>
              <w:adjustRightInd w:val="0"/>
              <w:snapToGrid w:val="0"/>
              <w:spacing w:line="380" w:lineRule="exact"/>
              <w:ind w:firstLine="480" w:firstLineChars="200"/>
              <w:rPr>
                <w:rFonts w:hint="eastAsia"/>
                <w:color w:val="auto"/>
              </w:rPr>
            </w:pPr>
            <w:r>
              <w:rPr>
                <w:rFonts w:hint="eastAsia"/>
                <w:color w:val="auto"/>
              </w:rPr>
              <w:t>a工程设计建筑行业甲级资质；</w:t>
            </w:r>
          </w:p>
          <w:p w14:paraId="31DEC502">
            <w:pPr>
              <w:adjustRightInd w:val="0"/>
              <w:snapToGrid w:val="0"/>
              <w:spacing w:line="380" w:lineRule="exact"/>
              <w:ind w:firstLine="480" w:firstLineChars="200"/>
              <w:rPr>
                <w:rFonts w:hint="eastAsia"/>
                <w:color w:val="auto"/>
              </w:rPr>
            </w:pPr>
            <w:r>
              <w:rPr>
                <w:rFonts w:hint="eastAsia"/>
                <w:color w:val="auto"/>
              </w:rPr>
              <w:t>b工程设计建筑行业</w:t>
            </w:r>
            <w:r>
              <w:rPr>
                <w:rFonts w:hint="eastAsia"/>
                <w:color w:val="auto"/>
                <w:lang w:eastAsia="zh-CN"/>
              </w:rPr>
              <w:t>（</w:t>
            </w:r>
            <w:r>
              <w:rPr>
                <w:rFonts w:hint="eastAsia"/>
                <w:color w:val="auto"/>
              </w:rPr>
              <w:t>建筑工程</w:t>
            </w:r>
            <w:r>
              <w:rPr>
                <w:rFonts w:hint="eastAsia"/>
                <w:color w:val="auto"/>
                <w:lang w:eastAsia="zh-CN"/>
              </w:rPr>
              <w:t>）</w:t>
            </w:r>
            <w:r>
              <w:rPr>
                <w:rFonts w:hint="eastAsia"/>
                <w:color w:val="auto"/>
              </w:rPr>
              <w:t>专业甲级资质；</w:t>
            </w:r>
          </w:p>
          <w:p w14:paraId="60FF2B08">
            <w:pPr>
              <w:adjustRightInd w:val="0"/>
              <w:snapToGrid w:val="0"/>
              <w:spacing w:line="380" w:lineRule="exact"/>
              <w:ind w:firstLine="480" w:firstLineChars="200"/>
              <w:rPr>
                <w:rFonts w:hint="eastAsia"/>
                <w:color w:val="auto"/>
              </w:rPr>
            </w:pPr>
            <w:r>
              <w:rPr>
                <w:rFonts w:hint="eastAsia"/>
                <w:color w:val="auto"/>
              </w:rPr>
              <w:t>③风景园林工程设计甲级资质；</w:t>
            </w:r>
          </w:p>
          <w:p w14:paraId="3565DD3E">
            <w:pPr>
              <w:adjustRightInd w:val="0"/>
              <w:snapToGrid w:val="0"/>
              <w:spacing w:line="380" w:lineRule="exact"/>
              <w:ind w:firstLine="420" w:firstLineChars="175"/>
            </w:pPr>
            <w:r>
              <w:rPr>
                <w:rFonts w:hint="eastAsia"/>
                <w:lang w:eastAsia="zh-CN"/>
              </w:rPr>
              <w:t>2.2 根据</w:t>
            </w:r>
            <w:r>
              <w:rPr>
                <w:rFonts w:hint="eastAsia"/>
              </w:rPr>
              <w:t>有关文件精神，投标人的企业相关证书、人员资质、资格有效期到期的，均按该证书的发证机构相关行业主管部门最新文件执行（如自动顺延或推迟办理延期业务的通知），投标人必须将相关文件附在该证书</w:t>
            </w:r>
            <w:r>
              <w:rPr>
                <w:rFonts w:hint="eastAsia"/>
                <w:lang w:eastAsia="zh-CN"/>
              </w:rPr>
              <w:t>后面</w:t>
            </w:r>
            <w:r>
              <w:rPr>
                <w:rFonts w:hint="eastAsia"/>
              </w:rPr>
              <w:t>，证明在开标日继续有效的。</w:t>
            </w:r>
          </w:p>
          <w:p w14:paraId="1FE55D1B">
            <w:pPr>
              <w:adjustRightInd w:val="0"/>
              <w:snapToGrid w:val="0"/>
              <w:spacing w:line="380" w:lineRule="exact"/>
              <w:ind w:firstLine="420" w:firstLineChars="175"/>
            </w:pPr>
            <w:r>
              <w:rPr>
                <w:rFonts w:hint="eastAsia"/>
              </w:rPr>
              <w:t>3.相关人员要求</w:t>
            </w:r>
          </w:p>
          <w:p w14:paraId="3D319685">
            <w:pPr>
              <w:adjustRightInd w:val="0"/>
              <w:snapToGrid w:val="0"/>
              <w:spacing w:line="380" w:lineRule="exact"/>
              <w:ind w:firstLine="420" w:firstLineChars="175"/>
            </w:pPr>
            <w:r>
              <w:rPr>
                <w:rFonts w:hint="eastAsia"/>
              </w:rPr>
              <w:t>3.1委派担任本招标项目的项目负责人（即设计负责人）须具有一级注册建筑师注册证书。</w:t>
            </w:r>
          </w:p>
          <w:p w14:paraId="3268519F">
            <w:pPr>
              <w:pStyle w:val="76"/>
              <w:widowControl/>
              <w:adjustRightInd w:val="0"/>
              <w:snapToGrid w:val="0"/>
              <w:spacing w:line="380" w:lineRule="exact"/>
              <w:ind w:firstLine="480" w:firstLineChars="200"/>
              <w:jc w:val="left"/>
              <w:rPr>
                <w:rFonts w:ascii="宋体" w:hAnsi="宋体" w:cs="宋体"/>
                <w:kern w:val="0"/>
                <w:sz w:val="24"/>
              </w:rPr>
            </w:pPr>
            <w:r>
              <w:rPr>
                <w:rFonts w:hint="eastAsia" w:ascii="宋体" w:hAnsi="宋体" w:cs="宋体"/>
                <w:kern w:val="0"/>
                <w:sz w:val="24"/>
              </w:rPr>
              <w:t>4.禁止投标条款</w:t>
            </w:r>
          </w:p>
          <w:p w14:paraId="67100A6A">
            <w:pPr>
              <w:pStyle w:val="76"/>
              <w:widowControl/>
              <w:adjustRightInd w:val="0"/>
              <w:snapToGrid w:val="0"/>
              <w:spacing w:line="380" w:lineRule="exact"/>
              <w:ind w:firstLine="480" w:firstLineChars="200"/>
              <w:jc w:val="left"/>
              <w:rPr>
                <w:rFonts w:ascii="宋体" w:hAnsi="宋体" w:cs="宋体"/>
                <w:kern w:val="0"/>
                <w:sz w:val="24"/>
              </w:rPr>
            </w:pPr>
            <w:r>
              <w:rPr>
                <w:rFonts w:hint="eastAsia" w:ascii="宋体" w:hAnsi="宋体" w:cs="宋体"/>
                <w:kern w:val="0"/>
                <w:sz w:val="24"/>
              </w:rPr>
              <w:t>4.1 投标人不得存在下列情形之一：</w:t>
            </w:r>
          </w:p>
          <w:p w14:paraId="6D6C738D">
            <w:pPr>
              <w:pStyle w:val="76"/>
              <w:widowControl/>
              <w:adjustRightInd w:val="0"/>
              <w:snapToGrid w:val="0"/>
              <w:spacing w:line="380" w:lineRule="exact"/>
              <w:ind w:firstLine="480" w:firstLineChars="200"/>
              <w:jc w:val="left"/>
              <w:rPr>
                <w:rFonts w:ascii="宋体" w:hAnsi="宋体" w:cs="宋体"/>
                <w:kern w:val="0"/>
                <w:sz w:val="24"/>
              </w:rPr>
            </w:pPr>
            <w:r>
              <w:rPr>
                <w:rFonts w:hint="eastAsia" w:ascii="宋体" w:hAnsi="宋体" w:cs="宋体"/>
                <w:kern w:val="0"/>
                <w:sz w:val="24"/>
              </w:rPr>
              <w:t>（1）为招标人不具有独立法人资格的附属机构（单位）；</w:t>
            </w:r>
          </w:p>
          <w:p w14:paraId="7499C967">
            <w:pPr>
              <w:pStyle w:val="76"/>
              <w:widowControl/>
              <w:adjustRightInd w:val="0"/>
              <w:snapToGrid w:val="0"/>
              <w:spacing w:line="380" w:lineRule="exact"/>
              <w:ind w:firstLine="480" w:firstLineChars="200"/>
              <w:jc w:val="left"/>
              <w:rPr>
                <w:rFonts w:ascii="宋体" w:hAnsi="宋体" w:cs="宋体"/>
                <w:kern w:val="0"/>
                <w:sz w:val="24"/>
              </w:rPr>
            </w:pPr>
            <w:r>
              <w:rPr>
                <w:rFonts w:hint="eastAsia" w:ascii="宋体" w:hAnsi="宋体" w:cs="宋体"/>
                <w:kern w:val="0"/>
                <w:sz w:val="24"/>
              </w:rPr>
              <w:t>（2）与招标人存在利害关系且可能影响招标公正性；</w:t>
            </w:r>
          </w:p>
          <w:p w14:paraId="4AD064E3">
            <w:pPr>
              <w:pStyle w:val="76"/>
              <w:widowControl/>
              <w:adjustRightInd w:val="0"/>
              <w:snapToGrid w:val="0"/>
              <w:spacing w:line="380" w:lineRule="exact"/>
              <w:ind w:firstLine="480" w:firstLineChars="200"/>
              <w:jc w:val="left"/>
              <w:rPr>
                <w:rFonts w:ascii="宋体" w:hAnsi="宋体" w:cs="宋体"/>
                <w:kern w:val="0"/>
                <w:sz w:val="24"/>
              </w:rPr>
            </w:pPr>
            <w:r>
              <w:rPr>
                <w:rFonts w:hint="eastAsia" w:ascii="宋体" w:hAnsi="宋体" w:cs="宋体"/>
                <w:kern w:val="0"/>
                <w:sz w:val="24"/>
              </w:rPr>
              <w:t>（3）与本招标项目的其他投标人为同一个单位负责人；</w:t>
            </w:r>
          </w:p>
          <w:p w14:paraId="37BB24AB">
            <w:pPr>
              <w:pStyle w:val="76"/>
              <w:widowControl/>
              <w:adjustRightInd w:val="0"/>
              <w:snapToGrid w:val="0"/>
              <w:spacing w:line="380" w:lineRule="exact"/>
              <w:ind w:firstLine="480" w:firstLineChars="200"/>
              <w:jc w:val="left"/>
              <w:rPr>
                <w:rFonts w:ascii="宋体" w:hAnsi="宋体" w:cs="宋体"/>
                <w:kern w:val="0"/>
                <w:sz w:val="24"/>
              </w:rPr>
            </w:pPr>
            <w:r>
              <w:rPr>
                <w:rFonts w:hint="eastAsia" w:ascii="宋体" w:hAnsi="宋体" w:cs="宋体"/>
                <w:kern w:val="0"/>
                <w:sz w:val="24"/>
              </w:rPr>
              <w:t>（4）与本招标项目的其他投标人存在控股、管理关系；</w:t>
            </w:r>
          </w:p>
          <w:p w14:paraId="217A838C">
            <w:pPr>
              <w:pStyle w:val="76"/>
              <w:widowControl/>
              <w:adjustRightInd w:val="0"/>
              <w:snapToGrid w:val="0"/>
              <w:spacing w:line="380" w:lineRule="exact"/>
              <w:ind w:firstLine="480" w:firstLineChars="200"/>
              <w:jc w:val="left"/>
              <w:rPr>
                <w:rFonts w:ascii="宋体" w:hAnsi="宋体" w:cs="宋体"/>
                <w:kern w:val="0"/>
                <w:sz w:val="24"/>
              </w:rPr>
            </w:pPr>
            <w:r>
              <w:rPr>
                <w:rFonts w:hint="eastAsia" w:ascii="宋体" w:hAnsi="宋体" w:cs="宋体"/>
                <w:kern w:val="0"/>
                <w:sz w:val="24"/>
              </w:rPr>
              <w:t>（5）为本招标项目的代建人；</w:t>
            </w:r>
          </w:p>
          <w:p w14:paraId="74155A03">
            <w:pPr>
              <w:pStyle w:val="76"/>
              <w:widowControl/>
              <w:adjustRightInd w:val="0"/>
              <w:snapToGrid w:val="0"/>
              <w:spacing w:line="380" w:lineRule="exact"/>
              <w:ind w:firstLine="480" w:firstLineChars="200"/>
              <w:jc w:val="left"/>
              <w:rPr>
                <w:rFonts w:ascii="宋体" w:hAnsi="宋体" w:cs="宋体"/>
                <w:kern w:val="0"/>
                <w:sz w:val="24"/>
              </w:rPr>
            </w:pPr>
            <w:r>
              <w:rPr>
                <w:rFonts w:hint="eastAsia" w:ascii="宋体" w:hAnsi="宋体" w:cs="宋体"/>
                <w:kern w:val="0"/>
                <w:sz w:val="24"/>
              </w:rPr>
              <w:t>（6）为本招标项目的招标代理机构；</w:t>
            </w:r>
          </w:p>
          <w:p w14:paraId="722B2238">
            <w:pPr>
              <w:pStyle w:val="76"/>
              <w:widowControl/>
              <w:adjustRightInd w:val="0"/>
              <w:snapToGrid w:val="0"/>
              <w:spacing w:line="380" w:lineRule="exact"/>
              <w:ind w:firstLine="480" w:firstLineChars="200"/>
              <w:jc w:val="left"/>
              <w:rPr>
                <w:rFonts w:ascii="宋体" w:hAnsi="宋体" w:cs="宋体"/>
                <w:kern w:val="0"/>
                <w:sz w:val="24"/>
              </w:rPr>
            </w:pPr>
            <w:r>
              <w:rPr>
                <w:rFonts w:hint="eastAsia" w:ascii="宋体" w:hAnsi="宋体" w:cs="宋体"/>
                <w:kern w:val="0"/>
                <w:sz w:val="24"/>
              </w:rPr>
              <w:t>（7）与本招标项目的代建人或招标代理机构同为一个法定代表人；</w:t>
            </w:r>
          </w:p>
          <w:p w14:paraId="7BCCA538">
            <w:pPr>
              <w:pStyle w:val="76"/>
              <w:widowControl/>
              <w:adjustRightInd w:val="0"/>
              <w:snapToGrid w:val="0"/>
              <w:spacing w:line="380" w:lineRule="exact"/>
              <w:ind w:firstLine="480" w:firstLineChars="200"/>
              <w:jc w:val="left"/>
              <w:rPr>
                <w:rFonts w:ascii="宋体" w:hAnsi="宋体" w:cs="宋体"/>
                <w:kern w:val="0"/>
                <w:sz w:val="24"/>
              </w:rPr>
            </w:pPr>
            <w:r>
              <w:rPr>
                <w:rFonts w:hint="eastAsia" w:ascii="宋体" w:hAnsi="宋体" w:cs="宋体"/>
                <w:kern w:val="0"/>
                <w:sz w:val="24"/>
              </w:rPr>
              <w:t>（8）与本招标项目的代建人或招标代理机构存在控股或参股关系；</w:t>
            </w:r>
          </w:p>
          <w:p w14:paraId="74EB3E51">
            <w:pPr>
              <w:pStyle w:val="76"/>
              <w:widowControl/>
              <w:adjustRightInd w:val="0"/>
              <w:snapToGrid w:val="0"/>
              <w:spacing w:line="380" w:lineRule="exact"/>
              <w:ind w:firstLine="480" w:firstLineChars="200"/>
              <w:jc w:val="left"/>
              <w:rPr>
                <w:rFonts w:ascii="宋体" w:hAnsi="宋体" w:cs="宋体"/>
                <w:kern w:val="0"/>
                <w:sz w:val="24"/>
              </w:rPr>
            </w:pPr>
            <w:r>
              <w:rPr>
                <w:rFonts w:hint="eastAsia" w:ascii="宋体" w:hAnsi="宋体" w:cs="宋体"/>
                <w:kern w:val="0"/>
                <w:sz w:val="24"/>
              </w:rPr>
              <w:t>（9）与本招标项目的代建人或招标代理机构存在相互任职或工作关系；</w:t>
            </w:r>
          </w:p>
          <w:p w14:paraId="7FC295B2">
            <w:pPr>
              <w:pStyle w:val="76"/>
              <w:widowControl/>
              <w:adjustRightInd w:val="0"/>
              <w:snapToGrid w:val="0"/>
              <w:spacing w:line="380" w:lineRule="exact"/>
              <w:ind w:firstLine="480" w:firstLineChars="200"/>
              <w:jc w:val="left"/>
              <w:rPr>
                <w:rFonts w:ascii="宋体" w:hAnsi="宋体" w:cs="宋体"/>
                <w:kern w:val="0"/>
                <w:sz w:val="24"/>
              </w:rPr>
            </w:pPr>
            <w:r>
              <w:rPr>
                <w:rFonts w:hint="eastAsia" w:ascii="宋体" w:hAnsi="宋体" w:cs="宋体"/>
                <w:kern w:val="0"/>
                <w:sz w:val="24"/>
              </w:rPr>
              <w:t>（10）被依法暂停或者取消投标资格；</w:t>
            </w:r>
          </w:p>
          <w:p w14:paraId="66F5B9A2">
            <w:pPr>
              <w:pStyle w:val="76"/>
              <w:widowControl/>
              <w:adjustRightInd w:val="0"/>
              <w:snapToGrid w:val="0"/>
              <w:spacing w:line="380" w:lineRule="exact"/>
              <w:ind w:firstLine="480" w:firstLineChars="200"/>
              <w:jc w:val="left"/>
              <w:rPr>
                <w:rFonts w:ascii="宋体" w:hAnsi="宋体" w:cs="宋体"/>
                <w:kern w:val="0"/>
                <w:sz w:val="24"/>
              </w:rPr>
            </w:pPr>
            <w:r>
              <w:rPr>
                <w:rFonts w:hint="eastAsia" w:ascii="宋体" w:hAnsi="宋体" w:cs="宋体"/>
                <w:kern w:val="0"/>
                <w:sz w:val="24"/>
              </w:rPr>
              <w:t>（11）被责令停产停业、暂扣或者吊销许可证、暂扣或者吊销执照；</w:t>
            </w:r>
          </w:p>
          <w:p w14:paraId="7BDF724F">
            <w:pPr>
              <w:pStyle w:val="76"/>
              <w:widowControl/>
              <w:adjustRightInd w:val="0"/>
              <w:snapToGrid w:val="0"/>
              <w:spacing w:line="380" w:lineRule="exact"/>
              <w:ind w:firstLine="480" w:firstLineChars="200"/>
              <w:jc w:val="left"/>
              <w:rPr>
                <w:rFonts w:ascii="宋体" w:hAnsi="宋体" w:cs="宋体"/>
                <w:kern w:val="0"/>
                <w:sz w:val="24"/>
              </w:rPr>
            </w:pPr>
            <w:r>
              <w:rPr>
                <w:rFonts w:hint="eastAsia" w:ascii="宋体" w:hAnsi="宋体" w:cs="宋体"/>
                <w:kern w:val="0"/>
                <w:sz w:val="24"/>
              </w:rPr>
              <w:t>（12）进入清算程序，或被宣告破产，或其他丧失履约能力的情形；</w:t>
            </w:r>
          </w:p>
          <w:p w14:paraId="46314792">
            <w:pPr>
              <w:pStyle w:val="76"/>
              <w:widowControl/>
              <w:adjustRightInd w:val="0"/>
              <w:snapToGrid w:val="0"/>
              <w:spacing w:line="380" w:lineRule="exact"/>
              <w:ind w:firstLine="480" w:firstLineChars="200"/>
              <w:jc w:val="left"/>
              <w:rPr>
                <w:rFonts w:ascii="宋体" w:hAnsi="宋体" w:cs="宋体"/>
                <w:kern w:val="0"/>
                <w:sz w:val="24"/>
              </w:rPr>
            </w:pPr>
            <w:r>
              <w:rPr>
                <w:rFonts w:hint="eastAsia" w:ascii="宋体" w:hAnsi="宋体" w:cs="宋体"/>
                <w:kern w:val="0"/>
                <w:sz w:val="24"/>
              </w:rPr>
              <w:t>（13）在最近三年内发生重大工程质量或安全问题（以相关行业主管部门的行政处罚决定或司法机关出具的有关法律文书为准）；</w:t>
            </w:r>
          </w:p>
          <w:p w14:paraId="6B938414">
            <w:pPr>
              <w:pStyle w:val="76"/>
              <w:widowControl/>
              <w:adjustRightInd w:val="0"/>
              <w:snapToGrid w:val="0"/>
              <w:spacing w:line="380" w:lineRule="exact"/>
              <w:ind w:firstLine="480" w:firstLineChars="200"/>
              <w:jc w:val="left"/>
              <w:rPr>
                <w:rFonts w:ascii="宋体" w:hAnsi="宋体" w:cs="宋体"/>
                <w:kern w:val="0"/>
                <w:sz w:val="24"/>
              </w:rPr>
            </w:pPr>
            <w:r>
              <w:rPr>
                <w:rFonts w:hint="eastAsia" w:ascii="宋体" w:hAnsi="宋体" w:cs="宋体"/>
                <w:kern w:val="0"/>
                <w:sz w:val="24"/>
              </w:rPr>
              <w:t>（14）被“信用中国”网站（https://www.creditchina.gov.cn）发布的《法人和非法人组织公共信用信息报告》列为严重失信主体名单的。</w:t>
            </w:r>
          </w:p>
          <w:p w14:paraId="153EDD84">
            <w:pPr>
              <w:pStyle w:val="76"/>
              <w:widowControl/>
              <w:adjustRightInd w:val="0"/>
              <w:snapToGrid w:val="0"/>
              <w:spacing w:line="380" w:lineRule="exact"/>
              <w:ind w:firstLine="480" w:firstLineChars="200"/>
              <w:jc w:val="left"/>
              <w:rPr>
                <w:rFonts w:ascii="宋体" w:hAnsi="宋体" w:cs="宋体"/>
                <w:kern w:val="0"/>
                <w:sz w:val="24"/>
              </w:rPr>
            </w:pPr>
            <w:r>
              <w:rPr>
                <w:rFonts w:hint="eastAsia" w:ascii="宋体" w:hAnsi="宋体" w:cs="宋体"/>
                <w:kern w:val="0"/>
                <w:sz w:val="24"/>
              </w:rPr>
              <w:t>4.2招标人拒绝以下名单中的单位参加本次投标：</w:t>
            </w:r>
          </w:p>
          <w:tbl>
            <w:tblPr>
              <w:tblStyle w:val="31"/>
              <w:tblW w:w="6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3176"/>
              <w:gridCol w:w="2814"/>
            </w:tblGrid>
            <w:tr w14:paraId="2197D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28" w:type="dxa"/>
                  <w:vAlign w:val="center"/>
                </w:tcPr>
                <w:p w14:paraId="27C4DA29">
                  <w:pPr>
                    <w:adjustRightInd w:val="0"/>
                    <w:snapToGrid w:val="0"/>
                    <w:spacing w:line="380" w:lineRule="exact"/>
                    <w:jc w:val="center"/>
                    <w:rPr>
                      <w:snapToGrid w:val="0"/>
                    </w:rPr>
                  </w:pPr>
                  <w:r>
                    <w:rPr>
                      <w:rFonts w:hint="eastAsia"/>
                      <w:snapToGrid w:val="0"/>
                    </w:rPr>
                    <w:t>序号</w:t>
                  </w:r>
                </w:p>
              </w:tc>
              <w:tc>
                <w:tcPr>
                  <w:tcW w:w="3176" w:type="dxa"/>
                  <w:vAlign w:val="center"/>
                </w:tcPr>
                <w:p w14:paraId="45F21C21">
                  <w:pPr>
                    <w:wordWrap w:val="0"/>
                    <w:adjustRightInd w:val="0"/>
                    <w:snapToGrid w:val="0"/>
                    <w:spacing w:line="380" w:lineRule="exact"/>
                    <w:jc w:val="center"/>
                    <w:rPr>
                      <w:snapToGrid w:val="0"/>
                    </w:rPr>
                  </w:pPr>
                  <w:r>
                    <w:rPr>
                      <w:rFonts w:hint="eastAsia"/>
                      <w:snapToGrid w:val="0"/>
                    </w:rPr>
                    <w:t>单位名称</w:t>
                  </w:r>
                </w:p>
              </w:tc>
              <w:tc>
                <w:tcPr>
                  <w:tcW w:w="2814" w:type="dxa"/>
                  <w:vAlign w:val="center"/>
                </w:tcPr>
                <w:p w14:paraId="742DF188">
                  <w:pPr>
                    <w:wordWrap w:val="0"/>
                    <w:adjustRightInd w:val="0"/>
                    <w:snapToGrid w:val="0"/>
                    <w:spacing w:line="380" w:lineRule="exact"/>
                    <w:jc w:val="center"/>
                    <w:rPr>
                      <w:snapToGrid w:val="0"/>
                    </w:rPr>
                  </w:pPr>
                  <w:r>
                    <w:rPr>
                      <w:rFonts w:hint="eastAsia"/>
                      <w:snapToGrid w:val="0"/>
                    </w:rPr>
                    <w:t>拒绝原因</w:t>
                  </w:r>
                </w:p>
              </w:tc>
            </w:tr>
            <w:tr w14:paraId="32742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28" w:type="dxa"/>
                  <w:vAlign w:val="center"/>
                </w:tcPr>
                <w:p w14:paraId="59F4E783">
                  <w:pPr>
                    <w:adjustRightInd w:val="0"/>
                    <w:snapToGrid w:val="0"/>
                    <w:spacing w:line="380" w:lineRule="exact"/>
                    <w:jc w:val="center"/>
                    <w:rPr>
                      <w:snapToGrid w:val="0"/>
                    </w:rPr>
                  </w:pPr>
                  <w:r>
                    <w:rPr>
                      <w:rFonts w:hint="eastAsia"/>
                      <w:snapToGrid w:val="0"/>
                    </w:rPr>
                    <w:t>1</w:t>
                  </w:r>
                </w:p>
              </w:tc>
              <w:tc>
                <w:tcPr>
                  <w:tcW w:w="3176" w:type="dxa"/>
                  <w:vAlign w:val="center"/>
                </w:tcPr>
                <w:p w14:paraId="236261B6">
                  <w:pPr>
                    <w:adjustRightInd w:val="0"/>
                    <w:snapToGrid w:val="0"/>
                    <w:spacing w:line="380" w:lineRule="exact"/>
                    <w:jc w:val="center"/>
                    <w:rPr>
                      <w:snapToGrid w:val="0"/>
                    </w:rPr>
                  </w:pPr>
                  <w:r>
                    <w:rPr>
                      <w:rFonts w:hint="eastAsia"/>
                      <w:snapToGrid w:val="0"/>
                    </w:rPr>
                    <w:t>韶关市金沁房地产开发有限公司</w:t>
                  </w:r>
                </w:p>
              </w:tc>
              <w:tc>
                <w:tcPr>
                  <w:tcW w:w="2814" w:type="dxa"/>
                  <w:vAlign w:val="center"/>
                </w:tcPr>
                <w:p w14:paraId="104B43C9">
                  <w:pPr>
                    <w:adjustRightInd w:val="0"/>
                    <w:snapToGrid w:val="0"/>
                    <w:spacing w:line="380" w:lineRule="exact"/>
                    <w:jc w:val="center"/>
                    <w:rPr>
                      <w:snapToGrid w:val="0"/>
                    </w:rPr>
                  </w:pPr>
                  <w:r>
                    <w:rPr>
                      <w:rFonts w:hint="eastAsia"/>
                      <w:snapToGrid w:val="0"/>
                    </w:rPr>
                    <w:t>为本招标项目的业主单位</w:t>
                  </w:r>
                </w:p>
              </w:tc>
            </w:tr>
            <w:tr w14:paraId="28B31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28" w:type="dxa"/>
                  <w:vAlign w:val="center"/>
                </w:tcPr>
                <w:p w14:paraId="2C016EFA">
                  <w:pPr>
                    <w:adjustRightInd w:val="0"/>
                    <w:snapToGrid w:val="0"/>
                    <w:spacing w:line="380" w:lineRule="exact"/>
                    <w:jc w:val="center"/>
                    <w:rPr>
                      <w:snapToGrid w:val="0"/>
                    </w:rPr>
                  </w:pPr>
                  <w:r>
                    <w:rPr>
                      <w:rFonts w:hint="eastAsia"/>
                      <w:snapToGrid w:val="0"/>
                    </w:rPr>
                    <w:t>2</w:t>
                  </w:r>
                </w:p>
              </w:tc>
              <w:tc>
                <w:tcPr>
                  <w:tcW w:w="3176" w:type="dxa"/>
                  <w:vAlign w:val="center"/>
                </w:tcPr>
                <w:p w14:paraId="4E0B3041">
                  <w:pPr>
                    <w:adjustRightInd w:val="0"/>
                    <w:snapToGrid w:val="0"/>
                    <w:spacing w:line="380" w:lineRule="exact"/>
                    <w:jc w:val="center"/>
                    <w:rPr>
                      <w:snapToGrid w:val="0"/>
                    </w:rPr>
                  </w:pPr>
                  <w:r>
                    <w:rPr>
                      <w:rFonts w:hint="eastAsia"/>
                      <w:snapToGrid w:val="0"/>
                    </w:rPr>
                    <w:t>广东信誉招标代理有限公司</w:t>
                  </w:r>
                </w:p>
              </w:tc>
              <w:tc>
                <w:tcPr>
                  <w:tcW w:w="2814" w:type="dxa"/>
                  <w:vAlign w:val="center"/>
                </w:tcPr>
                <w:p w14:paraId="1E4719BD">
                  <w:pPr>
                    <w:adjustRightInd w:val="0"/>
                    <w:snapToGrid w:val="0"/>
                    <w:spacing w:line="380" w:lineRule="exact"/>
                    <w:jc w:val="center"/>
                    <w:rPr>
                      <w:snapToGrid w:val="0"/>
                    </w:rPr>
                  </w:pPr>
                  <w:r>
                    <w:rPr>
                      <w:rFonts w:hint="eastAsia"/>
                      <w:snapToGrid w:val="0"/>
                    </w:rPr>
                    <w:t>为本招标项目的招标代理机构</w:t>
                  </w:r>
                </w:p>
              </w:tc>
            </w:tr>
            <w:tr w14:paraId="14E6D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728" w:type="dxa"/>
                  <w:vAlign w:val="center"/>
                </w:tcPr>
                <w:p w14:paraId="7AC2F845">
                  <w:pPr>
                    <w:adjustRightInd w:val="0"/>
                    <w:snapToGrid w:val="0"/>
                    <w:spacing w:line="380" w:lineRule="exact"/>
                    <w:jc w:val="center"/>
                    <w:rPr>
                      <w:snapToGrid w:val="0"/>
                    </w:rPr>
                  </w:pPr>
                  <w:r>
                    <w:rPr>
                      <w:rFonts w:hint="eastAsia"/>
                      <w:snapToGrid w:val="0"/>
                    </w:rPr>
                    <w:t>3</w:t>
                  </w:r>
                </w:p>
              </w:tc>
              <w:tc>
                <w:tcPr>
                  <w:tcW w:w="3176" w:type="dxa"/>
                  <w:vAlign w:val="center"/>
                </w:tcPr>
                <w:p w14:paraId="24BB7258">
                  <w:pPr>
                    <w:adjustRightInd w:val="0"/>
                    <w:snapToGrid w:val="0"/>
                    <w:spacing w:line="380" w:lineRule="exact"/>
                    <w:jc w:val="center"/>
                    <w:rPr>
                      <w:snapToGrid w:val="0"/>
                    </w:rPr>
                  </w:pPr>
                  <w:r>
                    <w:rPr>
                      <w:rFonts w:hint="eastAsia"/>
                      <w:snapToGrid w:val="0"/>
                    </w:rPr>
                    <w:t>广东省国际工程咨询有限公司</w:t>
                  </w:r>
                </w:p>
              </w:tc>
              <w:tc>
                <w:tcPr>
                  <w:tcW w:w="2814" w:type="dxa"/>
                  <w:vAlign w:val="center"/>
                </w:tcPr>
                <w:p w14:paraId="461E5670">
                  <w:pPr>
                    <w:adjustRightInd w:val="0"/>
                    <w:snapToGrid w:val="0"/>
                    <w:spacing w:line="380" w:lineRule="exact"/>
                    <w:jc w:val="center"/>
                    <w:rPr>
                      <w:snapToGrid w:val="0"/>
                    </w:rPr>
                  </w:pPr>
                  <w:r>
                    <w:rPr>
                      <w:rFonts w:hint="eastAsia"/>
                      <w:snapToGrid w:val="0"/>
                    </w:rPr>
                    <w:t>为本招标项目的可研编制单位</w:t>
                  </w:r>
                </w:p>
              </w:tc>
            </w:tr>
          </w:tbl>
          <w:p w14:paraId="75DC2842">
            <w:pPr>
              <w:pStyle w:val="76"/>
              <w:widowControl/>
              <w:adjustRightInd w:val="0"/>
              <w:snapToGrid w:val="0"/>
              <w:spacing w:line="380" w:lineRule="exact"/>
              <w:ind w:firstLine="480" w:firstLineChars="200"/>
              <w:jc w:val="left"/>
              <w:rPr>
                <w:rFonts w:ascii="宋体" w:hAnsi="宋体" w:cs="宋体"/>
                <w:kern w:val="0"/>
                <w:sz w:val="24"/>
              </w:rPr>
            </w:pPr>
            <w:r>
              <w:rPr>
                <w:rFonts w:hint="eastAsia" w:ascii="宋体" w:hAnsi="宋体" w:cs="宋体"/>
                <w:kern w:val="0"/>
                <w:sz w:val="24"/>
                <w:lang w:eastAsia="zh-CN"/>
              </w:rPr>
              <w:t>5.</w:t>
            </w:r>
            <w:r>
              <w:rPr>
                <w:rFonts w:hint="eastAsia" w:ascii="宋体" w:hAnsi="宋体" w:cs="宋体"/>
                <w:kern w:val="0"/>
                <w:sz w:val="24"/>
              </w:rPr>
              <w:t>其他要求</w:t>
            </w:r>
          </w:p>
          <w:p w14:paraId="1A016729">
            <w:pPr>
              <w:pStyle w:val="76"/>
              <w:widowControl/>
              <w:adjustRightInd w:val="0"/>
              <w:snapToGrid w:val="0"/>
              <w:spacing w:line="380" w:lineRule="exact"/>
              <w:ind w:firstLine="480" w:firstLineChars="200"/>
              <w:jc w:val="left"/>
              <w:rPr>
                <w:rFonts w:ascii="宋体" w:hAnsi="宋体" w:cs="宋体"/>
                <w:kern w:val="0"/>
                <w:sz w:val="24"/>
              </w:rPr>
            </w:pPr>
            <w:r>
              <w:rPr>
                <w:rFonts w:hint="eastAsia" w:ascii="宋体" w:hAnsi="宋体" w:cs="宋体"/>
                <w:kern w:val="0"/>
                <w:sz w:val="24"/>
              </w:rPr>
              <w:t>省外企业（包括组成联合体的所有成员单位）须按照《广东省住房和城乡建设厅关于取消省外建筑企业和人员进粤信息备案有关工作的通知》（粤建市﹝2015﹞52号）规定在“进粤企业和人员诚信信息登记平台”录入相关信息并通过数据规范检查。</w:t>
            </w:r>
          </w:p>
        </w:tc>
      </w:tr>
      <w:tr w14:paraId="3E9F60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0DB4BC52">
            <w:pPr>
              <w:pStyle w:val="56"/>
              <w:numPr>
                <w:ilvl w:val="0"/>
                <w:numId w:val="2"/>
              </w:numPr>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69A94AE9">
            <w:pPr>
              <w:pStyle w:val="56"/>
              <w:spacing w:line="400" w:lineRule="exact"/>
              <w:jc w:val="center"/>
              <w:rPr>
                <w:rFonts w:hAnsi="宋体" w:cs="宋体"/>
                <w:szCs w:val="24"/>
              </w:rPr>
            </w:pPr>
            <w:r>
              <w:rPr>
                <w:rFonts w:hint="eastAsia" w:hAnsi="宋体" w:cs="宋体"/>
                <w:szCs w:val="24"/>
              </w:rPr>
              <w:t>评标定标方法</w:t>
            </w:r>
          </w:p>
        </w:tc>
        <w:tc>
          <w:tcPr>
            <w:tcW w:w="6861" w:type="dxa"/>
            <w:tcBorders>
              <w:top w:val="single" w:color="auto" w:sz="4" w:space="0"/>
              <w:left w:val="single" w:color="auto" w:sz="4" w:space="0"/>
              <w:bottom w:val="single" w:color="auto" w:sz="4" w:space="0"/>
              <w:right w:val="single" w:color="auto" w:sz="4" w:space="0"/>
            </w:tcBorders>
            <w:vAlign w:val="center"/>
          </w:tcPr>
          <w:p w14:paraId="1EABC488">
            <w:pPr>
              <w:pStyle w:val="56"/>
              <w:spacing w:line="400" w:lineRule="exact"/>
              <w:ind w:firstLine="240" w:firstLineChars="100"/>
              <w:rPr>
                <w:rFonts w:hAnsi="宋体" w:cs="宋体"/>
                <w:szCs w:val="24"/>
              </w:rPr>
            </w:pPr>
            <w:r>
              <w:rPr>
                <w:rFonts w:hint="eastAsia" w:hAnsi="宋体" w:cs="宋体"/>
                <w:szCs w:val="24"/>
              </w:rPr>
              <w:t>综合评估法</w:t>
            </w:r>
          </w:p>
        </w:tc>
      </w:tr>
      <w:tr w14:paraId="5149D0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0353AE65">
            <w:pPr>
              <w:pStyle w:val="56"/>
              <w:numPr>
                <w:ilvl w:val="0"/>
                <w:numId w:val="2"/>
              </w:numPr>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3C55FD55">
            <w:pPr>
              <w:pStyle w:val="56"/>
              <w:spacing w:line="400" w:lineRule="exact"/>
              <w:jc w:val="center"/>
              <w:rPr>
                <w:rFonts w:hAnsi="宋体" w:cs="宋体"/>
                <w:szCs w:val="24"/>
              </w:rPr>
            </w:pPr>
            <w:r>
              <w:rPr>
                <w:rFonts w:hint="eastAsia" w:hAnsi="宋体" w:cs="宋体"/>
                <w:szCs w:val="24"/>
              </w:rPr>
              <w:t>定标办法</w:t>
            </w:r>
          </w:p>
        </w:tc>
        <w:tc>
          <w:tcPr>
            <w:tcW w:w="6861" w:type="dxa"/>
            <w:tcBorders>
              <w:top w:val="single" w:color="auto" w:sz="4" w:space="0"/>
              <w:left w:val="single" w:color="auto" w:sz="4" w:space="0"/>
              <w:bottom w:val="single" w:color="auto" w:sz="4" w:space="0"/>
              <w:right w:val="single" w:color="auto" w:sz="4" w:space="0"/>
            </w:tcBorders>
            <w:vAlign w:val="center"/>
          </w:tcPr>
          <w:p w14:paraId="49E478E7">
            <w:pPr>
              <w:pStyle w:val="56"/>
              <w:spacing w:line="400" w:lineRule="exact"/>
              <w:ind w:firstLine="240" w:firstLineChars="100"/>
              <w:jc w:val="left"/>
              <w:rPr>
                <w:rFonts w:hAnsi="宋体" w:cs="宋体"/>
                <w:szCs w:val="24"/>
              </w:rPr>
            </w:pPr>
            <w:r>
              <w:rPr>
                <w:rFonts w:hint="eastAsia" w:hAnsi="宋体" w:cs="宋体"/>
                <w:szCs w:val="24"/>
              </w:rPr>
              <w:t>采用评定分离的项目，应选定下列定标办法</w:t>
            </w:r>
            <w:r>
              <w:rPr>
                <w:rFonts w:hint="eastAsia" w:hAnsi="宋体" w:cs="宋体"/>
                <w:szCs w:val="24"/>
                <w:lang w:eastAsia="zh-CN"/>
              </w:rPr>
              <w:t>。</w:t>
            </w:r>
          </w:p>
          <w:p w14:paraId="5CFF0A49">
            <w:pPr>
              <w:pStyle w:val="56"/>
              <w:spacing w:line="400" w:lineRule="exact"/>
              <w:ind w:firstLine="240" w:firstLineChars="100"/>
              <w:jc w:val="left"/>
              <w:rPr>
                <w:rFonts w:hAnsi="宋体" w:cs="宋体"/>
                <w:szCs w:val="24"/>
              </w:rPr>
            </w:pPr>
            <w:r>
              <w:rPr>
                <w:rFonts w:hint="eastAsia" w:hAnsi="宋体" w:cs="宋体"/>
                <w:szCs w:val="24"/>
              </w:rPr>
              <w:t>☑票决数量法</w:t>
            </w:r>
          </w:p>
          <w:p w14:paraId="3F3A8097">
            <w:pPr>
              <w:pStyle w:val="56"/>
              <w:spacing w:line="400" w:lineRule="exact"/>
              <w:ind w:firstLine="240" w:firstLineChars="100"/>
              <w:jc w:val="left"/>
              <w:rPr>
                <w:rFonts w:hAnsi="宋体" w:cs="宋体"/>
                <w:szCs w:val="24"/>
              </w:rPr>
            </w:pPr>
            <w:r>
              <w:rPr>
                <w:rFonts w:hint="eastAsia" w:hAnsi="宋体" w:cs="宋体"/>
                <w:szCs w:val="24"/>
              </w:rPr>
              <w:t>□票决计分法</w:t>
            </w:r>
          </w:p>
          <w:p w14:paraId="4263F42D">
            <w:pPr>
              <w:pStyle w:val="56"/>
              <w:spacing w:line="400" w:lineRule="exact"/>
              <w:ind w:firstLine="240" w:firstLineChars="100"/>
              <w:jc w:val="left"/>
              <w:rPr>
                <w:rFonts w:hAnsi="宋体" w:cs="宋体"/>
                <w:szCs w:val="24"/>
              </w:rPr>
            </w:pPr>
            <w:r>
              <w:rPr>
                <w:rFonts w:hint="eastAsia" w:hAnsi="宋体" w:cs="宋体"/>
                <w:szCs w:val="24"/>
              </w:rPr>
              <w:t>□集体议事法</w:t>
            </w:r>
          </w:p>
          <w:p w14:paraId="0F9B3B97">
            <w:pPr>
              <w:pStyle w:val="56"/>
              <w:spacing w:line="400" w:lineRule="exact"/>
              <w:ind w:firstLine="240" w:firstLineChars="100"/>
              <w:jc w:val="left"/>
              <w:rPr>
                <w:rFonts w:hAnsi="宋体" w:cs="宋体"/>
                <w:szCs w:val="24"/>
              </w:rPr>
            </w:pPr>
            <w:r>
              <w:rPr>
                <w:rFonts w:hint="eastAsia" w:hAnsi="宋体" w:cs="宋体"/>
                <w:szCs w:val="24"/>
              </w:rPr>
              <w:t>□其他方法：</w:t>
            </w:r>
          </w:p>
        </w:tc>
      </w:tr>
      <w:tr w14:paraId="25B3D6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320" w:hRule="atLeast"/>
          <w:jc w:val="center"/>
        </w:trPr>
        <w:tc>
          <w:tcPr>
            <w:tcW w:w="810" w:type="dxa"/>
            <w:vMerge w:val="restart"/>
            <w:tcBorders>
              <w:top w:val="single" w:color="auto" w:sz="4" w:space="0"/>
              <w:left w:val="single" w:color="auto" w:sz="4" w:space="0"/>
              <w:right w:val="single" w:color="auto" w:sz="4" w:space="0"/>
            </w:tcBorders>
            <w:vAlign w:val="center"/>
          </w:tcPr>
          <w:p w14:paraId="17C2EF70">
            <w:pPr>
              <w:pStyle w:val="56"/>
              <w:numPr>
                <w:ilvl w:val="0"/>
                <w:numId w:val="2"/>
              </w:numPr>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2C6866EB">
            <w:pPr>
              <w:pStyle w:val="56"/>
              <w:spacing w:line="400" w:lineRule="exact"/>
              <w:jc w:val="center"/>
              <w:rPr>
                <w:rFonts w:hAnsi="宋体" w:cs="宋体"/>
                <w:szCs w:val="24"/>
              </w:rPr>
            </w:pPr>
            <w:r>
              <w:rPr>
                <w:rFonts w:hint="eastAsia" w:hAnsi="宋体" w:cs="宋体"/>
                <w:szCs w:val="24"/>
              </w:rPr>
              <w:t>评标委员会组成</w:t>
            </w:r>
          </w:p>
        </w:tc>
        <w:tc>
          <w:tcPr>
            <w:tcW w:w="6861" w:type="dxa"/>
            <w:tcBorders>
              <w:top w:val="single" w:color="auto" w:sz="4" w:space="0"/>
              <w:left w:val="single" w:color="auto" w:sz="4" w:space="0"/>
              <w:bottom w:val="single" w:color="auto" w:sz="4" w:space="0"/>
              <w:right w:val="single" w:color="auto" w:sz="4" w:space="0"/>
            </w:tcBorders>
            <w:vAlign w:val="center"/>
          </w:tcPr>
          <w:p w14:paraId="3C4106EF">
            <w:pPr>
              <w:pStyle w:val="56"/>
              <w:spacing w:line="400" w:lineRule="exact"/>
              <w:ind w:firstLine="240" w:firstLineChars="100"/>
              <w:rPr>
                <w:rFonts w:hAnsi="宋体" w:cs="宋体"/>
                <w:bCs/>
                <w:szCs w:val="24"/>
              </w:rPr>
            </w:pPr>
            <w:r>
              <w:rPr>
                <w:rFonts w:hint="eastAsia" w:hAnsi="宋体" w:cs="宋体"/>
                <w:kern w:val="0"/>
                <w:szCs w:val="24"/>
              </w:rPr>
              <w:t>评标委员会由</w:t>
            </w:r>
            <w:r>
              <w:rPr>
                <w:rFonts w:hint="eastAsia" w:hAnsi="宋体" w:cs="宋体"/>
                <w:kern w:val="0"/>
                <w:szCs w:val="24"/>
                <w:u w:val="single"/>
              </w:rPr>
              <w:t xml:space="preserve"> 5 </w:t>
            </w:r>
            <w:r>
              <w:rPr>
                <w:rFonts w:hint="eastAsia" w:hAnsi="宋体" w:cs="宋体"/>
                <w:kern w:val="0"/>
                <w:szCs w:val="24"/>
              </w:rPr>
              <w:t>人组成，其中招标人代表</w:t>
            </w:r>
            <w:r>
              <w:rPr>
                <w:rFonts w:hint="eastAsia" w:hAnsi="宋体" w:cs="宋体"/>
                <w:kern w:val="0"/>
                <w:szCs w:val="24"/>
                <w:u w:val="single"/>
              </w:rPr>
              <w:t xml:space="preserve"> 0 </w:t>
            </w:r>
            <w:r>
              <w:rPr>
                <w:rFonts w:hint="eastAsia" w:hAnsi="宋体" w:cs="宋体"/>
                <w:kern w:val="0"/>
                <w:szCs w:val="24"/>
              </w:rPr>
              <w:t>人，专家</w:t>
            </w:r>
            <w:r>
              <w:rPr>
                <w:rFonts w:hint="eastAsia" w:hAnsi="宋体" w:cs="宋体"/>
                <w:kern w:val="0"/>
                <w:szCs w:val="24"/>
                <w:u w:val="single"/>
              </w:rPr>
              <w:t xml:space="preserve"> 5 </w:t>
            </w:r>
            <w:r>
              <w:rPr>
                <w:rFonts w:hint="eastAsia" w:hAnsi="宋体" w:cs="宋体"/>
                <w:kern w:val="0"/>
                <w:szCs w:val="24"/>
              </w:rPr>
              <w:t>人。专家从广东省综合评标评审专家库-韶关区域中随机抽取，其中技术类专家</w:t>
            </w:r>
            <w:r>
              <w:rPr>
                <w:rFonts w:hint="eastAsia" w:hAnsi="宋体" w:cs="宋体"/>
                <w:kern w:val="0"/>
                <w:szCs w:val="24"/>
                <w:u w:val="single"/>
              </w:rPr>
              <w:t xml:space="preserve"> 3 </w:t>
            </w:r>
            <w:r>
              <w:rPr>
                <w:rFonts w:hint="eastAsia" w:hAnsi="宋体" w:cs="宋体"/>
                <w:kern w:val="0"/>
                <w:szCs w:val="24"/>
              </w:rPr>
              <w:t>人，经济类专家</w:t>
            </w:r>
            <w:r>
              <w:rPr>
                <w:rFonts w:hint="eastAsia" w:hAnsi="宋体" w:cs="宋体"/>
                <w:kern w:val="0"/>
                <w:szCs w:val="24"/>
                <w:u w:val="single"/>
              </w:rPr>
              <w:t xml:space="preserve"> 2 </w:t>
            </w:r>
            <w:r>
              <w:rPr>
                <w:rFonts w:hint="eastAsia" w:hAnsi="宋体" w:cs="宋体"/>
                <w:kern w:val="0"/>
                <w:szCs w:val="24"/>
              </w:rPr>
              <w:t>人。</w:t>
            </w:r>
          </w:p>
        </w:tc>
      </w:tr>
      <w:tr w14:paraId="43D8D4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27" w:hRule="atLeast"/>
          <w:jc w:val="center"/>
        </w:trPr>
        <w:tc>
          <w:tcPr>
            <w:tcW w:w="810" w:type="dxa"/>
            <w:vMerge w:val="continue"/>
            <w:tcBorders>
              <w:left w:val="single" w:color="auto" w:sz="4" w:space="0"/>
              <w:bottom w:val="single" w:color="auto" w:sz="4" w:space="0"/>
              <w:right w:val="single" w:color="auto" w:sz="4" w:space="0"/>
            </w:tcBorders>
            <w:vAlign w:val="center"/>
          </w:tcPr>
          <w:p w14:paraId="7F2CE7B2">
            <w:pPr>
              <w:pStyle w:val="56"/>
              <w:tabs>
                <w:tab w:val="left" w:pos="420"/>
              </w:tabs>
              <w:spacing w:line="400" w:lineRule="exact"/>
              <w:ind w:left="845" w:hanging="425"/>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78C185F5">
            <w:pPr>
              <w:pStyle w:val="56"/>
              <w:spacing w:line="400" w:lineRule="exact"/>
              <w:jc w:val="center"/>
              <w:rPr>
                <w:rFonts w:hAnsi="宋体" w:cs="宋体"/>
                <w:szCs w:val="24"/>
              </w:rPr>
            </w:pPr>
            <w:r>
              <w:rPr>
                <w:rFonts w:hint="eastAsia" w:hAnsi="宋体" w:cs="宋体"/>
                <w:szCs w:val="24"/>
              </w:rPr>
              <w:t>定标委员会</w:t>
            </w:r>
          </w:p>
        </w:tc>
        <w:tc>
          <w:tcPr>
            <w:tcW w:w="6861" w:type="dxa"/>
            <w:tcBorders>
              <w:top w:val="single" w:color="auto" w:sz="4" w:space="0"/>
              <w:left w:val="single" w:color="auto" w:sz="4" w:space="0"/>
              <w:bottom w:val="single" w:color="auto" w:sz="4" w:space="0"/>
              <w:right w:val="single" w:color="auto" w:sz="4" w:space="0"/>
            </w:tcBorders>
            <w:vAlign w:val="center"/>
          </w:tcPr>
          <w:p w14:paraId="333CF03B">
            <w:pPr>
              <w:pStyle w:val="56"/>
              <w:spacing w:line="400" w:lineRule="exact"/>
              <w:ind w:firstLine="240" w:firstLineChars="100"/>
              <w:rPr>
                <w:rFonts w:hAnsi="宋体" w:cs="宋体"/>
                <w:szCs w:val="24"/>
              </w:rPr>
            </w:pPr>
            <w:r>
              <w:rPr>
                <w:rFonts w:hint="eastAsia" w:hAnsi="宋体" w:cs="宋体"/>
                <w:szCs w:val="24"/>
              </w:rPr>
              <w:t>本项目定标委员会组成人员为 7 人。</w:t>
            </w:r>
          </w:p>
        </w:tc>
      </w:tr>
      <w:tr w14:paraId="12A277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058A258">
            <w:pPr>
              <w:pStyle w:val="56"/>
              <w:numPr>
                <w:ilvl w:val="0"/>
                <w:numId w:val="2"/>
              </w:numPr>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1358F5A5">
            <w:pPr>
              <w:pStyle w:val="56"/>
              <w:spacing w:line="400" w:lineRule="exact"/>
              <w:jc w:val="center"/>
              <w:rPr>
                <w:rFonts w:hAnsi="宋体" w:cs="宋体"/>
                <w:szCs w:val="24"/>
              </w:rPr>
            </w:pPr>
            <w:r>
              <w:rPr>
                <w:rFonts w:hint="eastAsia" w:hAnsi="宋体" w:cs="宋体"/>
                <w:szCs w:val="24"/>
              </w:rPr>
              <w:t>投标文件编制及份数要求</w:t>
            </w:r>
          </w:p>
        </w:tc>
        <w:tc>
          <w:tcPr>
            <w:tcW w:w="6861" w:type="dxa"/>
            <w:tcBorders>
              <w:top w:val="single" w:color="auto" w:sz="4" w:space="0"/>
              <w:left w:val="single" w:color="auto" w:sz="4" w:space="0"/>
              <w:bottom w:val="single" w:color="auto" w:sz="4" w:space="0"/>
              <w:right w:val="single" w:color="auto" w:sz="4" w:space="0"/>
            </w:tcBorders>
            <w:vAlign w:val="center"/>
          </w:tcPr>
          <w:p w14:paraId="56D46F2A">
            <w:pPr>
              <w:pStyle w:val="56"/>
              <w:spacing w:line="400" w:lineRule="exact"/>
              <w:ind w:firstLine="240" w:firstLineChars="100"/>
              <w:rPr>
                <w:rFonts w:hAnsi="宋体" w:cs="宋体"/>
                <w:szCs w:val="24"/>
              </w:rPr>
            </w:pPr>
            <w:r>
              <w:rPr>
                <w:rFonts w:hint="eastAsia" w:hAnsi="宋体" w:cs="宋体"/>
                <w:szCs w:val="24"/>
              </w:rPr>
              <w:t>投标人须上传（递交）投标文件：</w:t>
            </w:r>
          </w:p>
          <w:p w14:paraId="2EB98F40">
            <w:pPr>
              <w:pStyle w:val="56"/>
              <w:spacing w:line="400" w:lineRule="exact"/>
              <w:ind w:firstLine="240" w:firstLineChars="100"/>
              <w:rPr>
                <w:rFonts w:hAnsi="宋体" w:cs="宋体"/>
                <w:szCs w:val="24"/>
              </w:rPr>
            </w:pPr>
            <w:r>
              <w:rPr>
                <w:rFonts w:hint="eastAsia" w:hAnsi="宋体" w:cs="宋体"/>
                <w:szCs w:val="24"/>
              </w:rPr>
              <w:t>1.电子投标文件一套：</w:t>
            </w:r>
          </w:p>
          <w:p w14:paraId="1FB960CB">
            <w:pPr>
              <w:pStyle w:val="56"/>
              <w:spacing w:line="400" w:lineRule="exact"/>
              <w:ind w:firstLine="240" w:firstLineChars="100"/>
              <w:rPr>
                <w:rFonts w:hAnsi="宋体" w:cs="宋体"/>
                <w:szCs w:val="24"/>
              </w:rPr>
            </w:pPr>
            <w:r>
              <w:rPr>
                <w:rFonts w:hint="eastAsia" w:hAnsi="宋体" w:cs="宋体"/>
                <w:szCs w:val="24"/>
              </w:rPr>
              <w:t>（1）商务经济标书一份；</w:t>
            </w:r>
          </w:p>
          <w:p w14:paraId="25C31DB8">
            <w:pPr>
              <w:pStyle w:val="56"/>
              <w:spacing w:line="400" w:lineRule="exact"/>
              <w:ind w:firstLine="240" w:firstLineChars="100"/>
              <w:rPr>
                <w:rFonts w:hAnsi="宋体" w:cs="宋体"/>
                <w:szCs w:val="24"/>
              </w:rPr>
            </w:pPr>
            <w:r>
              <w:rPr>
                <w:rFonts w:hint="eastAsia" w:hAnsi="宋体" w:cs="宋体"/>
                <w:szCs w:val="24"/>
              </w:rPr>
              <w:t>（2）技术标书一份；</w:t>
            </w:r>
          </w:p>
          <w:p w14:paraId="4957EABE">
            <w:pPr>
              <w:pStyle w:val="56"/>
              <w:spacing w:line="400" w:lineRule="exact"/>
              <w:ind w:firstLine="240" w:firstLineChars="100"/>
              <w:rPr>
                <w:rFonts w:hAnsi="宋体" w:cs="宋体"/>
                <w:szCs w:val="24"/>
              </w:rPr>
            </w:pPr>
            <w:r>
              <w:rPr>
                <w:rFonts w:hint="eastAsia" w:hAnsi="宋体" w:cs="宋体"/>
                <w:szCs w:val="24"/>
              </w:rPr>
              <w:t>（3）定标文件一份。</w:t>
            </w:r>
          </w:p>
          <w:p w14:paraId="4CD55F21">
            <w:pPr>
              <w:pStyle w:val="56"/>
              <w:spacing w:line="400" w:lineRule="exact"/>
              <w:ind w:firstLine="240" w:firstLineChars="100"/>
              <w:rPr>
                <w:rFonts w:hAnsi="宋体" w:cs="宋体"/>
                <w:szCs w:val="24"/>
              </w:rPr>
            </w:pPr>
            <w:r>
              <w:rPr>
                <w:rFonts w:hint="eastAsia" w:hAnsi="宋体" w:cs="宋体"/>
                <w:szCs w:val="24"/>
              </w:rPr>
              <w:t>2.对应评审要求的分项响应文件（如有）。</w:t>
            </w:r>
          </w:p>
          <w:p w14:paraId="30AF423E">
            <w:pPr>
              <w:pStyle w:val="56"/>
              <w:spacing w:line="400" w:lineRule="exact"/>
              <w:ind w:firstLine="240" w:firstLineChars="100"/>
              <w:rPr>
                <w:rFonts w:hAnsi="宋体" w:cs="宋体"/>
                <w:szCs w:val="24"/>
              </w:rPr>
            </w:pPr>
            <w:r>
              <w:rPr>
                <w:rFonts w:hint="eastAsia" w:hAnsi="宋体" w:cs="宋体"/>
                <w:szCs w:val="24"/>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4E8D026A">
            <w:pPr>
              <w:pStyle w:val="56"/>
              <w:spacing w:line="400" w:lineRule="exact"/>
              <w:ind w:firstLine="240" w:firstLineChars="100"/>
              <w:rPr>
                <w:rFonts w:hAnsi="宋体" w:cs="宋体"/>
                <w:szCs w:val="24"/>
              </w:rPr>
            </w:pPr>
            <w:r>
              <w:rPr>
                <w:rFonts w:hint="eastAsia" w:hAnsi="宋体" w:cs="宋体"/>
                <w:szCs w:val="24"/>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7BA1FF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DD6C3AC">
            <w:pPr>
              <w:pStyle w:val="56"/>
              <w:numPr>
                <w:ilvl w:val="0"/>
                <w:numId w:val="2"/>
              </w:numPr>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331D9FC9">
            <w:pPr>
              <w:pStyle w:val="56"/>
              <w:spacing w:line="400" w:lineRule="exact"/>
              <w:jc w:val="center"/>
              <w:rPr>
                <w:rFonts w:hAnsi="宋体" w:cs="宋体"/>
                <w:szCs w:val="24"/>
              </w:rPr>
            </w:pPr>
            <w:r>
              <w:rPr>
                <w:rFonts w:hint="eastAsia" w:hAnsi="宋体" w:cs="宋体"/>
                <w:szCs w:val="24"/>
              </w:rPr>
              <w:t>技术标书</w:t>
            </w:r>
          </w:p>
          <w:p w14:paraId="1287B711">
            <w:pPr>
              <w:pStyle w:val="56"/>
              <w:spacing w:line="400" w:lineRule="exact"/>
              <w:jc w:val="center"/>
              <w:rPr>
                <w:rFonts w:hAnsi="宋体" w:cs="宋体"/>
                <w:szCs w:val="24"/>
              </w:rPr>
            </w:pPr>
            <w:r>
              <w:rPr>
                <w:rFonts w:hint="eastAsia" w:hAnsi="宋体" w:cs="宋体"/>
                <w:szCs w:val="24"/>
              </w:rPr>
              <w:t>评审方式</w:t>
            </w:r>
          </w:p>
        </w:tc>
        <w:tc>
          <w:tcPr>
            <w:tcW w:w="6861" w:type="dxa"/>
            <w:tcBorders>
              <w:top w:val="single" w:color="auto" w:sz="4" w:space="0"/>
              <w:left w:val="single" w:color="auto" w:sz="4" w:space="0"/>
              <w:bottom w:val="single" w:color="auto" w:sz="4" w:space="0"/>
              <w:right w:val="single" w:color="auto" w:sz="4" w:space="0"/>
            </w:tcBorders>
            <w:vAlign w:val="center"/>
          </w:tcPr>
          <w:p w14:paraId="7B86C0DE">
            <w:pPr>
              <w:pStyle w:val="56"/>
              <w:spacing w:line="400" w:lineRule="exact"/>
              <w:ind w:firstLine="240" w:firstLineChars="100"/>
              <w:rPr>
                <w:rFonts w:hAnsi="宋体" w:cs="宋体"/>
                <w:szCs w:val="24"/>
              </w:rPr>
            </w:pPr>
            <w:r>
              <w:rPr>
                <w:rFonts w:hint="eastAsia" w:hAnsi="宋体" w:cs="宋体"/>
                <w:szCs w:val="24"/>
              </w:rPr>
              <w:t>本次招标技术标书</w:t>
            </w:r>
            <w:r>
              <w:rPr>
                <w:rFonts w:hint="eastAsia" w:hAnsi="宋体" w:cs="宋体"/>
                <w:szCs w:val="24"/>
                <w:u w:val="single"/>
              </w:rPr>
              <w:t>不采用</w:t>
            </w:r>
            <w:r>
              <w:rPr>
                <w:rFonts w:hint="eastAsia" w:hAnsi="宋体" w:cs="宋体"/>
                <w:szCs w:val="24"/>
              </w:rPr>
              <w:t>“暗标”方式进行评审。</w:t>
            </w:r>
          </w:p>
        </w:tc>
      </w:tr>
      <w:tr w14:paraId="374CCC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10D7BA00">
            <w:pPr>
              <w:pStyle w:val="56"/>
              <w:numPr>
                <w:ilvl w:val="0"/>
                <w:numId w:val="2"/>
              </w:numPr>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3F0739A3">
            <w:pPr>
              <w:pStyle w:val="56"/>
              <w:spacing w:line="400" w:lineRule="exact"/>
              <w:jc w:val="center"/>
              <w:rPr>
                <w:rFonts w:hAnsi="宋体" w:cs="宋体"/>
                <w:szCs w:val="24"/>
              </w:rPr>
            </w:pPr>
            <w:r>
              <w:rPr>
                <w:rFonts w:hint="eastAsia" w:hAnsi="宋体" w:cs="宋体"/>
                <w:szCs w:val="24"/>
              </w:rPr>
              <w:t>投标保证金</w:t>
            </w:r>
          </w:p>
        </w:tc>
        <w:tc>
          <w:tcPr>
            <w:tcW w:w="6861" w:type="dxa"/>
            <w:tcBorders>
              <w:top w:val="single" w:color="auto" w:sz="4" w:space="0"/>
              <w:left w:val="single" w:color="auto" w:sz="4" w:space="0"/>
              <w:bottom w:val="single" w:color="auto" w:sz="4" w:space="0"/>
              <w:right w:val="single" w:color="auto" w:sz="4" w:space="0"/>
            </w:tcBorders>
            <w:vAlign w:val="center"/>
          </w:tcPr>
          <w:p w14:paraId="133AFF6E">
            <w:pPr>
              <w:pStyle w:val="76"/>
              <w:widowControl/>
              <w:snapToGrid w:val="0"/>
              <w:spacing w:line="400" w:lineRule="exact"/>
              <w:jc w:val="left"/>
              <w:rPr>
                <w:rFonts w:ascii="宋体" w:hAnsi="宋体" w:cs="宋体"/>
                <w:sz w:val="24"/>
              </w:rPr>
            </w:pPr>
            <w:r>
              <w:rPr>
                <w:rFonts w:hint="eastAsia" w:ascii="宋体" w:hAnsi="宋体" w:cs="宋体"/>
                <w:sz w:val="24"/>
              </w:rPr>
              <w:t xml:space="preserve">    </w:t>
            </w:r>
            <w:r>
              <w:rPr>
                <w:rFonts w:hint="eastAsia" w:ascii="宋体" w:hAnsi="宋体" w:cs="宋体"/>
                <w:sz w:val="24"/>
                <w:lang w:eastAsia="zh-CN"/>
              </w:rPr>
              <w:t>1.</w:t>
            </w:r>
            <w:r>
              <w:rPr>
                <w:rFonts w:hint="eastAsia" w:ascii="宋体" w:hAnsi="宋体" w:cs="宋体"/>
                <w:sz w:val="24"/>
              </w:rPr>
              <w:t>投标人须缴纳金额为人民币</w:t>
            </w:r>
            <w:r>
              <w:rPr>
                <w:rFonts w:hint="eastAsia" w:ascii="宋体" w:hAnsi="宋体" w:cs="宋体"/>
                <w:sz w:val="24"/>
                <w:lang w:eastAsia="zh-CN"/>
              </w:rPr>
              <w:t>100,000</w:t>
            </w:r>
            <w:r>
              <w:rPr>
                <w:rFonts w:hint="eastAsia" w:ascii="宋体" w:hAnsi="宋体" w:cs="宋体"/>
                <w:kern w:val="0"/>
                <w:sz w:val="24"/>
                <w:u w:val="single"/>
              </w:rPr>
              <w:t>.00</w:t>
            </w:r>
            <w:r>
              <w:rPr>
                <w:rFonts w:hint="eastAsia" w:ascii="宋体" w:hAnsi="宋体" w:cs="宋体"/>
                <w:sz w:val="24"/>
              </w:rPr>
              <w:t>元的投标</w:t>
            </w:r>
            <w:r>
              <w:rPr>
                <w:rFonts w:hint="eastAsia" w:ascii="宋体" w:hAnsi="宋体" w:cs="宋体"/>
                <w:sz w:val="24"/>
                <w:lang w:eastAsia="zh-CN"/>
              </w:rPr>
              <w:t>保证金</w:t>
            </w:r>
            <w:r>
              <w:rPr>
                <w:rFonts w:hint="eastAsia" w:ascii="宋体" w:hAnsi="宋体" w:cs="宋体"/>
                <w:sz w:val="24"/>
              </w:rPr>
              <w:t>。联合体投标的，由联合体牵头人缴纳。</w:t>
            </w:r>
          </w:p>
          <w:p w14:paraId="5965D0F0">
            <w:pPr>
              <w:snapToGrid w:val="0"/>
              <w:spacing w:line="400" w:lineRule="exact"/>
              <w:ind w:firstLine="420" w:firstLineChars="175"/>
            </w:pPr>
            <w:r>
              <w:rPr>
                <w:rFonts w:hint="eastAsia"/>
                <w:lang w:eastAsia="zh-CN"/>
              </w:rPr>
              <w:t>2.</w:t>
            </w:r>
            <w:r>
              <w:rPr>
                <w:rFonts w:hint="eastAsia"/>
              </w:rPr>
              <w:t>投标保证的形式包括投标保证金、投标保证担保、投标保证保险三种，由投标人自主选择。</w:t>
            </w:r>
          </w:p>
          <w:p w14:paraId="320D66F2">
            <w:pPr>
              <w:snapToGrid w:val="0"/>
              <w:spacing w:line="400" w:lineRule="exact"/>
              <w:ind w:firstLine="240" w:firstLineChars="100"/>
            </w:pPr>
            <w:r>
              <w:rPr>
                <w:rFonts w:hint="eastAsia"/>
                <w:lang w:eastAsia="zh-CN"/>
              </w:rPr>
              <w:t>（1）</w:t>
            </w:r>
            <w:r>
              <w:rPr>
                <w:rFonts w:hint="eastAsia"/>
              </w:rPr>
              <w:t>采用投标保证金的，投标人在建设工程交易系统报名完毕后，即可在系统申请缴纳投标保证金，获取本次招标投标保证金缴纳账号。投标人须于投标保证金到账截止时间</w:t>
            </w:r>
            <w:r>
              <w:rPr>
                <w:rFonts w:hint="eastAsia"/>
                <w:lang w:eastAsia="zh-CN"/>
              </w:rPr>
              <w:t>（</w:t>
            </w:r>
            <w:r>
              <w:rPr>
                <w:rFonts w:hint="eastAsia"/>
              </w:rPr>
              <w:t>见本章第二节“重要事项时间地点一览表”</w:t>
            </w:r>
            <w:r>
              <w:rPr>
                <w:rFonts w:hint="eastAsia"/>
                <w:lang w:eastAsia="zh-CN"/>
              </w:rPr>
              <w:t>）</w:t>
            </w:r>
            <w:r>
              <w:rPr>
                <w:rFonts w:hint="eastAsia"/>
              </w:rPr>
              <w:t>前，从其基本账户将投标保证金转账到指定的缴纳账号。逾期到账的、从非投标人基本账户转出的，其投标无效。</w:t>
            </w:r>
          </w:p>
          <w:p w14:paraId="473330FF">
            <w:pPr>
              <w:snapToGrid w:val="0"/>
              <w:spacing w:line="400" w:lineRule="exact"/>
              <w:ind w:firstLine="240" w:firstLineChars="100"/>
            </w:pPr>
            <w:r>
              <w:rPr>
                <w:rFonts w:hint="eastAsia"/>
                <w:lang w:eastAsia="zh-CN"/>
              </w:rPr>
              <w:t>（2）</w:t>
            </w:r>
            <w:r>
              <w:rPr>
                <w:rFonts w:hint="eastAsia"/>
              </w:rPr>
              <w:t>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11EB93BC">
            <w:pPr>
              <w:snapToGrid w:val="0"/>
              <w:spacing w:line="400" w:lineRule="exact"/>
              <w:ind w:firstLine="240" w:firstLineChars="100"/>
            </w:pPr>
            <w:r>
              <w:rPr>
                <w:rFonts w:hint="eastAsia"/>
                <w:lang w:eastAsia="zh-CN"/>
              </w:rPr>
              <w:t>（3）</w:t>
            </w:r>
            <w:r>
              <w:rPr>
                <w:rFonts w:hint="eastAsia"/>
              </w:rPr>
              <w:t>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w:t>
            </w:r>
            <w:r>
              <w:rPr>
                <w:rFonts w:hint="eastAsia"/>
                <w:lang w:eastAsia="zh-CN"/>
              </w:rPr>
              <w:t>（</w:t>
            </w:r>
            <w:r>
              <w:rPr>
                <w:rFonts w:hint="eastAsia"/>
              </w:rPr>
              <w:t>https://ygp.gdzwfw.gov.cn/ggzy-portal/#/440200/index</w:t>
            </w:r>
            <w:r>
              <w:rPr>
                <w:rFonts w:hint="eastAsia"/>
                <w:lang w:eastAsia="zh-CN"/>
              </w:rPr>
              <w:t>）</w:t>
            </w:r>
            <w:r>
              <w:rPr>
                <w:rFonts w:hint="eastAsia"/>
              </w:rPr>
              <w:t>，在【交易指引】栏目中下载《建设工程网上交易系统保险保证金缴纳操作指南》，了解网上投保具体操作流程。逾期投保的，其投标无效。</w:t>
            </w:r>
          </w:p>
          <w:p w14:paraId="158F58C2">
            <w:pPr>
              <w:snapToGrid w:val="0"/>
              <w:spacing w:line="400" w:lineRule="exact"/>
              <w:ind w:firstLine="420" w:firstLineChars="175"/>
            </w:pPr>
            <w:r>
              <w:rPr>
                <w:rFonts w:hint="eastAsia"/>
              </w:rPr>
              <w:t>温馨提醒：投标人采用投标保证担保或投标保证保险的，为避免在评标过程中因有效期发生争议，建议投标人将银行保函有效期设置为较招标文件规定的投标有效期延长不少于20个日历天。</w:t>
            </w:r>
          </w:p>
        </w:tc>
      </w:tr>
      <w:tr w14:paraId="4B6C9B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18509219">
            <w:pPr>
              <w:pStyle w:val="56"/>
              <w:numPr>
                <w:ilvl w:val="0"/>
                <w:numId w:val="2"/>
              </w:numPr>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66017E21">
            <w:pPr>
              <w:pStyle w:val="56"/>
              <w:spacing w:line="400" w:lineRule="exact"/>
              <w:jc w:val="center"/>
              <w:rPr>
                <w:rFonts w:hAnsi="宋体" w:cs="宋体"/>
                <w:szCs w:val="24"/>
              </w:rPr>
            </w:pPr>
            <w:r>
              <w:rPr>
                <w:rFonts w:hint="eastAsia" w:hAnsi="宋体" w:cs="宋体"/>
                <w:szCs w:val="24"/>
              </w:rPr>
              <w:t>合同价款支付</w:t>
            </w:r>
          </w:p>
        </w:tc>
        <w:tc>
          <w:tcPr>
            <w:tcW w:w="6861" w:type="dxa"/>
            <w:tcBorders>
              <w:top w:val="single" w:color="auto" w:sz="4" w:space="0"/>
              <w:left w:val="single" w:color="auto" w:sz="4" w:space="0"/>
              <w:bottom w:val="single" w:color="auto" w:sz="4" w:space="0"/>
              <w:right w:val="single" w:color="auto" w:sz="4" w:space="0"/>
            </w:tcBorders>
            <w:vAlign w:val="center"/>
          </w:tcPr>
          <w:p w14:paraId="6250A8E7">
            <w:pPr>
              <w:pStyle w:val="56"/>
              <w:spacing w:line="400" w:lineRule="exact"/>
              <w:ind w:firstLine="240" w:firstLineChars="100"/>
              <w:rPr>
                <w:rFonts w:hAnsi="宋体" w:cs="宋体"/>
                <w:szCs w:val="24"/>
              </w:rPr>
            </w:pPr>
            <w:r>
              <w:rPr>
                <w:rFonts w:hint="eastAsia" w:hAnsi="宋体" w:cs="宋体"/>
                <w:szCs w:val="24"/>
              </w:rPr>
              <w:t>详见本招标文件第二章 拟签订合同的主要条款。</w:t>
            </w:r>
          </w:p>
        </w:tc>
      </w:tr>
      <w:tr w14:paraId="1A2B25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20A3F6A7">
            <w:pPr>
              <w:pStyle w:val="56"/>
              <w:numPr>
                <w:ilvl w:val="0"/>
                <w:numId w:val="2"/>
              </w:numPr>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4D3A3331">
            <w:pPr>
              <w:spacing w:line="400" w:lineRule="exact"/>
              <w:jc w:val="center"/>
            </w:pPr>
            <w:r>
              <w:rPr>
                <w:rFonts w:hint="eastAsia"/>
              </w:rPr>
              <w:t>招标代理服务费及专家评审费</w:t>
            </w:r>
          </w:p>
        </w:tc>
        <w:tc>
          <w:tcPr>
            <w:tcW w:w="6861" w:type="dxa"/>
            <w:tcBorders>
              <w:top w:val="single" w:color="auto" w:sz="4" w:space="0"/>
              <w:left w:val="single" w:color="auto" w:sz="4" w:space="0"/>
              <w:bottom w:val="single" w:color="auto" w:sz="4" w:space="0"/>
              <w:right w:val="single" w:color="auto" w:sz="4" w:space="0"/>
            </w:tcBorders>
            <w:vAlign w:val="center"/>
          </w:tcPr>
          <w:p w14:paraId="4CCAC66D">
            <w:pPr>
              <w:spacing w:line="400" w:lineRule="exact"/>
              <w:ind w:firstLine="240" w:firstLineChars="100"/>
            </w:pPr>
            <w:r>
              <w:rPr>
                <w:rFonts w:hint="eastAsia"/>
              </w:rPr>
              <w:t>本工程的招标代理费和评标专家酬劳由中标人支付，该费用不再另行报价，由投标人在投标报价时综合考虑在内。中标人在领取中标通知书前须向招标代理机构一次性支付。本项目招标代理服务费为含税包干价人民币3.98万元（含</w:t>
            </w:r>
            <w:r>
              <w:rPr>
                <w:rFonts w:hint="eastAsia"/>
                <w:lang w:val="zh-CN"/>
              </w:rPr>
              <w:t>招标代理工作人员的食宿、交通、办公费用</w:t>
            </w:r>
            <w:r>
              <w:rPr>
                <w:rFonts w:hint="eastAsia"/>
              </w:rPr>
              <w:t>及</w:t>
            </w:r>
            <w:r>
              <w:rPr>
                <w:rFonts w:hint="eastAsia"/>
                <w:lang w:val="zh-CN"/>
              </w:rPr>
              <w:t>招标</w:t>
            </w:r>
            <w:r>
              <w:rPr>
                <w:rFonts w:hint="eastAsia"/>
              </w:rPr>
              <w:t>过程</w:t>
            </w:r>
            <w:r>
              <w:rPr>
                <w:rFonts w:hint="eastAsia"/>
                <w:lang w:val="zh-CN"/>
              </w:rPr>
              <w:t>的</w:t>
            </w:r>
            <w:r>
              <w:rPr>
                <w:rFonts w:hint="eastAsia"/>
              </w:rPr>
              <w:t>评标会务费、评标专家费等相关费用）</w:t>
            </w:r>
          </w:p>
        </w:tc>
      </w:tr>
      <w:tr w14:paraId="4A6AA7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0448B587">
            <w:pPr>
              <w:pStyle w:val="56"/>
              <w:numPr>
                <w:ilvl w:val="0"/>
                <w:numId w:val="2"/>
              </w:numPr>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74689C1C">
            <w:pPr>
              <w:spacing w:line="400" w:lineRule="exact"/>
              <w:jc w:val="center"/>
            </w:pPr>
            <w:r>
              <w:rPr>
                <w:rFonts w:hint="eastAsia"/>
              </w:rPr>
              <w:t>招标人</w:t>
            </w:r>
          </w:p>
          <w:p w14:paraId="6C39D47B">
            <w:pPr>
              <w:spacing w:line="400" w:lineRule="exact"/>
              <w:jc w:val="center"/>
            </w:pPr>
            <w:r>
              <w:rPr>
                <w:rFonts w:hint="eastAsia"/>
              </w:rPr>
              <w:t>联系方法</w:t>
            </w:r>
          </w:p>
        </w:tc>
        <w:tc>
          <w:tcPr>
            <w:tcW w:w="6861" w:type="dxa"/>
            <w:tcBorders>
              <w:top w:val="single" w:color="auto" w:sz="4" w:space="0"/>
              <w:left w:val="single" w:color="auto" w:sz="4" w:space="0"/>
              <w:bottom w:val="single" w:color="auto" w:sz="4" w:space="0"/>
              <w:right w:val="single" w:color="auto" w:sz="4" w:space="0"/>
            </w:tcBorders>
            <w:vAlign w:val="center"/>
          </w:tcPr>
          <w:p w14:paraId="01996BB2">
            <w:pPr>
              <w:spacing w:line="400" w:lineRule="exact"/>
            </w:pPr>
            <w:r>
              <w:rPr>
                <w:rFonts w:hint="eastAsia"/>
              </w:rPr>
              <w:t>单位名称：韶关市金沁房地产开发有限公司</w:t>
            </w:r>
          </w:p>
          <w:p w14:paraId="75C54CA0">
            <w:pPr>
              <w:spacing w:line="400" w:lineRule="exact"/>
            </w:pPr>
            <w:r>
              <w:rPr>
                <w:rFonts w:hint="eastAsia"/>
              </w:rPr>
              <w:t>办公地址：韶关市武江区惠民北路68号A6铺</w:t>
            </w:r>
          </w:p>
          <w:p w14:paraId="2D198279">
            <w:pPr>
              <w:spacing w:line="400" w:lineRule="exact"/>
            </w:pPr>
            <w:r>
              <w:rPr>
                <w:rFonts w:hint="eastAsia"/>
              </w:rPr>
              <w:t>联 系 人：李工</w:t>
            </w:r>
          </w:p>
          <w:p w14:paraId="46AF33FF">
            <w:pPr>
              <w:spacing w:line="400" w:lineRule="exact"/>
              <w:rPr>
                <w:rFonts w:hint="default" w:eastAsia="宋体"/>
                <w:lang w:val="en-US" w:eastAsia="zh-CN"/>
              </w:rPr>
            </w:pPr>
            <w:r>
              <w:rPr>
                <w:rFonts w:hint="eastAsia"/>
                <w:highlight w:val="none"/>
              </w:rPr>
              <w:t>联系电话：</w:t>
            </w:r>
            <w:r>
              <w:rPr>
                <w:rFonts w:hint="eastAsia"/>
                <w:color w:val="auto"/>
                <w:highlight w:val="none"/>
                <w:u w:val="none"/>
                <w:lang w:val="en-US" w:eastAsia="zh-CN"/>
              </w:rPr>
              <w:t>0751-8706365</w:t>
            </w:r>
          </w:p>
        </w:tc>
      </w:tr>
      <w:tr w14:paraId="71C58D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8B778AB">
            <w:pPr>
              <w:pStyle w:val="56"/>
              <w:numPr>
                <w:ilvl w:val="0"/>
                <w:numId w:val="2"/>
              </w:numPr>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319D23B8">
            <w:pPr>
              <w:spacing w:line="400" w:lineRule="exact"/>
              <w:jc w:val="center"/>
            </w:pPr>
            <w:r>
              <w:rPr>
                <w:rFonts w:hint="eastAsia"/>
              </w:rPr>
              <w:t>招标代理机构</w:t>
            </w:r>
          </w:p>
          <w:p w14:paraId="74701D63">
            <w:pPr>
              <w:spacing w:line="400" w:lineRule="exact"/>
              <w:jc w:val="center"/>
            </w:pPr>
            <w:r>
              <w:rPr>
                <w:rFonts w:hint="eastAsia"/>
              </w:rPr>
              <w:t>联系方法</w:t>
            </w:r>
          </w:p>
        </w:tc>
        <w:tc>
          <w:tcPr>
            <w:tcW w:w="6861" w:type="dxa"/>
            <w:tcBorders>
              <w:top w:val="single" w:color="auto" w:sz="4" w:space="0"/>
              <w:left w:val="single" w:color="auto" w:sz="4" w:space="0"/>
              <w:bottom w:val="single" w:color="auto" w:sz="4" w:space="0"/>
              <w:right w:val="single" w:color="auto" w:sz="4" w:space="0"/>
            </w:tcBorders>
            <w:vAlign w:val="center"/>
          </w:tcPr>
          <w:p w14:paraId="0C244D1D">
            <w:pPr>
              <w:spacing w:line="400" w:lineRule="exact"/>
            </w:pPr>
            <w:r>
              <w:rPr>
                <w:rFonts w:hint="eastAsia"/>
              </w:rPr>
              <w:t>单位名称：广东信誉招标代理有限公司</w:t>
            </w:r>
          </w:p>
          <w:p w14:paraId="67AF0575">
            <w:pPr>
              <w:spacing w:line="400" w:lineRule="exact"/>
            </w:pPr>
            <w:r>
              <w:rPr>
                <w:rFonts w:hint="eastAsia"/>
              </w:rPr>
              <w:t>办公地址：韶关市武江区韶关大道北19号豫商大楼7楼</w:t>
            </w:r>
          </w:p>
          <w:p w14:paraId="407154FC">
            <w:pPr>
              <w:spacing w:line="400" w:lineRule="exact"/>
            </w:pPr>
            <w:r>
              <w:rPr>
                <w:rFonts w:hint="eastAsia"/>
              </w:rPr>
              <w:t>联系人：陈工</w:t>
            </w:r>
          </w:p>
          <w:p w14:paraId="56D62E92">
            <w:pPr>
              <w:spacing w:line="400" w:lineRule="exact"/>
            </w:pPr>
            <w:r>
              <w:rPr>
                <w:rFonts w:hint="eastAsia"/>
              </w:rPr>
              <w:t>电话：0751-8115126</w:t>
            </w:r>
          </w:p>
        </w:tc>
      </w:tr>
      <w:tr w14:paraId="5F349D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2E0A75C">
            <w:pPr>
              <w:pStyle w:val="56"/>
              <w:numPr>
                <w:ilvl w:val="0"/>
                <w:numId w:val="2"/>
              </w:numPr>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3F815E4C">
            <w:pPr>
              <w:spacing w:line="400" w:lineRule="exact"/>
              <w:jc w:val="center"/>
              <w:rPr>
                <w:bCs/>
              </w:rPr>
            </w:pPr>
            <w:r>
              <w:rPr>
                <w:rFonts w:hint="eastAsia"/>
                <w:bCs/>
              </w:rPr>
              <w:t>交易场所</w:t>
            </w:r>
          </w:p>
          <w:p w14:paraId="610B5656">
            <w:pPr>
              <w:spacing w:line="400" w:lineRule="exact"/>
              <w:jc w:val="center"/>
            </w:pPr>
            <w:r>
              <w:rPr>
                <w:rFonts w:hint="eastAsia"/>
                <w:bCs/>
              </w:rPr>
              <w:t>联系方法</w:t>
            </w:r>
          </w:p>
        </w:tc>
        <w:tc>
          <w:tcPr>
            <w:tcW w:w="6861" w:type="dxa"/>
            <w:tcBorders>
              <w:top w:val="single" w:color="auto" w:sz="4" w:space="0"/>
              <w:left w:val="single" w:color="auto" w:sz="4" w:space="0"/>
              <w:bottom w:val="single" w:color="auto" w:sz="4" w:space="0"/>
              <w:right w:val="single" w:color="auto" w:sz="4" w:space="0"/>
            </w:tcBorders>
            <w:vAlign w:val="center"/>
          </w:tcPr>
          <w:p w14:paraId="0AFBFB16">
            <w:pPr>
              <w:spacing w:line="400" w:lineRule="exact"/>
            </w:pPr>
            <w:r>
              <w:rPr>
                <w:rFonts w:hint="eastAsia"/>
              </w:rPr>
              <w:t>单位名称：韶关市公共资源交易中心</w:t>
            </w:r>
          </w:p>
          <w:p w14:paraId="7FDC264C">
            <w:pPr>
              <w:spacing w:line="400" w:lineRule="exact"/>
            </w:pPr>
            <w:r>
              <w:rPr>
                <w:rFonts w:hint="eastAsia"/>
              </w:rPr>
              <w:t>办公地址：广东省韶关市武江区西联镇</w:t>
            </w:r>
          </w:p>
          <w:p w14:paraId="3BB6315D">
            <w:pPr>
              <w:spacing w:line="400" w:lineRule="exact"/>
            </w:pPr>
            <w:r>
              <w:rPr>
                <w:rFonts w:hint="eastAsia"/>
              </w:rPr>
              <w:t>联系人（部门）：工程交易部</w:t>
            </w:r>
          </w:p>
          <w:p w14:paraId="57908B16">
            <w:pPr>
              <w:spacing w:line="400" w:lineRule="exact"/>
            </w:pPr>
            <w:r>
              <w:rPr>
                <w:rFonts w:hint="eastAsia"/>
              </w:rPr>
              <w:t>联系电话：0751-8633071、0751-863321</w:t>
            </w:r>
          </w:p>
        </w:tc>
      </w:tr>
      <w:tr w14:paraId="02E52A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00933D57">
            <w:pPr>
              <w:pStyle w:val="56"/>
              <w:numPr>
                <w:ilvl w:val="0"/>
                <w:numId w:val="2"/>
              </w:numPr>
              <w:spacing w:line="400" w:lineRule="exact"/>
              <w:jc w:val="center"/>
              <w:rPr>
                <w:rFonts w:hAnsi="宋体" w:cs="宋体"/>
                <w:szCs w:val="24"/>
              </w:rPr>
            </w:pPr>
          </w:p>
        </w:tc>
        <w:tc>
          <w:tcPr>
            <w:tcW w:w="1966" w:type="dxa"/>
            <w:tcBorders>
              <w:top w:val="single" w:color="auto" w:sz="4" w:space="0"/>
              <w:left w:val="single" w:color="auto" w:sz="4" w:space="0"/>
              <w:bottom w:val="single" w:color="auto" w:sz="4" w:space="0"/>
              <w:right w:val="single" w:color="auto" w:sz="4" w:space="0"/>
            </w:tcBorders>
            <w:vAlign w:val="center"/>
          </w:tcPr>
          <w:p w14:paraId="2BA4ED80">
            <w:pPr>
              <w:spacing w:line="400" w:lineRule="exact"/>
              <w:jc w:val="center"/>
              <w:rPr>
                <w:bCs/>
              </w:rPr>
            </w:pPr>
            <w:r>
              <w:rPr>
                <w:rFonts w:hint="eastAsia"/>
                <w:bCs/>
              </w:rPr>
              <w:t>行政监督部门</w:t>
            </w:r>
          </w:p>
          <w:p w14:paraId="7138187F">
            <w:pPr>
              <w:spacing w:line="400" w:lineRule="exact"/>
              <w:jc w:val="center"/>
              <w:rPr>
                <w:bCs/>
              </w:rPr>
            </w:pPr>
            <w:r>
              <w:rPr>
                <w:rFonts w:hint="eastAsia"/>
                <w:bCs/>
              </w:rPr>
              <w:t>联系方式</w:t>
            </w:r>
          </w:p>
        </w:tc>
        <w:tc>
          <w:tcPr>
            <w:tcW w:w="6861" w:type="dxa"/>
            <w:tcBorders>
              <w:top w:val="single" w:color="auto" w:sz="4" w:space="0"/>
              <w:left w:val="single" w:color="auto" w:sz="4" w:space="0"/>
              <w:bottom w:val="single" w:color="auto" w:sz="4" w:space="0"/>
              <w:right w:val="single" w:color="auto" w:sz="4" w:space="0"/>
            </w:tcBorders>
            <w:vAlign w:val="center"/>
          </w:tcPr>
          <w:p w14:paraId="1010B30B">
            <w:pPr>
              <w:spacing w:line="400" w:lineRule="exact"/>
            </w:pPr>
            <w:r>
              <w:rPr>
                <w:rFonts w:hint="eastAsia"/>
              </w:rPr>
              <w:t>单位名称：韶关市住房和城乡建设管理局</w:t>
            </w:r>
          </w:p>
          <w:p w14:paraId="6BB16245">
            <w:pPr>
              <w:spacing w:line="400" w:lineRule="exact"/>
            </w:pPr>
            <w:r>
              <w:rPr>
                <w:rFonts w:hint="eastAsia"/>
              </w:rPr>
              <w:t>办公地址： 广东省韶关市武江区芙蓉东路5号</w:t>
            </w:r>
          </w:p>
          <w:p w14:paraId="0F13D087">
            <w:pPr>
              <w:spacing w:line="400" w:lineRule="exact"/>
            </w:pPr>
            <w:r>
              <w:rPr>
                <w:rFonts w:hint="eastAsia"/>
              </w:rPr>
              <w:t>联系人（部门）：建筑业市场管理科</w:t>
            </w:r>
          </w:p>
          <w:p w14:paraId="06338E42">
            <w:pPr>
              <w:spacing w:line="400" w:lineRule="exact"/>
            </w:pPr>
            <w:r>
              <w:rPr>
                <w:rFonts w:hint="eastAsia"/>
              </w:rPr>
              <w:t>联系电话：0751-8892601</w:t>
            </w:r>
          </w:p>
        </w:tc>
      </w:tr>
      <w:bookmarkEnd w:id="13"/>
    </w:tbl>
    <w:p w14:paraId="2CA8F157">
      <w:pPr>
        <w:pStyle w:val="55"/>
        <w:keepNext/>
        <w:keepLines/>
        <w:autoSpaceDE/>
        <w:autoSpaceDN/>
        <w:adjustRightInd/>
        <w:spacing w:before="260" w:after="260" w:line="360" w:lineRule="exact"/>
        <w:jc w:val="both"/>
        <w:rPr>
          <w:rFonts w:ascii="宋体" w:hAnsi="宋体" w:cs="宋体"/>
          <w:b/>
          <w:bCs/>
          <w:szCs w:val="24"/>
        </w:rPr>
      </w:pPr>
      <w:bookmarkStart w:id="15" w:name="_Toc122671103"/>
      <w:bookmarkStart w:id="16" w:name="_Toc122769943"/>
      <w:bookmarkStart w:id="17" w:name="_Toc122859103"/>
      <w:r>
        <w:rPr>
          <w:rFonts w:hint="eastAsia" w:ascii="宋体" w:hAnsi="宋体" w:cs="宋体"/>
          <w:b/>
          <w:kern w:val="2"/>
          <w:szCs w:val="24"/>
        </w:rPr>
        <w:br w:type="page"/>
      </w:r>
      <w:bookmarkEnd w:id="15"/>
      <w:bookmarkEnd w:id="16"/>
      <w:bookmarkEnd w:id="17"/>
      <w:bookmarkStart w:id="18" w:name="_Toc15502"/>
      <w:bookmarkStart w:id="19" w:name="_Toc27614"/>
      <w:bookmarkStart w:id="20" w:name="_Toc31380"/>
      <w:bookmarkStart w:id="21" w:name="_Toc27596"/>
      <w:r>
        <w:rPr>
          <w:rFonts w:hint="eastAsia" w:ascii="宋体" w:hAnsi="宋体" w:cs="宋体"/>
          <w:b/>
          <w:bCs/>
          <w:szCs w:val="24"/>
        </w:rPr>
        <w:t>第二节 重要事项时间地点一览表</w:t>
      </w:r>
      <w:bookmarkEnd w:id="18"/>
      <w:bookmarkEnd w:id="19"/>
      <w:bookmarkEnd w:id="20"/>
      <w:bookmarkEnd w:id="21"/>
    </w:p>
    <w:tbl>
      <w:tblPr>
        <w:tblStyle w:val="31"/>
        <w:tblW w:w="9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8"/>
        <w:gridCol w:w="1750"/>
        <w:gridCol w:w="7051"/>
      </w:tblGrid>
      <w:tr w14:paraId="5714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578" w:type="dxa"/>
            <w:vAlign w:val="center"/>
          </w:tcPr>
          <w:p w14:paraId="683F66C7">
            <w:pPr>
              <w:pStyle w:val="76"/>
              <w:wordWrap w:val="0"/>
              <w:adjustRightInd w:val="0"/>
              <w:snapToGrid w:val="0"/>
              <w:spacing w:line="360" w:lineRule="exact"/>
              <w:jc w:val="center"/>
              <w:rPr>
                <w:rFonts w:ascii="宋体" w:hAnsi="宋体" w:cs="宋体"/>
                <w:snapToGrid w:val="0"/>
                <w:kern w:val="0"/>
                <w:sz w:val="24"/>
              </w:rPr>
            </w:pPr>
            <w:bookmarkStart w:id="22" w:name="_Hlt69669159"/>
            <w:bookmarkEnd w:id="22"/>
            <w:bookmarkStart w:id="23" w:name="_Hlt69698754"/>
            <w:bookmarkStart w:id="24" w:name="_Hlt69698705"/>
            <w:r>
              <w:rPr>
                <w:rFonts w:hint="eastAsia" w:ascii="宋体" w:hAnsi="宋体" w:cs="宋体"/>
                <w:snapToGrid w:val="0"/>
                <w:kern w:val="0"/>
                <w:sz w:val="24"/>
              </w:rPr>
              <w:t>1</w:t>
            </w:r>
          </w:p>
        </w:tc>
        <w:tc>
          <w:tcPr>
            <w:tcW w:w="1750" w:type="dxa"/>
            <w:vAlign w:val="center"/>
          </w:tcPr>
          <w:p w14:paraId="6356DEC5">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招标公告</w:t>
            </w:r>
          </w:p>
          <w:p w14:paraId="16AD1CC9">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发布时间</w:t>
            </w:r>
          </w:p>
        </w:tc>
        <w:tc>
          <w:tcPr>
            <w:tcW w:w="7051" w:type="dxa"/>
            <w:vAlign w:val="center"/>
          </w:tcPr>
          <w:p w14:paraId="0A36101B">
            <w:pPr>
              <w:pStyle w:val="76"/>
              <w:widowControl/>
              <w:snapToGrid w:val="0"/>
              <w:jc w:val="left"/>
              <w:rPr>
                <w:rFonts w:ascii="宋体" w:hAnsi="宋体" w:cs="宋体"/>
                <w:snapToGrid w:val="0"/>
                <w:kern w:val="0"/>
                <w:sz w:val="32"/>
                <w:szCs w:val="32"/>
              </w:rPr>
            </w:pPr>
            <w:r>
              <w:rPr>
                <w:rFonts w:hint="eastAsia" w:ascii="宋体" w:hAnsi="宋体" w:cs="宋体"/>
                <w:kern w:val="0"/>
                <w:sz w:val="24"/>
                <w:u w:val="single"/>
              </w:rPr>
              <w:t>2026</w:t>
            </w:r>
            <w:r>
              <w:rPr>
                <w:rFonts w:hint="eastAsia" w:ascii="宋体" w:hAnsi="宋体" w:cs="宋体"/>
                <w:kern w:val="0"/>
                <w:sz w:val="24"/>
              </w:rPr>
              <w:t>年</w:t>
            </w:r>
            <w:r>
              <w:rPr>
                <w:rFonts w:hint="eastAsia" w:ascii="宋体" w:hAnsi="宋体" w:cs="宋体"/>
                <w:kern w:val="0"/>
                <w:sz w:val="24"/>
                <w:u w:val="single"/>
                <w:lang w:val="en-US" w:eastAsia="zh-CN"/>
              </w:rPr>
              <w:t>7</w:t>
            </w:r>
            <w:r>
              <w:rPr>
                <w:rFonts w:hint="eastAsia" w:ascii="宋体" w:hAnsi="宋体" w:cs="宋体"/>
                <w:kern w:val="0"/>
                <w:sz w:val="24"/>
              </w:rPr>
              <w:t>月</w:t>
            </w:r>
            <w:r>
              <w:rPr>
                <w:rFonts w:hint="eastAsia" w:ascii="宋体" w:hAnsi="宋体" w:cs="宋体"/>
                <w:kern w:val="0"/>
                <w:sz w:val="24"/>
                <w:u w:val="single"/>
                <w:lang w:val="en-US" w:eastAsia="zh-CN"/>
              </w:rPr>
              <w:t>6</w:t>
            </w:r>
            <w:r>
              <w:rPr>
                <w:rFonts w:hint="eastAsia" w:ascii="宋体" w:hAnsi="宋体" w:cs="宋体"/>
                <w:kern w:val="0"/>
                <w:sz w:val="24"/>
              </w:rPr>
              <w:t>日</w:t>
            </w:r>
            <w:r>
              <w:rPr>
                <w:rFonts w:hint="eastAsia" w:ascii="宋体" w:hAnsi="宋体" w:cs="宋体"/>
                <w:kern w:val="0"/>
                <w:sz w:val="24"/>
                <w:u w:val="single"/>
                <w:lang w:val="en-US" w:eastAsia="zh-CN"/>
              </w:rPr>
              <w:t>17</w:t>
            </w:r>
            <w:r>
              <w:rPr>
                <w:rFonts w:hint="eastAsia" w:ascii="宋体" w:hAnsi="宋体" w:cs="宋体"/>
                <w:kern w:val="0"/>
                <w:sz w:val="24"/>
              </w:rPr>
              <w:t>时</w:t>
            </w:r>
            <w:r>
              <w:rPr>
                <w:rFonts w:hint="eastAsia" w:ascii="宋体" w:hAnsi="宋体" w:cs="宋体"/>
                <w:kern w:val="0"/>
                <w:sz w:val="24"/>
                <w:u w:val="single"/>
                <w:lang w:val="en-US" w:eastAsia="zh-CN"/>
              </w:rPr>
              <w:t>20</w:t>
            </w:r>
            <w:r>
              <w:rPr>
                <w:rFonts w:hint="eastAsia" w:ascii="宋体" w:hAnsi="宋体" w:cs="宋体"/>
                <w:kern w:val="0"/>
                <w:sz w:val="24"/>
              </w:rPr>
              <w:t>分</w:t>
            </w:r>
            <w:bookmarkStart w:id="776" w:name="_GoBack"/>
            <w:bookmarkEnd w:id="776"/>
          </w:p>
        </w:tc>
      </w:tr>
      <w:tr w14:paraId="71E7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578" w:type="dxa"/>
            <w:vAlign w:val="center"/>
          </w:tcPr>
          <w:p w14:paraId="4D8155E5">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2</w:t>
            </w:r>
          </w:p>
        </w:tc>
        <w:tc>
          <w:tcPr>
            <w:tcW w:w="1750" w:type="dxa"/>
            <w:vAlign w:val="center"/>
          </w:tcPr>
          <w:p w14:paraId="75C90BBA">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获取招标文</w:t>
            </w:r>
          </w:p>
          <w:p w14:paraId="3CD3E119">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件截止时间</w:t>
            </w:r>
          </w:p>
        </w:tc>
        <w:tc>
          <w:tcPr>
            <w:tcW w:w="7051" w:type="dxa"/>
            <w:vAlign w:val="center"/>
          </w:tcPr>
          <w:p w14:paraId="276F3F98">
            <w:pPr>
              <w:pStyle w:val="76"/>
              <w:widowControl/>
              <w:snapToGrid w:val="0"/>
              <w:jc w:val="left"/>
              <w:rPr>
                <w:rFonts w:ascii="宋体" w:hAnsi="宋体" w:cs="宋体"/>
                <w:snapToGrid w:val="0"/>
                <w:kern w:val="0"/>
                <w:sz w:val="32"/>
                <w:szCs w:val="32"/>
              </w:rPr>
            </w:pPr>
            <w:r>
              <w:rPr>
                <w:rFonts w:hint="eastAsia" w:ascii="宋体" w:hAnsi="宋体" w:cs="宋体"/>
                <w:kern w:val="0"/>
                <w:sz w:val="24"/>
                <w:u w:val="single"/>
              </w:rPr>
              <w:t>2026</w:t>
            </w:r>
            <w:r>
              <w:rPr>
                <w:rFonts w:hint="eastAsia" w:ascii="宋体" w:hAnsi="宋体" w:cs="宋体"/>
                <w:kern w:val="0"/>
                <w:sz w:val="24"/>
              </w:rPr>
              <w:t>年</w:t>
            </w:r>
            <w:r>
              <w:rPr>
                <w:rFonts w:hint="eastAsia" w:ascii="宋体" w:hAnsi="宋体" w:cs="宋体"/>
                <w:kern w:val="0"/>
                <w:sz w:val="24"/>
                <w:u w:val="single"/>
                <w:lang w:val="en-US" w:eastAsia="zh-CN"/>
              </w:rPr>
              <w:t>7</w:t>
            </w:r>
            <w:r>
              <w:rPr>
                <w:rFonts w:hint="eastAsia" w:ascii="宋体" w:hAnsi="宋体" w:cs="宋体"/>
                <w:kern w:val="0"/>
                <w:sz w:val="24"/>
              </w:rPr>
              <w:t>月</w:t>
            </w:r>
            <w:r>
              <w:rPr>
                <w:rFonts w:hint="eastAsia" w:ascii="宋体" w:hAnsi="宋体" w:cs="宋体"/>
                <w:kern w:val="0"/>
                <w:sz w:val="24"/>
                <w:u w:val="single"/>
                <w:lang w:val="en-US" w:eastAsia="zh-CN"/>
              </w:rPr>
              <w:t>28</w:t>
            </w:r>
            <w:r>
              <w:rPr>
                <w:rFonts w:hint="eastAsia" w:ascii="宋体" w:hAnsi="宋体" w:cs="宋体"/>
                <w:kern w:val="0"/>
                <w:sz w:val="24"/>
              </w:rPr>
              <w:t>日</w:t>
            </w:r>
            <w:r>
              <w:rPr>
                <w:rFonts w:hint="eastAsia" w:ascii="宋体" w:hAnsi="宋体" w:cs="宋体"/>
                <w:kern w:val="0"/>
                <w:sz w:val="24"/>
                <w:u w:val="single"/>
                <w:lang w:val="en-US" w:eastAsia="zh-CN"/>
              </w:rPr>
              <w:t>09</w:t>
            </w:r>
            <w:r>
              <w:rPr>
                <w:rFonts w:hint="eastAsia" w:ascii="宋体" w:hAnsi="宋体" w:cs="宋体"/>
                <w:kern w:val="0"/>
                <w:sz w:val="24"/>
              </w:rPr>
              <w:t>时</w:t>
            </w:r>
            <w:r>
              <w:rPr>
                <w:rFonts w:hint="eastAsia" w:ascii="宋体" w:hAnsi="宋体" w:cs="宋体"/>
                <w:kern w:val="0"/>
                <w:sz w:val="24"/>
                <w:u w:val="single"/>
                <w:lang w:val="en-US" w:eastAsia="zh-CN"/>
              </w:rPr>
              <w:t>30</w:t>
            </w:r>
            <w:r>
              <w:rPr>
                <w:rFonts w:hint="eastAsia" w:ascii="宋体" w:hAnsi="宋体" w:cs="宋体"/>
                <w:kern w:val="0"/>
                <w:sz w:val="24"/>
              </w:rPr>
              <w:t>分</w:t>
            </w:r>
          </w:p>
        </w:tc>
      </w:tr>
      <w:tr w14:paraId="6C42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578" w:type="dxa"/>
            <w:vAlign w:val="center"/>
          </w:tcPr>
          <w:p w14:paraId="57CAFBC1">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3</w:t>
            </w:r>
          </w:p>
        </w:tc>
        <w:tc>
          <w:tcPr>
            <w:tcW w:w="1750" w:type="dxa"/>
            <w:vAlign w:val="center"/>
          </w:tcPr>
          <w:p w14:paraId="2128ECDD">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网上提问</w:t>
            </w:r>
          </w:p>
          <w:p w14:paraId="3A139448">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截止时间</w:t>
            </w:r>
          </w:p>
        </w:tc>
        <w:tc>
          <w:tcPr>
            <w:tcW w:w="7051" w:type="dxa"/>
            <w:vAlign w:val="center"/>
          </w:tcPr>
          <w:p w14:paraId="1C2C5843">
            <w:pPr>
              <w:pStyle w:val="76"/>
              <w:wordWrap w:val="0"/>
              <w:adjustRightInd w:val="0"/>
              <w:snapToGrid w:val="0"/>
              <w:spacing w:line="400" w:lineRule="exact"/>
              <w:jc w:val="left"/>
              <w:rPr>
                <w:rFonts w:ascii="宋体" w:hAnsi="宋体" w:cs="宋体"/>
                <w:snapToGrid w:val="0"/>
                <w:kern w:val="0"/>
                <w:sz w:val="32"/>
                <w:szCs w:val="32"/>
              </w:rPr>
            </w:pPr>
            <w:r>
              <w:rPr>
                <w:rFonts w:hint="eastAsia" w:ascii="宋体" w:hAnsi="宋体" w:cs="宋体"/>
                <w:kern w:val="0"/>
                <w:sz w:val="24"/>
                <w:u w:val="single"/>
              </w:rPr>
              <w:t>2026</w:t>
            </w:r>
            <w:r>
              <w:rPr>
                <w:rFonts w:hint="eastAsia" w:ascii="宋体" w:hAnsi="宋体" w:cs="宋体"/>
                <w:kern w:val="0"/>
                <w:sz w:val="24"/>
              </w:rPr>
              <w:t>年</w:t>
            </w:r>
            <w:r>
              <w:rPr>
                <w:rFonts w:hint="eastAsia" w:ascii="宋体" w:hAnsi="宋体" w:cs="宋体"/>
                <w:kern w:val="0"/>
                <w:sz w:val="24"/>
                <w:u w:val="single"/>
                <w:lang w:val="en-US" w:eastAsia="zh-CN"/>
              </w:rPr>
              <w:t>7</w:t>
            </w:r>
            <w:r>
              <w:rPr>
                <w:rFonts w:hint="eastAsia" w:ascii="宋体" w:hAnsi="宋体" w:cs="宋体"/>
                <w:kern w:val="0"/>
                <w:sz w:val="24"/>
              </w:rPr>
              <w:t>月</w:t>
            </w:r>
            <w:r>
              <w:rPr>
                <w:rFonts w:hint="eastAsia" w:ascii="宋体" w:hAnsi="宋体" w:cs="宋体"/>
                <w:kern w:val="0"/>
                <w:sz w:val="24"/>
                <w:u w:val="single"/>
                <w:lang w:val="en-US" w:eastAsia="zh-CN"/>
              </w:rPr>
              <w:t>18</w:t>
            </w:r>
            <w:r>
              <w:rPr>
                <w:rFonts w:hint="eastAsia" w:ascii="宋体" w:hAnsi="宋体" w:cs="宋体"/>
                <w:kern w:val="0"/>
                <w:sz w:val="24"/>
              </w:rPr>
              <w:t>日</w:t>
            </w:r>
            <w:r>
              <w:rPr>
                <w:rFonts w:hint="eastAsia" w:ascii="宋体" w:hAnsi="宋体" w:cs="宋体"/>
                <w:kern w:val="0"/>
                <w:sz w:val="24"/>
                <w:u w:val="single"/>
              </w:rPr>
              <w:t xml:space="preserve"> 16</w:t>
            </w:r>
            <w:r>
              <w:rPr>
                <w:rFonts w:hint="eastAsia" w:ascii="宋体" w:hAnsi="宋体" w:cs="宋体"/>
                <w:kern w:val="0"/>
                <w:sz w:val="24"/>
              </w:rPr>
              <w:t>时</w:t>
            </w:r>
            <w:r>
              <w:rPr>
                <w:rFonts w:hint="eastAsia" w:ascii="宋体" w:hAnsi="宋体" w:cs="宋体"/>
                <w:kern w:val="0"/>
                <w:sz w:val="24"/>
                <w:u w:val="single"/>
              </w:rPr>
              <w:t xml:space="preserve"> 00</w:t>
            </w:r>
            <w:r>
              <w:rPr>
                <w:rFonts w:hint="eastAsia" w:ascii="宋体" w:hAnsi="宋体" w:cs="宋体"/>
                <w:kern w:val="0"/>
                <w:sz w:val="24"/>
              </w:rPr>
              <w:t>分</w:t>
            </w:r>
          </w:p>
        </w:tc>
      </w:tr>
      <w:tr w14:paraId="486A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578" w:type="dxa"/>
            <w:vAlign w:val="center"/>
          </w:tcPr>
          <w:p w14:paraId="59F79A0C">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4</w:t>
            </w:r>
          </w:p>
        </w:tc>
        <w:tc>
          <w:tcPr>
            <w:tcW w:w="1750" w:type="dxa"/>
            <w:vAlign w:val="center"/>
          </w:tcPr>
          <w:p w14:paraId="0ADDB114">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网上答疑</w:t>
            </w:r>
          </w:p>
          <w:p w14:paraId="75DF0343">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时间</w:t>
            </w:r>
          </w:p>
        </w:tc>
        <w:tc>
          <w:tcPr>
            <w:tcW w:w="7051" w:type="dxa"/>
            <w:vAlign w:val="center"/>
          </w:tcPr>
          <w:p w14:paraId="078D079F">
            <w:pPr>
              <w:pStyle w:val="76"/>
              <w:widowControl/>
              <w:snapToGrid w:val="0"/>
              <w:jc w:val="left"/>
              <w:rPr>
                <w:rFonts w:ascii="宋体" w:hAnsi="宋体" w:cs="宋体"/>
                <w:snapToGrid w:val="0"/>
                <w:kern w:val="0"/>
                <w:sz w:val="32"/>
                <w:szCs w:val="32"/>
              </w:rPr>
            </w:pPr>
            <w:r>
              <w:rPr>
                <w:rFonts w:hint="eastAsia" w:ascii="宋体" w:hAnsi="宋体" w:cs="宋体"/>
                <w:kern w:val="0"/>
                <w:sz w:val="24"/>
                <w:u w:val="single"/>
              </w:rPr>
              <w:t>2026</w:t>
            </w:r>
            <w:r>
              <w:rPr>
                <w:rFonts w:hint="eastAsia" w:ascii="宋体" w:hAnsi="宋体" w:cs="宋体"/>
                <w:kern w:val="0"/>
                <w:sz w:val="24"/>
              </w:rPr>
              <w:t>年</w:t>
            </w:r>
            <w:r>
              <w:rPr>
                <w:rFonts w:hint="eastAsia" w:ascii="宋体" w:hAnsi="宋体" w:cs="宋体"/>
                <w:kern w:val="0"/>
                <w:sz w:val="24"/>
                <w:u w:val="single"/>
                <w:lang w:val="en-US" w:eastAsia="zh-CN"/>
              </w:rPr>
              <w:t>7</w:t>
            </w:r>
            <w:r>
              <w:rPr>
                <w:rFonts w:hint="eastAsia" w:ascii="宋体" w:hAnsi="宋体" w:cs="宋体"/>
                <w:kern w:val="0"/>
                <w:sz w:val="24"/>
              </w:rPr>
              <w:t>月</w:t>
            </w:r>
            <w:r>
              <w:rPr>
                <w:rFonts w:hint="eastAsia" w:ascii="宋体" w:hAnsi="宋体" w:cs="宋体"/>
                <w:kern w:val="0"/>
                <w:sz w:val="24"/>
                <w:u w:val="single"/>
                <w:lang w:val="en-US" w:eastAsia="zh-CN"/>
              </w:rPr>
              <w:t>18</w:t>
            </w:r>
            <w:r>
              <w:rPr>
                <w:rFonts w:hint="eastAsia" w:ascii="宋体" w:hAnsi="宋体" w:cs="宋体"/>
                <w:kern w:val="0"/>
                <w:sz w:val="24"/>
              </w:rPr>
              <w:t>日</w:t>
            </w:r>
            <w:r>
              <w:rPr>
                <w:rFonts w:hint="eastAsia" w:ascii="宋体" w:hAnsi="宋体" w:cs="宋体"/>
                <w:kern w:val="0"/>
                <w:sz w:val="24"/>
                <w:u w:val="single"/>
              </w:rPr>
              <w:t xml:space="preserve"> 16 </w:t>
            </w:r>
            <w:r>
              <w:rPr>
                <w:rFonts w:hint="eastAsia" w:ascii="宋体" w:hAnsi="宋体" w:cs="宋体"/>
                <w:kern w:val="0"/>
                <w:sz w:val="24"/>
              </w:rPr>
              <w:t>时</w:t>
            </w:r>
            <w:r>
              <w:rPr>
                <w:rFonts w:hint="eastAsia" w:ascii="宋体" w:hAnsi="宋体" w:cs="宋体"/>
                <w:kern w:val="0"/>
                <w:sz w:val="24"/>
                <w:u w:val="single"/>
              </w:rPr>
              <w:t xml:space="preserve"> 30 </w:t>
            </w:r>
            <w:r>
              <w:rPr>
                <w:rFonts w:hint="eastAsia" w:ascii="宋体" w:hAnsi="宋体" w:cs="宋体"/>
                <w:kern w:val="0"/>
                <w:sz w:val="24"/>
              </w:rPr>
              <w:t>分至</w:t>
            </w:r>
            <w:r>
              <w:rPr>
                <w:rFonts w:hint="eastAsia" w:ascii="宋体" w:hAnsi="宋体" w:cs="宋体"/>
                <w:kern w:val="0"/>
                <w:sz w:val="24"/>
                <w:u w:val="single"/>
              </w:rPr>
              <w:t>2026</w:t>
            </w:r>
            <w:r>
              <w:rPr>
                <w:rFonts w:hint="eastAsia" w:ascii="宋体" w:hAnsi="宋体" w:cs="宋体"/>
                <w:kern w:val="0"/>
                <w:sz w:val="24"/>
              </w:rPr>
              <w:t>年</w:t>
            </w:r>
            <w:r>
              <w:rPr>
                <w:rFonts w:hint="eastAsia" w:ascii="宋体" w:hAnsi="宋体" w:cs="宋体"/>
                <w:kern w:val="0"/>
                <w:sz w:val="24"/>
                <w:u w:val="single"/>
                <w:lang w:val="en-US" w:eastAsia="zh-CN"/>
              </w:rPr>
              <w:t>7</w:t>
            </w:r>
            <w:r>
              <w:rPr>
                <w:rFonts w:hint="eastAsia" w:ascii="宋体" w:hAnsi="宋体" w:cs="宋体"/>
                <w:kern w:val="0"/>
                <w:sz w:val="24"/>
              </w:rPr>
              <w:t>月</w:t>
            </w:r>
            <w:r>
              <w:rPr>
                <w:rFonts w:hint="eastAsia" w:ascii="宋体" w:hAnsi="宋体" w:cs="宋体"/>
                <w:kern w:val="0"/>
                <w:sz w:val="24"/>
                <w:u w:val="single"/>
                <w:lang w:val="en-US" w:eastAsia="zh-CN"/>
              </w:rPr>
              <w:t>21</w:t>
            </w:r>
            <w:r>
              <w:rPr>
                <w:rFonts w:hint="eastAsia" w:ascii="宋体" w:hAnsi="宋体" w:cs="宋体"/>
                <w:kern w:val="0"/>
                <w:sz w:val="24"/>
              </w:rPr>
              <w:t>日</w:t>
            </w:r>
            <w:r>
              <w:rPr>
                <w:rFonts w:hint="eastAsia" w:ascii="宋体" w:hAnsi="宋体" w:cs="宋体"/>
                <w:kern w:val="0"/>
                <w:sz w:val="24"/>
                <w:u w:val="single"/>
              </w:rPr>
              <w:t xml:space="preserve"> 16 </w:t>
            </w:r>
            <w:r>
              <w:rPr>
                <w:rFonts w:hint="eastAsia" w:ascii="宋体" w:hAnsi="宋体" w:cs="宋体"/>
                <w:kern w:val="0"/>
                <w:sz w:val="24"/>
              </w:rPr>
              <w:t>时</w:t>
            </w:r>
            <w:r>
              <w:rPr>
                <w:rFonts w:hint="eastAsia" w:ascii="宋体" w:hAnsi="宋体" w:cs="宋体"/>
                <w:kern w:val="0"/>
                <w:sz w:val="24"/>
                <w:u w:val="single"/>
              </w:rPr>
              <w:t xml:space="preserve"> 00</w:t>
            </w:r>
            <w:r>
              <w:rPr>
                <w:rFonts w:hint="eastAsia" w:ascii="宋体" w:hAnsi="宋体" w:cs="宋体"/>
                <w:kern w:val="0"/>
                <w:sz w:val="24"/>
              </w:rPr>
              <w:t>分</w:t>
            </w:r>
          </w:p>
        </w:tc>
      </w:tr>
      <w:tr w14:paraId="1DEE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1" w:hRule="atLeast"/>
          <w:jc w:val="center"/>
        </w:trPr>
        <w:tc>
          <w:tcPr>
            <w:tcW w:w="578" w:type="dxa"/>
            <w:vAlign w:val="center"/>
          </w:tcPr>
          <w:p w14:paraId="27F443B7">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5</w:t>
            </w:r>
          </w:p>
        </w:tc>
        <w:tc>
          <w:tcPr>
            <w:tcW w:w="1750" w:type="dxa"/>
            <w:vAlign w:val="center"/>
          </w:tcPr>
          <w:p w14:paraId="60D67F0C">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投标保证缴</w:t>
            </w:r>
          </w:p>
          <w:p w14:paraId="1FD4D8B6">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纳截止时间</w:t>
            </w:r>
          </w:p>
        </w:tc>
        <w:tc>
          <w:tcPr>
            <w:tcW w:w="7051" w:type="dxa"/>
            <w:vAlign w:val="center"/>
          </w:tcPr>
          <w:p w14:paraId="438A806E">
            <w:pPr>
              <w:pStyle w:val="76"/>
              <w:widowControl/>
              <w:snapToGrid w:val="0"/>
              <w:jc w:val="left"/>
              <w:rPr>
                <w:rFonts w:ascii="宋体" w:hAnsi="宋体" w:cs="宋体"/>
                <w:kern w:val="0"/>
                <w:sz w:val="24"/>
              </w:rPr>
            </w:pPr>
            <w:r>
              <w:rPr>
                <w:rFonts w:hint="eastAsia" w:ascii="宋体" w:hAnsi="宋体" w:cs="宋体"/>
                <w:kern w:val="0"/>
                <w:sz w:val="24"/>
              </w:rPr>
              <w:t>投标保证金到账截止时间：</w:t>
            </w:r>
            <w:r>
              <w:rPr>
                <w:rFonts w:hint="eastAsia" w:ascii="宋体" w:hAnsi="宋体" w:cs="宋体"/>
                <w:kern w:val="0"/>
                <w:sz w:val="24"/>
                <w:u w:val="single"/>
              </w:rPr>
              <w:t>2026</w:t>
            </w:r>
            <w:r>
              <w:rPr>
                <w:rFonts w:hint="eastAsia" w:ascii="宋体" w:hAnsi="宋体" w:cs="宋体"/>
                <w:kern w:val="0"/>
                <w:sz w:val="24"/>
              </w:rPr>
              <w:t>年</w:t>
            </w:r>
            <w:r>
              <w:rPr>
                <w:rFonts w:hint="eastAsia" w:ascii="宋体" w:hAnsi="宋体" w:cs="宋体"/>
                <w:kern w:val="0"/>
                <w:sz w:val="24"/>
                <w:u w:val="single"/>
                <w:lang w:val="en-US" w:eastAsia="zh-CN"/>
              </w:rPr>
              <w:t>7</w:t>
            </w:r>
            <w:r>
              <w:rPr>
                <w:rFonts w:hint="eastAsia" w:ascii="宋体" w:hAnsi="宋体" w:cs="宋体"/>
                <w:kern w:val="0"/>
                <w:sz w:val="24"/>
              </w:rPr>
              <w:t>月</w:t>
            </w:r>
            <w:r>
              <w:rPr>
                <w:rFonts w:hint="eastAsia" w:ascii="宋体" w:hAnsi="宋体" w:cs="宋体"/>
                <w:kern w:val="0"/>
                <w:sz w:val="24"/>
                <w:u w:val="single"/>
                <w:lang w:val="en-US" w:eastAsia="zh-CN"/>
              </w:rPr>
              <w:t>27</w:t>
            </w:r>
            <w:r>
              <w:rPr>
                <w:rFonts w:hint="eastAsia" w:ascii="宋体" w:hAnsi="宋体" w:cs="宋体"/>
                <w:kern w:val="0"/>
                <w:sz w:val="24"/>
              </w:rPr>
              <w:t>日</w:t>
            </w:r>
            <w:r>
              <w:rPr>
                <w:rFonts w:hint="eastAsia" w:ascii="宋体" w:hAnsi="宋体" w:cs="宋体"/>
                <w:kern w:val="0"/>
                <w:sz w:val="24"/>
                <w:u w:val="single"/>
                <w:lang w:val="en-US" w:eastAsia="zh-CN"/>
              </w:rPr>
              <w:t>09</w:t>
            </w:r>
            <w:r>
              <w:rPr>
                <w:rFonts w:hint="eastAsia" w:ascii="宋体" w:hAnsi="宋体" w:cs="宋体"/>
                <w:kern w:val="0"/>
                <w:sz w:val="24"/>
              </w:rPr>
              <w:t>时</w:t>
            </w:r>
            <w:r>
              <w:rPr>
                <w:rFonts w:hint="eastAsia" w:ascii="宋体" w:hAnsi="宋体" w:cs="宋体"/>
                <w:kern w:val="0"/>
                <w:sz w:val="24"/>
                <w:u w:val="single"/>
                <w:lang w:val="en-US" w:eastAsia="zh-CN"/>
              </w:rPr>
              <w:t>30</w:t>
            </w:r>
            <w:r>
              <w:rPr>
                <w:rFonts w:hint="eastAsia" w:ascii="宋体" w:hAnsi="宋体" w:cs="宋体"/>
                <w:kern w:val="0"/>
                <w:sz w:val="24"/>
              </w:rPr>
              <w:t>分；</w:t>
            </w:r>
          </w:p>
          <w:p w14:paraId="336DCC49">
            <w:pPr>
              <w:pStyle w:val="76"/>
              <w:widowControl/>
              <w:snapToGrid w:val="0"/>
              <w:jc w:val="left"/>
              <w:rPr>
                <w:rFonts w:ascii="宋体" w:hAnsi="宋体" w:cs="宋体"/>
                <w:kern w:val="0"/>
                <w:sz w:val="24"/>
              </w:rPr>
            </w:pPr>
            <w:r>
              <w:rPr>
                <w:rFonts w:hint="eastAsia" w:ascii="宋体" w:hAnsi="宋体" w:cs="宋体"/>
                <w:kern w:val="0"/>
                <w:sz w:val="24"/>
              </w:rPr>
              <w:t>投标保证担保上传截止时间：</w:t>
            </w:r>
            <w:r>
              <w:rPr>
                <w:rFonts w:hint="eastAsia" w:ascii="宋体" w:hAnsi="宋体" w:cs="宋体"/>
                <w:kern w:val="0"/>
                <w:sz w:val="24"/>
                <w:u w:val="single"/>
              </w:rPr>
              <w:t>2026</w:t>
            </w:r>
            <w:r>
              <w:rPr>
                <w:rFonts w:hint="eastAsia" w:ascii="宋体" w:hAnsi="宋体" w:cs="宋体"/>
                <w:kern w:val="0"/>
                <w:sz w:val="24"/>
              </w:rPr>
              <w:t>年</w:t>
            </w:r>
            <w:r>
              <w:rPr>
                <w:rFonts w:hint="eastAsia" w:ascii="宋体" w:hAnsi="宋体" w:cs="宋体"/>
                <w:kern w:val="0"/>
                <w:sz w:val="24"/>
                <w:u w:val="single"/>
                <w:lang w:val="en-US" w:eastAsia="zh-CN"/>
              </w:rPr>
              <w:t>7</w:t>
            </w:r>
            <w:r>
              <w:rPr>
                <w:rFonts w:hint="eastAsia" w:ascii="宋体" w:hAnsi="宋体" w:cs="宋体"/>
                <w:kern w:val="0"/>
                <w:sz w:val="24"/>
              </w:rPr>
              <w:t>月</w:t>
            </w:r>
            <w:r>
              <w:rPr>
                <w:rFonts w:hint="eastAsia" w:ascii="宋体" w:hAnsi="宋体" w:cs="宋体"/>
                <w:kern w:val="0"/>
                <w:sz w:val="24"/>
                <w:u w:val="single"/>
                <w:lang w:val="en-US" w:eastAsia="zh-CN"/>
              </w:rPr>
              <w:t>27</w:t>
            </w:r>
            <w:r>
              <w:rPr>
                <w:rFonts w:hint="eastAsia" w:ascii="宋体" w:hAnsi="宋体" w:cs="宋体"/>
                <w:kern w:val="0"/>
                <w:sz w:val="24"/>
              </w:rPr>
              <w:t>日</w:t>
            </w:r>
            <w:r>
              <w:rPr>
                <w:rFonts w:hint="eastAsia" w:ascii="宋体" w:hAnsi="宋体" w:cs="宋体"/>
                <w:kern w:val="0"/>
                <w:sz w:val="24"/>
                <w:u w:val="single"/>
                <w:lang w:val="en-US" w:eastAsia="zh-CN"/>
              </w:rPr>
              <w:t>09</w:t>
            </w:r>
            <w:r>
              <w:rPr>
                <w:rFonts w:hint="eastAsia" w:ascii="宋体" w:hAnsi="宋体" w:cs="宋体"/>
                <w:kern w:val="0"/>
                <w:sz w:val="24"/>
              </w:rPr>
              <w:t>时</w:t>
            </w:r>
            <w:r>
              <w:rPr>
                <w:rFonts w:hint="eastAsia" w:ascii="宋体" w:hAnsi="宋体" w:cs="宋体"/>
                <w:kern w:val="0"/>
                <w:sz w:val="24"/>
                <w:u w:val="single"/>
                <w:lang w:val="en-US" w:eastAsia="zh-CN"/>
              </w:rPr>
              <w:t>30</w:t>
            </w:r>
            <w:r>
              <w:rPr>
                <w:rFonts w:hint="eastAsia" w:ascii="宋体" w:hAnsi="宋体" w:cs="宋体"/>
                <w:kern w:val="0"/>
                <w:sz w:val="24"/>
              </w:rPr>
              <w:t>分；</w:t>
            </w:r>
          </w:p>
          <w:p w14:paraId="1642DB92">
            <w:pPr>
              <w:pStyle w:val="76"/>
              <w:widowControl/>
              <w:snapToGrid w:val="0"/>
              <w:jc w:val="left"/>
              <w:rPr>
                <w:rFonts w:ascii="宋体" w:hAnsi="宋体" w:cs="宋体"/>
                <w:snapToGrid w:val="0"/>
                <w:kern w:val="0"/>
                <w:sz w:val="32"/>
                <w:szCs w:val="32"/>
              </w:rPr>
            </w:pPr>
            <w:r>
              <w:rPr>
                <w:rFonts w:hint="eastAsia" w:ascii="宋体" w:hAnsi="宋体" w:cs="宋体"/>
                <w:kern w:val="0"/>
                <w:sz w:val="24"/>
              </w:rPr>
              <w:t>投标保证保险投保截止时间：</w:t>
            </w:r>
            <w:r>
              <w:rPr>
                <w:rFonts w:hint="eastAsia" w:ascii="宋体" w:hAnsi="宋体" w:cs="宋体"/>
                <w:kern w:val="0"/>
                <w:sz w:val="24"/>
                <w:u w:val="single"/>
              </w:rPr>
              <w:t>2026</w:t>
            </w:r>
            <w:r>
              <w:rPr>
                <w:rFonts w:hint="eastAsia" w:ascii="宋体" w:hAnsi="宋体" w:cs="宋体"/>
                <w:kern w:val="0"/>
                <w:sz w:val="24"/>
              </w:rPr>
              <w:t>年</w:t>
            </w:r>
            <w:r>
              <w:rPr>
                <w:rFonts w:hint="eastAsia" w:ascii="宋体" w:hAnsi="宋体" w:cs="宋体"/>
                <w:kern w:val="0"/>
                <w:sz w:val="24"/>
                <w:u w:val="single"/>
                <w:lang w:val="en-US" w:eastAsia="zh-CN"/>
              </w:rPr>
              <w:t>7</w:t>
            </w:r>
            <w:r>
              <w:rPr>
                <w:rFonts w:hint="eastAsia" w:ascii="宋体" w:hAnsi="宋体" w:cs="宋体"/>
                <w:kern w:val="0"/>
                <w:sz w:val="24"/>
              </w:rPr>
              <w:t>月</w:t>
            </w:r>
            <w:r>
              <w:rPr>
                <w:rFonts w:hint="eastAsia" w:ascii="宋体" w:hAnsi="宋体" w:cs="宋体"/>
                <w:kern w:val="0"/>
                <w:sz w:val="24"/>
                <w:u w:val="single"/>
                <w:lang w:val="en-US" w:eastAsia="zh-CN"/>
              </w:rPr>
              <w:t>27</w:t>
            </w:r>
            <w:r>
              <w:rPr>
                <w:rFonts w:hint="eastAsia" w:ascii="宋体" w:hAnsi="宋体" w:cs="宋体"/>
                <w:kern w:val="0"/>
                <w:sz w:val="24"/>
              </w:rPr>
              <w:t>日</w:t>
            </w:r>
            <w:r>
              <w:rPr>
                <w:rFonts w:hint="eastAsia" w:ascii="宋体" w:hAnsi="宋体" w:cs="宋体"/>
                <w:kern w:val="0"/>
                <w:sz w:val="24"/>
                <w:u w:val="single"/>
                <w:lang w:val="en-US" w:eastAsia="zh-CN"/>
              </w:rPr>
              <w:t>09</w:t>
            </w:r>
            <w:r>
              <w:rPr>
                <w:rFonts w:hint="eastAsia" w:ascii="宋体" w:hAnsi="宋体" w:cs="宋体"/>
                <w:kern w:val="0"/>
                <w:sz w:val="24"/>
              </w:rPr>
              <w:t>时</w:t>
            </w:r>
            <w:r>
              <w:rPr>
                <w:rFonts w:hint="eastAsia" w:ascii="宋体" w:hAnsi="宋体" w:cs="宋体"/>
                <w:kern w:val="0"/>
                <w:sz w:val="24"/>
                <w:u w:val="single"/>
                <w:lang w:val="en-US" w:eastAsia="zh-CN"/>
              </w:rPr>
              <w:t>30</w:t>
            </w:r>
            <w:r>
              <w:rPr>
                <w:rFonts w:hint="eastAsia" w:ascii="宋体" w:hAnsi="宋体" w:cs="宋体"/>
                <w:kern w:val="0"/>
                <w:sz w:val="24"/>
              </w:rPr>
              <w:t>分。</w:t>
            </w:r>
          </w:p>
        </w:tc>
      </w:tr>
      <w:tr w14:paraId="75A6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578" w:type="dxa"/>
            <w:vAlign w:val="center"/>
          </w:tcPr>
          <w:p w14:paraId="5775C6DA">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6</w:t>
            </w:r>
          </w:p>
        </w:tc>
        <w:tc>
          <w:tcPr>
            <w:tcW w:w="1750" w:type="dxa"/>
            <w:vAlign w:val="center"/>
          </w:tcPr>
          <w:p w14:paraId="5C5A7E32">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电子投标</w:t>
            </w:r>
          </w:p>
          <w:p w14:paraId="16A83EAD">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截止时间</w:t>
            </w:r>
          </w:p>
        </w:tc>
        <w:tc>
          <w:tcPr>
            <w:tcW w:w="7051" w:type="dxa"/>
            <w:vAlign w:val="center"/>
          </w:tcPr>
          <w:p w14:paraId="4F7925A6">
            <w:pPr>
              <w:pStyle w:val="76"/>
              <w:widowControl/>
              <w:snapToGrid w:val="0"/>
              <w:jc w:val="left"/>
              <w:rPr>
                <w:rFonts w:ascii="宋体" w:hAnsi="宋体" w:cs="宋体"/>
                <w:snapToGrid w:val="0"/>
                <w:kern w:val="0"/>
                <w:sz w:val="32"/>
                <w:szCs w:val="32"/>
              </w:rPr>
            </w:pPr>
            <w:r>
              <w:rPr>
                <w:rFonts w:hint="eastAsia" w:ascii="宋体" w:hAnsi="宋体" w:cs="宋体"/>
                <w:snapToGrid w:val="0"/>
                <w:kern w:val="0"/>
                <w:sz w:val="24"/>
              </w:rPr>
              <w:t xml:space="preserve"> </w:t>
            </w:r>
            <w:r>
              <w:rPr>
                <w:rFonts w:hint="eastAsia" w:ascii="宋体" w:hAnsi="宋体" w:cs="宋体"/>
                <w:kern w:val="0"/>
                <w:sz w:val="24"/>
                <w:u w:val="single"/>
              </w:rPr>
              <w:t>2026</w:t>
            </w:r>
            <w:r>
              <w:rPr>
                <w:rFonts w:hint="eastAsia" w:ascii="宋体" w:hAnsi="宋体" w:cs="宋体"/>
                <w:kern w:val="0"/>
                <w:sz w:val="24"/>
              </w:rPr>
              <w:t>年</w:t>
            </w:r>
            <w:r>
              <w:rPr>
                <w:rFonts w:hint="eastAsia" w:ascii="宋体" w:hAnsi="宋体" w:cs="宋体"/>
                <w:kern w:val="0"/>
                <w:sz w:val="24"/>
                <w:u w:val="single"/>
                <w:lang w:val="en-US" w:eastAsia="zh-CN"/>
              </w:rPr>
              <w:t>7</w:t>
            </w:r>
            <w:r>
              <w:rPr>
                <w:rFonts w:hint="eastAsia" w:ascii="宋体" w:hAnsi="宋体" w:cs="宋体"/>
                <w:kern w:val="0"/>
                <w:sz w:val="24"/>
              </w:rPr>
              <w:t>月</w:t>
            </w:r>
            <w:r>
              <w:rPr>
                <w:rFonts w:hint="eastAsia" w:ascii="宋体" w:hAnsi="宋体" w:cs="宋体"/>
                <w:kern w:val="0"/>
                <w:sz w:val="24"/>
                <w:u w:val="single"/>
                <w:lang w:val="en-US" w:eastAsia="zh-CN"/>
              </w:rPr>
              <w:t>28</w:t>
            </w:r>
            <w:r>
              <w:rPr>
                <w:rFonts w:hint="eastAsia" w:ascii="宋体" w:hAnsi="宋体" w:cs="宋体"/>
                <w:kern w:val="0"/>
                <w:sz w:val="24"/>
              </w:rPr>
              <w:t>日</w:t>
            </w:r>
            <w:r>
              <w:rPr>
                <w:rFonts w:hint="eastAsia" w:ascii="宋体" w:hAnsi="宋体" w:cs="宋体"/>
                <w:kern w:val="0"/>
                <w:sz w:val="24"/>
                <w:u w:val="single"/>
                <w:lang w:val="en-US" w:eastAsia="zh-CN"/>
              </w:rPr>
              <w:t>09</w:t>
            </w:r>
            <w:r>
              <w:rPr>
                <w:rFonts w:hint="eastAsia" w:ascii="宋体" w:hAnsi="宋体" w:cs="宋体"/>
                <w:kern w:val="0"/>
                <w:sz w:val="24"/>
              </w:rPr>
              <w:t>时</w:t>
            </w:r>
            <w:r>
              <w:rPr>
                <w:rFonts w:hint="eastAsia" w:ascii="宋体" w:hAnsi="宋体" w:cs="宋体"/>
                <w:kern w:val="0"/>
                <w:sz w:val="24"/>
                <w:u w:val="single"/>
                <w:lang w:val="en-US" w:eastAsia="zh-CN"/>
              </w:rPr>
              <w:t>30</w:t>
            </w:r>
            <w:r>
              <w:rPr>
                <w:rFonts w:hint="eastAsia" w:ascii="宋体" w:hAnsi="宋体" w:cs="宋体"/>
                <w:kern w:val="0"/>
                <w:sz w:val="24"/>
              </w:rPr>
              <w:t>分</w:t>
            </w:r>
          </w:p>
        </w:tc>
      </w:tr>
      <w:tr w14:paraId="7C7B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578" w:type="dxa"/>
            <w:vAlign w:val="center"/>
          </w:tcPr>
          <w:p w14:paraId="03B23208">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7</w:t>
            </w:r>
          </w:p>
        </w:tc>
        <w:tc>
          <w:tcPr>
            <w:tcW w:w="1750" w:type="dxa"/>
            <w:vAlign w:val="center"/>
          </w:tcPr>
          <w:p w14:paraId="66360165">
            <w:pPr>
              <w:wordWrap w:val="0"/>
              <w:adjustRightInd w:val="0"/>
              <w:snapToGrid w:val="0"/>
              <w:jc w:val="center"/>
              <w:rPr>
                <w:snapToGrid w:val="0"/>
              </w:rPr>
            </w:pPr>
            <w:r>
              <w:rPr>
                <w:rFonts w:hint="eastAsia"/>
                <w:bCs/>
                <w:snapToGrid w:val="0"/>
              </w:rPr>
              <w:t>评审原件（如有）递交时间</w:t>
            </w:r>
          </w:p>
        </w:tc>
        <w:tc>
          <w:tcPr>
            <w:tcW w:w="7051" w:type="dxa"/>
            <w:vAlign w:val="center"/>
          </w:tcPr>
          <w:p w14:paraId="40E06B24">
            <w:pPr>
              <w:pStyle w:val="76"/>
              <w:widowControl/>
              <w:snapToGrid w:val="0"/>
              <w:jc w:val="left"/>
              <w:rPr>
                <w:rFonts w:ascii="宋体" w:hAnsi="宋体" w:cs="宋体"/>
                <w:snapToGrid w:val="0"/>
                <w:kern w:val="0"/>
                <w:sz w:val="32"/>
                <w:szCs w:val="32"/>
                <w:u w:val="single"/>
              </w:rPr>
            </w:pPr>
            <w:r>
              <w:rPr>
                <w:rFonts w:hint="eastAsia" w:ascii="宋体" w:hAnsi="宋体" w:cs="宋体"/>
                <w:kern w:val="0"/>
                <w:sz w:val="24"/>
                <w:u w:val="single"/>
              </w:rPr>
              <w:t>2026</w:t>
            </w:r>
            <w:r>
              <w:rPr>
                <w:rFonts w:hint="eastAsia" w:ascii="宋体" w:hAnsi="宋体" w:cs="宋体"/>
                <w:kern w:val="0"/>
                <w:sz w:val="24"/>
              </w:rPr>
              <w:t>年</w:t>
            </w:r>
            <w:r>
              <w:rPr>
                <w:rFonts w:hint="eastAsia" w:ascii="宋体" w:hAnsi="宋体" w:cs="宋体"/>
                <w:kern w:val="0"/>
                <w:sz w:val="24"/>
                <w:u w:val="single"/>
                <w:lang w:val="en-US" w:eastAsia="zh-CN"/>
              </w:rPr>
              <w:t>7</w:t>
            </w:r>
            <w:r>
              <w:rPr>
                <w:rFonts w:hint="eastAsia" w:ascii="宋体" w:hAnsi="宋体" w:cs="宋体"/>
                <w:kern w:val="0"/>
                <w:sz w:val="24"/>
              </w:rPr>
              <w:t>月</w:t>
            </w:r>
            <w:r>
              <w:rPr>
                <w:rFonts w:hint="eastAsia" w:ascii="宋体" w:hAnsi="宋体" w:cs="宋体"/>
                <w:kern w:val="0"/>
                <w:sz w:val="24"/>
                <w:u w:val="single"/>
                <w:lang w:val="en-US" w:eastAsia="zh-CN"/>
              </w:rPr>
              <w:t>28</w:t>
            </w:r>
            <w:r>
              <w:rPr>
                <w:rFonts w:hint="eastAsia" w:ascii="宋体" w:hAnsi="宋体" w:cs="宋体"/>
                <w:kern w:val="0"/>
                <w:sz w:val="24"/>
              </w:rPr>
              <w:t>日</w:t>
            </w:r>
            <w:r>
              <w:rPr>
                <w:rFonts w:hint="eastAsia" w:ascii="宋体" w:hAnsi="宋体" w:cs="宋体"/>
                <w:kern w:val="0"/>
                <w:sz w:val="24"/>
                <w:u w:val="single"/>
                <w:lang w:val="en-US" w:eastAsia="zh-CN"/>
              </w:rPr>
              <w:t>09</w:t>
            </w:r>
            <w:r>
              <w:rPr>
                <w:rFonts w:hint="eastAsia" w:ascii="宋体" w:hAnsi="宋体" w:cs="宋体"/>
                <w:kern w:val="0"/>
                <w:sz w:val="24"/>
              </w:rPr>
              <w:t>时</w:t>
            </w:r>
            <w:r>
              <w:rPr>
                <w:rFonts w:hint="eastAsia" w:ascii="宋体" w:hAnsi="宋体" w:cs="宋体"/>
                <w:kern w:val="0"/>
                <w:sz w:val="24"/>
                <w:u w:val="single"/>
                <w:lang w:val="en-US" w:eastAsia="zh-CN"/>
              </w:rPr>
              <w:t>00</w:t>
            </w:r>
            <w:r>
              <w:rPr>
                <w:rFonts w:hint="eastAsia" w:ascii="宋体" w:hAnsi="宋体" w:cs="宋体"/>
                <w:kern w:val="0"/>
                <w:sz w:val="24"/>
              </w:rPr>
              <w:t>分至</w:t>
            </w:r>
            <w:r>
              <w:rPr>
                <w:rFonts w:hint="eastAsia" w:ascii="宋体" w:hAnsi="宋体" w:cs="宋体"/>
                <w:kern w:val="0"/>
                <w:sz w:val="24"/>
                <w:u w:val="single"/>
              </w:rPr>
              <w:t>2026</w:t>
            </w:r>
            <w:r>
              <w:rPr>
                <w:rFonts w:hint="eastAsia" w:ascii="宋体" w:hAnsi="宋体" w:cs="宋体"/>
                <w:kern w:val="0"/>
                <w:sz w:val="24"/>
              </w:rPr>
              <w:t>年</w:t>
            </w:r>
            <w:r>
              <w:rPr>
                <w:rFonts w:hint="eastAsia" w:ascii="宋体" w:hAnsi="宋体" w:cs="宋体"/>
                <w:kern w:val="0"/>
                <w:sz w:val="24"/>
                <w:u w:val="single"/>
                <w:lang w:val="en-US" w:eastAsia="zh-CN"/>
              </w:rPr>
              <w:t>7</w:t>
            </w:r>
            <w:r>
              <w:rPr>
                <w:rFonts w:hint="eastAsia" w:ascii="宋体" w:hAnsi="宋体" w:cs="宋体"/>
                <w:kern w:val="0"/>
                <w:sz w:val="24"/>
              </w:rPr>
              <w:t>月</w:t>
            </w:r>
            <w:r>
              <w:rPr>
                <w:rFonts w:hint="eastAsia" w:ascii="宋体" w:hAnsi="宋体" w:cs="宋体"/>
                <w:kern w:val="0"/>
                <w:sz w:val="24"/>
                <w:u w:val="single"/>
                <w:lang w:val="en-US" w:eastAsia="zh-CN"/>
              </w:rPr>
              <w:t>28</w:t>
            </w:r>
            <w:r>
              <w:rPr>
                <w:rFonts w:hint="eastAsia" w:ascii="宋体" w:hAnsi="宋体" w:cs="宋体"/>
                <w:kern w:val="0"/>
                <w:sz w:val="24"/>
              </w:rPr>
              <w:t>日</w:t>
            </w:r>
            <w:r>
              <w:rPr>
                <w:rFonts w:hint="eastAsia" w:ascii="宋体" w:hAnsi="宋体" w:cs="宋体"/>
                <w:kern w:val="0"/>
                <w:sz w:val="24"/>
                <w:u w:val="single"/>
                <w:lang w:val="en-US" w:eastAsia="zh-CN"/>
              </w:rPr>
              <w:t>09</w:t>
            </w:r>
            <w:r>
              <w:rPr>
                <w:rFonts w:hint="eastAsia" w:ascii="宋体" w:hAnsi="宋体" w:cs="宋体"/>
                <w:kern w:val="0"/>
                <w:sz w:val="24"/>
              </w:rPr>
              <w:t>时</w:t>
            </w:r>
            <w:r>
              <w:rPr>
                <w:rFonts w:hint="eastAsia" w:ascii="宋体" w:hAnsi="宋体" w:cs="宋体"/>
                <w:kern w:val="0"/>
                <w:sz w:val="24"/>
                <w:u w:val="single"/>
                <w:lang w:val="en-US" w:eastAsia="zh-CN"/>
              </w:rPr>
              <w:t>30</w:t>
            </w:r>
            <w:r>
              <w:rPr>
                <w:rFonts w:hint="eastAsia" w:ascii="宋体" w:hAnsi="宋体" w:cs="宋体"/>
                <w:kern w:val="0"/>
                <w:sz w:val="24"/>
              </w:rPr>
              <w:t>分</w:t>
            </w:r>
          </w:p>
        </w:tc>
      </w:tr>
      <w:tr w14:paraId="2A2EA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578" w:type="dxa"/>
            <w:vAlign w:val="center"/>
          </w:tcPr>
          <w:p w14:paraId="172F74F7">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8</w:t>
            </w:r>
          </w:p>
        </w:tc>
        <w:tc>
          <w:tcPr>
            <w:tcW w:w="1750" w:type="dxa"/>
            <w:vAlign w:val="center"/>
          </w:tcPr>
          <w:p w14:paraId="12A6DAE9">
            <w:pPr>
              <w:wordWrap w:val="0"/>
              <w:adjustRightInd w:val="0"/>
              <w:snapToGrid w:val="0"/>
              <w:jc w:val="center"/>
              <w:rPr>
                <w:snapToGrid w:val="0"/>
              </w:rPr>
            </w:pPr>
            <w:r>
              <w:rPr>
                <w:rFonts w:hint="eastAsia"/>
                <w:bCs/>
                <w:snapToGrid w:val="0"/>
              </w:rPr>
              <w:t>评审原件（如有）递交地点</w:t>
            </w:r>
          </w:p>
        </w:tc>
        <w:tc>
          <w:tcPr>
            <w:tcW w:w="7051" w:type="dxa"/>
            <w:vAlign w:val="center"/>
          </w:tcPr>
          <w:p w14:paraId="2628D272">
            <w:pPr>
              <w:pStyle w:val="76"/>
              <w:wordWrap w:val="0"/>
              <w:adjustRightInd w:val="0"/>
              <w:snapToGrid w:val="0"/>
              <w:spacing w:line="400" w:lineRule="exact"/>
              <w:ind w:firstLine="240" w:firstLineChars="100"/>
              <w:jc w:val="left"/>
              <w:rPr>
                <w:rFonts w:ascii="宋体" w:hAnsi="宋体" w:cs="宋体"/>
                <w:snapToGrid w:val="0"/>
                <w:kern w:val="0"/>
                <w:sz w:val="24"/>
              </w:rPr>
            </w:pPr>
            <w:r>
              <w:rPr>
                <w:rFonts w:hint="eastAsia" w:ascii="宋体" w:hAnsi="宋体" w:cs="宋体"/>
                <w:snapToGrid w:val="0"/>
                <w:kern w:val="0"/>
                <w:sz w:val="24"/>
              </w:rPr>
              <w:t>递交场所：韶关市公共资源交易中心</w:t>
            </w:r>
          </w:p>
          <w:p w14:paraId="071E22EE">
            <w:pPr>
              <w:pStyle w:val="76"/>
              <w:wordWrap w:val="0"/>
              <w:adjustRightInd w:val="0"/>
              <w:snapToGrid w:val="0"/>
              <w:spacing w:line="400" w:lineRule="exact"/>
              <w:ind w:firstLine="240" w:firstLineChars="100"/>
              <w:jc w:val="left"/>
              <w:rPr>
                <w:rFonts w:ascii="宋体" w:hAnsi="宋体" w:cs="宋体"/>
                <w:snapToGrid w:val="0"/>
                <w:kern w:val="0"/>
                <w:sz w:val="32"/>
                <w:szCs w:val="32"/>
                <w:u w:val="single"/>
              </w:rPr>
            </w:pPr>
            <w:r>
              <w:rPr>
                <w:rFonts w:hint="eastAsia" w:ascii="宋体" w:hAnsi="宋体" w:cs="宋体"/>
                <w:snapToGrid w:val="0"/>
                <w:kern w:val="0"/>
                <w:sz w:val="24"/>
              </w:rPr>
              <w:t>地址：广东省韶关市武江区西联镇，具体房间号以当日现场通知为准。</w:t>
            </w:r>
          </w:p>
        </w:tc>
      </w:tr>
      <w:tr w14:paraId="4A86D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578" w:type="dxa"/>
            <w:vAlign w:val="center"/>
          </w:tcPr>
          <w:p w14:paraId="5B5C3A7D">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9</w:t>
            </w:r>
          </w:p>
        </w:tc>
        <w:tc>
          <w:tcPr>
            <w:tcW w:w="1750" w:type="dxa"/>
            <w:vAlign w:val="center"/>
          </w:tcPr>
          <w:p w14:paraId="7C3CC571">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开标时间</w:t>
            </w:r>
          </w:p>
        </w:tc>
        <w:tc>
          <w:tcPr>
            <w:tcW w:w="7051" w:type="dxa"/>
            <w:vAlign w:val="center"/>
          </w:tcPr>
          <w:p w14:paraId="426F7FCE">
            <w:pPr>
              <w:pStyle w:val="76"/>
              <w:wordWrap w:val="0"/>
              <w:adjustRightInd w:val="0"/>
              <w:snapToGrid w:val="0"/>
              <w:spacing w:line="400" w:lineRule="exact"/>
              <w:jc w:val="left"/>
              <w:rPr>
                <w:rFonts w:ascii="宋体" w:hAnsi="宋体" w:cs="宋体"/>
                <w:snapToGrid w:val="0"/>
                <w:kern w:val="0"/>
                <w:sz w:val="32"/>
                <w:szCs w:val="32"/>
              </w:rPr>
            </w:pPr>
            <w:r>
              <w:rPr>
                <w:rFonts w:hint="eastAsia" w:ascii="宋体" w:hAnsi="宋体" w:cs="宋体"/>
                <w:snapToGrid w:val="0"/>
                <w:kern w:val="0"/>
                <w:sz w:val="24"/>
              </w:rPr>
              <w:t xml:space="preserve"> </w:t>
            </w:r>
            <w:r>
              <w:rPr>
                <w:rFonts w:hint="eastAsia" w:ascii="宋体" w:hAnsi="宋体" w:cs="宋体"/>
                <w:kern w:val="0"/>
                <w:sz w:val="24"/>
                <w:u w:val="single"/>
              </w:rPr>
              <w:t>2026</w:t>
            </w:r>
            <w:r>
              <w:rPr>
                <w:rFonts w:hint="eastAsia" w:ascii="宋体" w:hAnsi="宋体" w:cs="宋体"/>
                <w:kern w:val="0"/>
                <w:sz w:val="24"/>
              </w:rPr>
              <w:t>年</w:t>
            </w:r>
            <w:r>
              <w:rPr>
                <w:rFonts w:hint="eastAsia" w:ascii="宋体" w:hAnsi="宋体" w:cs="宋体"/>
                <w:kern w:val="0"/>
                <w:sz w:val="24"/>
                <w:u w:val="single"/>
                <w:lang w:val="en-US" w:eastAsia="zh-CN"/>
              </w:rPr>
              <w:t>7</w:t>
            </w:r>
            <w:r>
              <w:rPr>
                <w:rFonts w:hint="eastAsia" w:ascii="宋体" w:hAnsi="宋体" w:cs="宋体"/>
                <w:kern w:val="0"/>
                <w:sz w:val="24"/>
              </w:rPr>
              <w:t>月</w:t>
            </w:r>
            <w:r>
              <w:rPr>
                <w:rFonts w:hint="eastAsia" w:ascii="宋体" w:hAnsi="宋体" w:cs="宋体"/>
                <w:kern w:val="0"/>
                <w:sz w:val="24"/>
                <w:u w:val="single"/>
                <w:lang w:val="en-US" w:eastAsia="zh-CN"/>
              </w:rPr>
              <w:t>28</w:t>
            </w:r>
            <w:r>
              <w:rPr>
                <w:rFonts w:hint="eastAsia" w:ascii="宋体" w:hAnsi="宋体" w:cs="宋体"/>
                <w:kern w:val="0"/>
                <w:sz w:val="24"/>
              </w:rPr>
              <w:t>日</w:t>
            </w:r>
            <w:r>
              <w:rPr>
                <w:rFonts w:hint="eastAsia" w:ascii="宋体" w:hAnsi="宋体" w:cs="宋体"/>
                <w:kern w:val="0"/>
                <w:sz w:val="24"/>
                <w:u w:val="single"/>
                <w:lang w:val="en-US" w:eastAsia="zh-CN"/>
              </w:rPr>
              <w:t>09</w:t>
            </w:r>
            <w:r>
              <w:rPr>
                <w:rFonts w:hint="eastAsia" w:ascii="宋体" w:hAnsi="宋体" w:cs="宋体"/>
                <w:kern w:val="0"/>
                <w:sz w:val="24"/>
              </w:rPr>
              <w:t>时</w:t>
            </w:r>
            <w:r>
              <w:rPr>
                <w:rFonts w:hint="eastAsia" w:ascii="宋体" w:hAnsi="宋体" w:cs="宋体"/>
                <w:kern w:val="0"/>
                <w:sz w:val="24"/>
                <w:u w:val="single"/>
                <w:lang w:val="en-US" w:eastAsia="zh-CN"/>
              </w:rPr>
              <w:t>30</w:t>
            </w:r>
            <w:r>
              <w:rPr>
                <w:rFonts w:hint="eastAsia" w:ascii="宋体" w:hAnsi="宋体" w:cs="宋体"/>
                <w:kern w:val="0"/>
                <w:sz w:val="24"/>
              </w:rPr>
              <w:t>分</w:t>
            </w:r>
          </w:p>
        </w:tc>
      </w:tr>
      <w:tr w14:paraId="149A2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jc w:val="center"/>
        </w:trPr>
        <w:tc>
          <w:tcPr>
            <w:tcW w:w="578" w:type="dxa"/>
            <w:vAlign w:val="center"/>
          </w:tcPr>
          <w:p w14:paraId="30EBA170">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10</w:t>
            </w:r>
          </w:p>
        </w:tc>
        <w:tc>
          <w:tcPr>
            <w:tcW w:w="1750" w:type="dxa"/>
            <w:vAlign w:val="center"/>
          </w:tcPr>
          <w:p w14:paraId="5A9D0D8B">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开标地点</w:t>
            </w:r>
          </w:p>
        </w:tc>
        <w:tc>
          <w:tcPr>
            <w:tcW w:w="7051" w:type="dxa"/>
            <w:vAlign w:val="center"/>
          </w:tcPr>
          <w:p w14:paraId="561D6EC1">
            <w:pPr>
              <w:pStyle w:val="76"/>
              <w:wordWrap w:val="0"/>
              <w:adjustRightInd w:val="0"/>
              <w:snapToGrid w:val="0"/>
              <w:spacing w:line="400" w:lineRule="exact"/>
              <w:ind w:firstLine="240" w:firstLineChars="100"/>
              <w:jc w:val="left"/>
              <w:rPr>
                <w:rFonts w:ascii="宋体" w:hAnsi="宋体" w:cs="宋体"/>
                <w:snapToGrid w:val="0"/>
                <w:kern w:val="0"/>
                <w:sz w:val="24"/>
              </w:rPr>
            </w:pPr>
            <w:r>
              <w:rPr>
                <w:rFonts w:hint="eastAsia" w:ascii="宋体" w:hAnsi="宋体" w:cs="宋体"/>
                <w:snapToGrid w:val="0"/>
                <w:kern w:val="0"/>
                <w:sz w:val="24"/>
              </w:rPr>
              <w:t>开标场所：韶关市公共资源交易中心</w:t>
            </w:r>
          </w:p>
          <w:p w14:paraId="422EB31C">
            <w:pPr>
              <w:pStyle w:val="76"/>
              <w:wordWrap w:val="0"/>
              <w:adjustRightInd w:val="0"/>
              <w:snapToGrid w:val="0"/>
              <w:spacing w:line="400" w:lineRule="exact"/>
              <w:ind w:firstLine="240" w:firstLineChars="100"/>
              <w:jc w:val="left"/>
              <w:rPr>
                <w:rFonts w:ascii="宋体" w:hAnsi="宋体" w:cs="宋体"/>
                <w:snapToGrid w:val="0"/>
                <w:kern w:val="0"/>
                <w:sz w:val="32"/>
                <w:szCs w:val="32"/>
              </w:rPr>
            </w:pPr>
            <w:r>
              <w:rPr>
                <w:rFonts w:hint="eastAsia" w:ascii="宋体" w:hAnsi="宋体" w:cs="宋体"/>
                <w:snapToGrid w:val="0"/>
                <w:kern w:val="0"/>
                <w:sz w:val="24"/>
              </w:rPr>
              <w:t>地址：广东省韶关市武江区西联镇，具体房间号以当日现场通知为准。</w:t>
            </w:r>
          </w:p>
        </w:tc>
      </w:tr>
      <w:tr w14:paraId="495C4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578" w:type="dxa"/>
            <w:vAlign w:val="center"/>
          </w:tcPr>
          <w:p w14:paraId="77E0745A">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11</w:t>
            </w:r>
          </w:p>
        </w:tc>
        <w:tc>
          <w:tcPr>
            <w:tcW w:w="1750" w:type="dxa"/>
            <w:vAlign w:val="center"/>
          </w:tcPr>
          <w:p w14:paraId="78DC8F70">
            <w:pPr>
              <w:pStyle w:val="76"/>
              <w:wordWrap w:val="0"/>
              <w:adjustRightInd w:val="0"/>
              <w:snapToGrid w:val="0"/>
              <w:spacing w:line="360" w:lineRule="exact"/>
              <w:jc w:val="center"/>
              <w:rPr>
                <w:rFonts w:ascii="宋体" w:hAnsi="宋体" w:cs="宋体"/>
                <w:snapToGrid w:val="0"/>
                <w:kern w:val="0"/>
                <w:sz w:val="24"/>
              </w:rPr>
            </w:pPr>
            <w:r>
              <w:rPr>
                <w:rFonts w:hint="eastAsia" w:ascii="宋体" w:hAnsi="宋体" w:cs="宋体"/>
                <w:snapToGrid w:val="0"/>
                <w:kern w:val="0"/>
                <w:sz w:val="24"/>
              </w:rPr>
              <w:t>其他</w:t>
            </w:r>
          </w:p>
        </w:tc>
        <w:tc>
          <w:tcPr>
            <w:tcW w:w="7051" w:type="dxa"/>
            <w:vAlign w:val="center"/>
          </w:tcPr>
          <w:p w14:paraId="4077A75C">
            <w:pPr>
              <w:pStyle w:val="76"/>
              <w:wordWrap w:val="0"/>
              <w:adjustRightInd w:val="0"/>
              <w:snapToGrid w:val="0"/>
              <w:spacing w:line="360" w:lineRule="exact"/>
              <w:ind w:firstLine="240" w:firstLineChars="100"/>
              <w:rPr>
                <w:rFonts w:ascii="宋体" w:hAnsi="宋体" w:cs="宋体"/>
                <w:snapToGrid w:val="0"/>
                <w:kern w:val="0"/>
                <w:sz w:val="24"/>
              </w:rPr>
            </w:pPr>
            <w:r>
              <w:rPr>
                <w:rFonts w:hint="eastAsia" w:ascii="宋体" w:hAnsi="宋体" w:cs="宋体"/>
                <w:sz w:val="24"/>
                <w:shd w:val="clear" w:color="auto" w:fill="FFFFFF"/>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754FF0B7">
      <w:pPr>
        <w:pStyle w:val="175"/>
        <w:keepNext/>
        <w:keepLines/>
        <w:tabs>
          <w:tab w:val="left" w:pos="885"/>
        </w:tabs>
        <w:jc w:val="center"/>
        <w:outlineLvl w:val="1"/>
        <w:rPr>
          <w:rFonts w:hAnsi="宋体" w:cs="宋体"/>
          <w:b/>
          <w:kern w:val="44"/>
          <w:sz w:val="24"/>
          <w:szCs w:val="24"/>
        </w:rPr>
      </w:pPr>
      <w:bookmarkStart w:id="25" w:name="_Toc16558"/>
      <w:bookmarkStart w:id="26" w:name="_Toc3564"/>
      <w:bookmarkStart w:id="27" w:name="_Toc12887"/>
      <w:bookmarkStart w:id="28" w:name="_Toc15907"/>
      <w:r>
        <w:rPr>
          <w:rFonts w:hint="eastAsia" w:hAnsi="宋体" w:cs="宋体"/>
          <w:b/>
          <w:kern w:val="44"/>
          <w:sz w:val="24"/>
          <w:szCs w:val="24"/>
        </w:rPr>
        <w:t>第三节 投标人须知正文</w:t>
      </w:r>
      <w:bookmarkEnd w:id="25"/>
      <w:bookmarkEnd w:id="26"/>
      <w:bookmarkEnd w:id="27"/>
      <w:bookmarkEnd w:id="28"/>
    </w:p>
    <w:bookmarkEnd w:id="23"/>
    <w:bookmarkEnd w:id="24"/>
    <w:p w14:paraId="26F551B1">
      <w:pPr>
        <w:keepNext w:val="0"/>
        <w:keepLines/>
        <w:pageBreakBefore w:val="0"/>
        <w:widowControl w:val="0"/>
        <w:kinsoku/>
        <w:wordWrap w:val="0"/>
        <w:overflowPunct/>
        <w:topLinePunct w:val="0"/>
        <w:autoSpaceDE w:val="0"/>
        <w:autoSpaceDN w:val="0"/>
        <w:bidi w:val="0"/>
        <w:adjustRightInd/>
        <w:snapToGrid w:val="0"/>
        <w:spacing w:line="400" w:lineRule="exact"/>
        <w:ind w:firstLine="480" w:firstLineChars="200"/>
        <w:jc w:val="left"/>
        <w:textAlignment w:val="auto"/>
      </w:pPr>
      <w:r>
        <w:rPr>
          <w:rFonts w:hint="eastAsia"/>
          <w:szCs w:val="22"/>
          <w:u w:val="single"/>
        </w:rPr>
        <w:t>韶关百年东街及周边历史街区城市更新项目方案设计、初步设计</w:t>
      </w:r>
      <w:r>
        <w:rPr>
          <w:rFonts w:hint="eastAsia"/>
          <w:bCs/>
          <w:snapToGrid w:val="0"/>
        </w:rPr>
        <w:t>经</w:t>
      </w:r>
      <w:r>
        <w:rPr>
          <w:rFonts w:hint="eastAsia"/>
          <w:szCs w:val="32"/>
          <w:u w:val="single"/>
        </w:rPr>
        <w:t>韶关市浈江区发展和改革局以《</w:t>
      </w:r>
      <w:r>
        <w:rPr>
          <w:rFonts w:hint="eastAsia" w:ascii="宋体" w:hAnsi="宋体" w:eastAsia="宋体" w:cs="宋体"/>
          <w:b w:val="0"/>
          <w:bCs w:val="0"/>
          <w:color w:val="000000"/>
          <w:kern w:val="0"/>
          <w:sz w:val="24"/>
          <w:szCs w:val="22"/>
          <w:u w:val="single"/>
          <w:lang w:val="en-US" w:eastAsia="zh-CN" w:bidi="ar"/>
        </w:rPr>
        <w:t>广东省企业投资项目备案证</w:t>
      </w:r>
      <w:r>
        <w:rPr>
          <w:rFonts w:hint="eastAsia"/>
          <w:szCs w:val="32"/>
          <w:u w:val="single"/>
        </w:rPr>
        <w:t>》</w:t>
      </w:r>
      <w:r>
        <w:rPr>
          <w:rFonts w:hint="eastAsia"/>
          <w:snapToGrid w:val="0"/>
          <w:szCs w:val="32"/>
        </w:rPr>
        <w:t>批准建设，</w:t>
      </w:r>
      <w:r>
        <w:rPr>
          <w:rFonts w:hint="eastAsia"/>
          <w:bCs/>
          <w:snapToGrid w:val="0"/>
          <w:u w:val="none"/>
        </w:rPr>
        <w:t>项目代码为</w:t>
      </w:r>
      <w:r>
        <w:rPr>
          <w:rFonts w:hint="eastAsia"/>
          <w:bCs/>
          <w:snapToGrid w:val="0"/>
          <w:u w:val="single"/>
        </w:rPr>
        <w:t>2604-440204-04-01-901150。</w:t>
      </w:r>
      <w:r>
        <w:rPr>
          <w:rFonts w:hint="eastAsia"/>
          <w:bCs/>
          <w:snapToGrid w:val="0"/>
        </w:rPr>
        <w:t>本项目业主为</w:t>
      </w:r>
      <w:r>
        <w:rPr>
          <w:rFonts w:hint="eastAsia"/>
          <w:szCs w:val="32"/>
          <w:u w:val="single"/>
        </w:rPr>
        <w:t>韶关市金沁房地产开发有限公司</w:t>
      </w:r>
      <w:r>
        <w:rPr>
          <w:rFonts w:hint="eastAsia"/>
          <w:bCs/>
          <w:snapToGrid w:val="0"/>
          <w:u w:val="single"/>
        </w:rPr>
        <w:t>，</w:t>
      </w:r>
      <w:r>
        <w:rPr>
          <w:rFonts w:hint="eastAsia"/>
          <w:bCs/>
          <w:snapToGrid w:val="0"/>
        </w:rPr>
        <w:t>建设资金</w:t>
      </w:r>
      <w:r>
        <w:rPr>
          <w:rFonts w:hint="eastAsia"/>
          <w:bCs/>
          <w:snapToGrid w:val="0"/>
          <w:u w:val="single"/>
        </w:rPr>
        <w:t>拟通过新型政策性金融工具、专项资金、股东注资、银行融资等方式筹集。</w:t>
      </w:r>
      <w:r>
        <w:rPr>
          <w:rFonts w:hint="eastAsia"/>
          <w:bCs/>
          <w:snapToGrid w:val="0"/>
        </w:rPr>
        <w:t>出资比例为</w:t>
      </w:r>
      <w:r>
        <w:rPr>
          <w:rFonts w:hint="eastAsia"/>
          <w:bCs/>
          <w:snapToGrid w:val="0"/>
          <w:u w:val="single"/>
        </w:rPr>
        <w:t>100%，</w:t>
      </w:r>
      <w:r>
        <w:rPr>
          <w:rFonts w:hint="eastAsia"/>
          <w:bCs/>
          <w:snapToGrid w:val="0"/>
        </w:rPr>
        <w:t>招标人为</w:t>
      </w:r>
      <w:r>
        <w:rPr>
          <w:rFonts w:hint="eastAsia"/>
          <w:bCs/>
          <w:snapToGrid w:val="0"/>
          <w:u w:val="single"/>
        </w:rPr>
        <w:t>韶关市金沁房地产开发有限公司，</w:t>
      </w:r>
      <w:r>
        <w:rPr>
          <w:rFonts w:hint="eastAsia"/>
          <w:bCs/>
          <w:snapToGrid w:val="0"/>
        </w:rPr>
        <w:t>招标代理机构为</w:t>
      </w:r>
      <w:r>
        <w:rPr>
          <w:rFonts w:hint="eastAsia"/>
          <w:bCs/>
          <w:snapToGrid w:val="0"/>
          <w:u w:val="single"/>
        </w:rPr>
        <w:t>广东信誉招标代理有限公司。</w:t>
      </w:r>
      <w:r>
        <w:rPr>
          <w:rFonts w:hint="eastAsia"/>
          <w:bCs/>
          <w:snapToGrid w:val="0"/>
        </w:rPr>
        <w:t>项目已具备招标条件，现对该项目的</w:t>
      </w:r>
      <w:r>
        <w:rPr>
          <w:rFonts w:hint="eastAsia"/>
          <w:szCs w:val="22"/>
          <w:highlight w:val="none"/>
          <w:u w:val="single"/>
        </w:rPr>
        <w:t>方案设计、初步设计</w:t>
      </w:r>
      <w:r>
        <w:rPr>
          <w:rFonts w:hint="eastAsia"/>
          <w:bCs/>
          <w:snapToGrid w:val="0"/>
        </w:rPr>
        <w:t>进行公开招标</w:t>
      </w:r>
      <w:r>
        <w:rPr>
          <w:rFonts w:hint="eastAsia"/>
        </w:rPr>
        <w:t>。</w:t>
      </w:r>
    </w:p>
    <w:p w14:paraId="28533D03">
      <w:pPr>
        <w:pStyle w:val="10"/>
      </w:pPr>
    </w:p>
    <w:p w14:paraId="1C5871F6">
      <w:pPr>
        <w:pStyle w:val="55"/>
        <w:keepNext/>
        <w:keepLines/>
        <w:ind w:firstLine="480"/>
        <w:jc w:val="both"/>
        <w:rPr>
          <w:rFonts w:ascii="宋体" w:hAnsi="宋体" w:cs="宋体"/>
          <w:b/>
          <w:kern w:val="2"/>
          <w:szCs w:val="24"/>
        </w:rPr>
      </w:pPr>
      <w:bookmarkStart w:id="29" w:name="_Hlt109358474"/>
      <w:bookmarkEnd w:id="29"/>
      <w:bookmarkStart w:id="30" w:name="_Hlt78795222"/>
      <w:bookmarkEnd w:id="30"/>
      <w:bookmarkStart w:id="31" w:name="_Hlt74474735"/>
      <w:bookmarkEnd w:id="31"/>
      <w:bookmarkStart w:id="32" w:name="_Hlt119991399"/>
      <w:bookmarkEnd w:id="32"/>
      <w:bookmarkStart w:id="33" w:name="_Hlt87948285"/>
      <w:bookmarkEnd w:id="33"/>
      <w:bookmarkStart w:id="34" w:name="_Toc13235"/>
      <w:bookmarkStart w:id="35" w:name="_Toc32517"/>
      <w:bookmarkStart w:id="36" w:name="_Toc9645"/>
      <w:bookmarkStart w:id="37" w:name="_Toc19945"/>
      <w:bookmarkStart w:id="38" w:name="_Toc18301"/>
      <w:bookmarkStart w:id="39" w:name="_Toc4508"/>
      <w:bookmarkStart w:id="40" w:name="_Toc10343"/>
      <w:r>
        <w:rPr>
          <w:rFonts w:hint="eastAsia" w:ascii="宋体" w:hAnsi="宋体" w:cs="宋体"/>
          <w:b/>
          <w:kern w:val="2"/>
          <w:szCs w:val="24"/>
        </w:rPr>
        <w:t>1 工程概况综合说明</w:t>
      </w:r>
      <w:bookmarkEnd w:id="34"/>
      <w:bookmarkEnd w:id="35"/>
      <w:bookmarkEnd w:id="36"/>
      <w:bookmarkEnd w:id="37"/>
      <w:bookmarkEnd w:id="38"/>
      <w:bookmarkEnd w:id="39"/>
      <w:bookmarkEnd w:id="40"/>
    </w:p>
    <w:p w14:paraId="0818A3FE">
      <w:pPr>
        <w:pStyle w:val="56"/>
        <w:tabs>
          <w:tab w:val="left" w:pos="7020"/>
        </w:tabs>
        <w:spacing w:line="400" w:lineRule="exact"/>
        <w:ind w:firstLine="530" w:firstLineChars="221"/>
        <w:rPr>
          <w:rFonts w:hAnsi="宋体" w:cs="宋体"/>
          <w:szCs w:val="24"/>
          <w:u w:val="single"/>
        </w:rPr>
      </w:pPr>
      <w:r>
        <w:rPr>
          <w:rFonts w:hint="eastAsia" w:hAnsi="宋体" w:cs="宋体"/>
          <w:szCs w:val="24"/>
        </w:rPr>
        <w:t>1.1 招标人：</w:t>
      </w:r>
      <w:r>
        <w:rPr>
          <w:rFonts w:hint="eastAsia" w:hAnsi="宋体" w:cs="宋体"/>
          <w:szCs w:val="24"/>
          <w:u w:val="single"/>
        </w:rPr>
        <w:t>韶关市金沁房地产开发有限公司</w:t>
      </w:r>
    </w:p>
    <w:p w14:paraId="3457EE89">
      <w:pPr>
        <w:pStyle w:val="56"/>
        <w:tabs>
          <w:tab w:val="left" w:pos="7020"/>
        </w:tabs>
        <w:spacing w:line="400" w:lineRule="exact"/>
        <w:ind w:firstLine="530" w:firstLineChars="221"/>
        <w:jc w:val="left"/>
        <w:rPr>
          <w:rFonts w:hAnsi="宋体" w:cs="宋体"/>
          <w:szCs w:val="24"/>
          <w:u w:val="single"/>
        </w:rPr>
      </w:pPr>
      <w:r>
        <w:rPr>
          <w:rFonts w:hint="eastAsia" w:hAnsi="宋体" w:cs="宋体"/>
          <w:szCs w:val="24"/>
        </w:rPr>
        <w:t xml:space="preserve">1.2 </w:t>
      </w:r>
      <w:r>
        <w:rPr>
          <w:rFonts w:hint="eastAsia" w:hAnsi="宋体" w:cs="宋体"/>
          <w:kern w:val="0"/>
          <w:szCs w:val="24"/>
        </w:rPr>
        <w:t>工程地点：</w:t>
      </w:r>
      <w:r>
        <w:rPr>
          <w:rFonts w:hint="eastAsia" w:hAnsi="宋体" w:cs="宋体"/>
          <w:kern w:val="0"/>
          <w:szCs w:val="24"/>
          <w:u w:val="single"/>
        </w:rPr>
        <w:t>韶关百年东街及周边历史街区城市更新项目用地位于韶关市浈江区风采街道百年东街及周边历史街区（包括升平路、广富新街、峰前街、群众巷等）</w:t>
      </w:r>
      <w:r>
        <w:rPr>
          <w:rFonts w:hint="eastAsia" w:hAnsi="宋体" w:cs="宋体"/>
          <w:szCs w:val="24"/>
          <w:u w:val="single"/>
        </w:rPr>
        <w:t>。</w:t>
      </w:r>
    </w:p>
    <w:p w14:paraId="2C66DE81">
      <w:pPr>
        <w:pStyle w:val="56"/>
        <w:tabs>
          <w:tab w:val="left" w:pos="7020"/>
        </w:tabs>
        <w:spacing w:line="400" w:lineRule="exact"/>
        <w:ind w:firstLine="530" w:firstLineChars="221"/>
        <w:rPr>
          <w:rFonts w:hAnsi="宋体" w:cs="宋体"/>
          <w:szCs w:val="24"/>
          <w:u w:val="single"/>
        </w:rPr>
      </w:pPr>
      <w:r>
        <w:rPr>
          <w:rFonts w:hint="eastAsia" w:hAnsi="宋体" w:cs="宋体"/>
          <w:szCs w:val="24"/>
        </w:rPr>
        <w:t xml:space="preserve">1.3 </w:t>
      </w:r>
      <w:r>
        <w:rPr>
          <w:rFonts w:hint="eastAsia" w:hAnsi="宋体" w:cs="宋体"/>
          <w:kern w:val="0"/>
          <w:szCs w:val="24"/>
        </w:rPr>
        <w:t>工程主要建设规模：</w:t>
      </w:r>
      <w:r>
        <w:rPr>
          <w:rFonts w:hint="eastAsia" w:hAnsi="宋体" w:cs="宋体"/>
          <w:kern w:val="0"/>
          <w:szCs w:val="24"/>
          <w:u w:val="single"/>
        </w:rPr>
        <w:t>本项目总改造建筑面积约150000m²（其中，百年东街片区改造面积约为50000m²，周边历史街区改造面积约为100000m²）。主要改造内容包括：一是对百年东街的主体结构、外立面、室外广场、滨河步道、卫生间、垃圾房等进行改造升级</w:t>
      </w:r>
      <w:r>
        <w:rPr>
          <w:rFonts w:hint="eastAsia" w:hAnsi="宋体" w:cs="宋体"/>
          <w:kern w:val="0"/>
          <w:szCs w:val="24"/>
          <w:u w:val="single"/>
          <w:lang w:eastAsia="zh-CN"/>
        </w:rPr>
        <w:t>，</w:t>
      </w:r>
      <w:r>
        <w:rPr>
          <w:rFonts w:hint="eastAsia" w:hAnsi="宋体" w:cs="宋体"/>
          <w:kern w:val="0"/>
          <w:szCs w:val="24"/>
          <w:u w:val="single"/>
        </w:rPr>
        <w:t>对公共室外走道</w:t>
      </w:r>
      <w:r>
        <w:rPr>
          <w:rFonts w:hint="eastAsia" w:hAnsi="宋体" w:cs="宋体"/>
          <w:kern w:val="0"/>
          <w:szCs w:val="24"/>
          <w:u w:val="single"/>
          <w:lang w:eastAsia="zh-CN"/>
        </w:rPr>
        <w:t>、</w:t>
      </w:r>
      <w:r>
        <w:rPr>
          <w:rFonts w:hint="eastAsia" w:hAnsi="宋体" w:cs="宋体"/>
          <w:kern w:val="0"/>
          <w:szCs w:val="24"/>
          <w:u w:val="single"/>
        </w:rPr>
        <w:t>电梯厅</w:t>
      </w:r>
      <w:r>
        <w:rPr>
          <w:rFonts w:hint="eastAsia" w:hAnsi="宋体" w:cs="宋体"/>
          <w:kern w:val="0"/>
          <w:szCs w:val="24"/>
          <w:u w:val="single"/>
          <w:lang w:eastAsia="zh-CN"/>
        </w:rPr>
        <w:t>、</w:t>
      </w:r>
      <w:r>
        <w:rPr>
          <w:rFonts w:hint="eastAsia" w:hAnsi="宋体" w:cs="宋体"/>
          <w:kern w:val="0"/>
          <w:szCs w:val="24"/>
          <w:u w:val="single"/>
        </w:rPr>
        <w:t>卫生间</w:t>
      </w:r>
      <w:r>
        <w:rPr>
          <w:rFonts w:hint="eastAsia" w:hAnsi="宋体" w:cs="宋体"/>
          <w:kern w:val="0"/>
          <w:szCs w:val="24"/>
          <w:u w:val="single"/>
          <w:lang w:eastAsia="zh-CN"/>
        </w:rPr>
        <w:t>、</w:t>
      </w:r>
      <w:r>
        <w:rPr>
          <w:rFonts w:hint="eastAsia" w:hAnsi="宋体" w:cs="宋体"/>
          <w:kern w:val="0"/>
          <w:szCs w:val="24"/>
          <w:u w:val="single"/>
        </w:rPr>
        <w:t>B区室内等公共区域进行更新改造</w:t>
      </w:r>
      <w:r>
        <w:rPr>
          <w:rFonts w:hint="eastAsia" w:hAnsi="宋体" w:cs="宋体"/>
          <w:kern w:val="0"/>
          <w:szCs w:val="24"/>
          <w:u w:val="single"/>
          <w:lang w:eastAsia="zh-CN"/>
        </w:rPr>
        <w:t>，</w:t>
      </w:r>
      <w:r>
        <w:rPr>
          <w:rFonts w:hint="eastAsia" w:hAnsi="宋体" w:cs="宋体"/>
          <w:kern w:val="0"/>
          <w:szCs w:val="24"/>
          <w:u w:val="single"/>
        </w:rPr>
        <w:t>对机电工程、弱电智能化工程、水电、给排水、排油烟工程、室外灯光造型和停车场进行改造提升。二是对周边历史街区（包括升平路、广富新街、峰前街、群众巷等）的建筑物、道路、沿街外立面进行更新改造</w:t>
      </w:r>
      <w:r>
        <w:rPr>
          <w:rFonts w:hint="eastAsia" w:hAnsi="宋体" w:cs="宋体"/>
          <w:szCs w:val="24"/>
          <w:u w:val="single"/>
        </w:rPr>
        <w:t>。</w:t>
      </w:r>
    </w:p>
    <w:p w14:paraId="0172C173">
      <w:pPr>
        <w:pStyle w:val="56"/>
        <w:tabs>
          <w:tab w:val="left" w:pos="7020"/>
        </w:tabs>
        <w:spacing w:line="240" w:lineRule="auto"/>
        <w:ind w:firstLine="480" w:firstLineChars="200"/>
        <w:rPr>
          <w:rFonts w:hAnsi="宋体" w:cs="宋体"/>
          <w:color w:val="auto"/>
          <w:szCs w:val="24"/>
          <w:u w:val="single"/>
        </w:rPr>
      </w:pPr>
      <w:r>
        <w:rPr>
          <w:rFonts w:hint="eastAsia" w:hAnsi="宋体" w:cs="宋体"/>
          <w:szCs w:val="24"/>
        </w:rPr>
        <w:t>1.4 项目总投资：项目总投资估算</w:t>
      </w:r>
      <w:r>
        <w:rPr>
          <w:rFonts w:hint="eastAsia" w:hAnsi="宋体" w:cs="宋体"/>
          <w:szCs w:val="24"/>
          <w:lang w:val="en-US" w:eastAsia="zh-CN"/>
        </w:rPr>
        <w:t>约</w:t>
      </w:r>
      <w:r>
        <w:rPr>
          <w:rFonts w:hint="eastAsia" w:hAnsi="宋体" w:cs="宋体"/>
          <w:szCs w:val="24"/>
        </w:rPr>
        <w:t>为</w:t>
      </w:r>
      <w:r>
        <w:rPr>
          <w:rFonts w:hint="eastAsia" w:hAnsi="宋体" w:cs="宋体"/>
          <w:szCs w:val="24"/>
          <w:lang w:val="en-US" w:eastAsia="zh-CN"/>
        </w:rPr>
        <w:t>36000</w:t>
      </w:r>
      <w:r>
        <w:rPr>
          <w:rFonts w:hint="eastAsia" w:hAnsi="宋体" w:cs="宋体"/>
          <w:szCs w:val="24"/>
        </w:rPr>
        <w:t>万元，其中：工程费用</w:t>
      </w:r>
      <w:r>
        <w:rPr>
          <w:rFonts w:hint="eastAsia" w:hAnsi="宋体" w:cs="宋体"/>
          <w:szCs w:val="24"/>
          <w:lang w:val="en-US" w:eastAsia="zh-CN"/>
        </w:rPr>
        <w:t>约30000万元</w:t>
      </w:r>
      <w:r>
        <w:rPr>
          <w:rFonts w:hint="eastAsia" w:hAnsi="宋体" w:cs="宋体"/>
          <w:szCs w:val="24"/>
        </w:rPr>
        <w:t>（百年东街</w:t>
      </w:r>
      <w:r>
        <w:rPr>
          <w:rFonts w:hint="eastAsia" w:hAnsi="宋体" w:cs="宋体"/>
          <w:szCs w:val="24"/>
          <w:lang w:val="en-US" w:eastAsia="zh-CN"/>
        </w:rPr>
        <w:t>改造升级</w:t>
      </w:r>
      <w:r>
        <w:rPr>
          <w:rFonts w:hint="eastAsia" w:hAnsi="宋体" w:cs="宋体"/>
          <w:szCs w:val="24"/>
        </w:rPr>
        <w:t>工程费用</w:t>
      </w:r>
      <w:r>
        <w:rPr>
          <w:rFonts w:hint="eastAsia" w:hAnsi="宋体" w:cs="宋体"/>
          <w:szCs w:val="24"/>
          <w:lang w:val="en-US" w:eastAsia="zh-CN"/>
        </w:rPr>
        <w:t>约12000万元</w:t>
      </w:r>
      <w:r>
        <w:rPr>
          <w:rFonts w:hint="eastAsia" w:hAnsi="宋体" w:cs="宋体"/>
          <w:color w:val="auto"/>
          <w:szCs w:val="24"/>
          <w:lang w:val="en-US" w:eastAsia="zh-CN"/>
        </w:rPr>
        <w:t>，</w:t>
      </w:r>
      <w:r>
        <w:rPr>
          <w:rFonts w:hint="eastAsia" w:hAnsi="宋体" w:cs="宋体"/>
          <w:color w:val="auto"/>
          <w:kern w:val="0"/>
          <w:szCs w:val="24"/>
          <w:u w:val="none"/>
        </w:rPr>
        <w:t>周边历史街区</w:t>
      </w:r>
      <w:r>
        <w:rPr>
          <w:rFonts w:hint="eastAsia" w:hAnsi="宋体" w:cs="宋体"/>
          <w:color w:val="auto"/>
          <w:szCs w:val="24"/>
          <w:lang w:val="en-US" w:eastAsia="zh-CN"/>
        </w:rPr>
        <w:t>改造升级</w:t>
      </w:r>
      <w:r>
        <w:rPr>
          <w:rFonts w:hint="eastAsia" w:hAnsi="宋体" w:cs="宋体"/>
          <w:color w:val="auto"/>
          <w:szCs w:val="24"/>
        </w:rPr>
        <w:t>工程费用</w:t>
      </w:r>
      <w:r>
        <w:rPr>
          <w:rFonts w:hint="eastAsia" w:hAnsi="宋体" w:cs="宋体"/>
          <w:color w:val="auto"/>
          <w:szCs w:val="24"/>
          <w:lang w:val="en-US" w:eastAsia="zh-CN"/>
        </w:rPr>
        <w:t>约18000万元</w:t>
      </w:r>
      <w:r>
        <w:rPr>
          <w:rFonts w:hint="eastAsia" w:hAnsi="宋体" w:cs="宋体"/>
          <w:color w:val="auto"/>
          <w:szCs w:val="24"/>
        </w:rPr>
        <w:t>），本次招标设计费</w:t>
      </w:r>
      <w:r>
        <w:rPr>
          <w:rFonts w:hint="eastAsia" w:hAnsi="宋体" w:cs="宋体"/>
          <w:color w:val="auto"/>
          <w:szCs w:val="24"/>
          <w:lang w:val="en-US" w:eastAsia="zh-CN"/>
        </w:rPr>
        <w:t>为</w:t>
      </w:r>
      <w:r>
        <w:rPr>
          <w:rFonts w:hint="eastAsia" w:hAnsi="宋体" w:cs="宋体"/>
          <w:color w:val="auto"/>
          <w:szCs w:val="24"/>
        </w:rPr>
        <w:t>7</w:t>
      </w:r>
      <w:r>
        <w:rPr>
          <w:rFonts w:hint="eastAsia" w:hAnsi="宋体" w:cs="宋体"/>
          <w:color w:val="auto"/>
          <w:szCs w:val="24"/>
          <w:lang w:val="en-US" w:eastAsia="zh-CN"/>
        </w:rPr>
        <w:t>17</w:t>
      </w:r>
      <w:r>
        <w:rPr>
          <w:rFonts w:hint="eastAsia" w:hAnsi="宋体" w:cs="宋体"/>
          <w:color w:val="auto"/>
          <w:szCs w:val="24"/>
        </w:rPr>
        <w:t>万元。</w:t>
      </w:r>
    </w:p>
    <w:p w14:paraId="2A74104D">
      <w:pPr>
        <w:pStyle w:val="56"/>
        <w:tabs>
          <w:tab w:val="left" w:pos="7020"/>
        </w:tabs>
        <w:spacing w:line="400" w:lineRule="exact"/>
        <w:ind w:firstLine="530" w:firstLineChars="221"/>
        <w:rPr>
          <w:rFonts w:hAnsi="宋体" w:cs="宋体"/>
          <w:color w:val="auto"/>
          <w:szCs w:val="24"/>
          <w:u w:val="single"/>
        </w:rPr>
      </w:pPr>
      <w:r>
        <w:rPr>
          <w:rFonts w:hint="eastAsia" w:hAnsi="宋体" w:cs="宋体"/>
          <w:color w:val="auto"/>
          <w:szCs w:val="24"/>
        </w:rPr>
        <w:t>1.5 标段划分：</w:t>
      </w:r>
      <w:r>
        <w:rPr>
          <w:rFonts w:hint="eastAsia" w:hAnsi="宋体" w:cs="宋体"/>
          <w:color w:val="auto"/>
          <w:szCs w:val="24"/>
          <w:u w:val="single"/>
        </w:rPr>
        <w:t>本招标项目不划分标段。</w:t>
      </w:r>
    </w:p>
    <w:p w14:paraId="41A2244E">
      <w:pPr>
        <w:pStyle w:val="119"/>
        <w:spacing w:before="0" w:after="0" w:line="400" w:lineRule="exact"/>
        <w:ind w:left="15" w:firstLine="403" w:firstLineChars="168"/>
        <w:outlineLvl w:val="9"/>
        <w:rPr>
          <w:rFonts w:ascii="宋体" w:hAnsi="宋体"/>
          <w:color w:val="auto"/>
          <w:sz w:val="24"/>
          <w:szCs w:val="24"/>
          <w:u w:val="single"/>
        </w:rPr>
      </w:pPr>
      <w:bookmarkStart w:id="41" w:name="_Toc496132995"/>
      <w:r>
        <w:rPr>
          <w:rFonts w:hint="eastAsia" w:ascii="宋体" w:hAnsi="宋体"/>
          <w:color w:val="auto"/>
          <w:kern w:val="2"/>
          <w:sz w:val="24"/>
          <w:szCs w:val="24"/>
        </w:rPr>
        <w:t xml:space="preserve"> </w:t>
      </w:r>
      <w:bookmarkStart w:id="42" w:name="_Toc8182"/>
      <w:bookmarkStart w:id="43" w:name="_Toc20140"/>
      <w:bookmarkStart w:id="44" w:name="_Toc22847"/>
      <w:bookmarkStart w:id="45" w:name="_Toc21799"/>
      <w:bookmarkStart w:id="46" w:name="_Toc29216"/>
      <w:bookmarkStart w:id="47" w:name="_Toc31270"/>
      <w:bookmarkStart w:id="48" w:name="_Toc20205"/>
      <w:bookmarkStart w:id="49" w:name="_Toc32416"/>
      <w:bookmarkStart w:id="50" w:name="_Toc22197"/>
      <w:bookmarkStart w:id="51" w:name="_Toc7437"/>
      <w:r>
        <w:rPr>
          <w:rFonts w:hint="eastAsia" w:ascii="宋体" w:hAnsi="宋体"/>
          <w:color w:val="auto"/>
          <w:kern w:val="2"/>
          <w:sz w:val="24"/>
          <w:szCs w:val="24"/>
        </w:rPr>
        <w:t>1.</w:t>
      </w:r>
      <w:bookmarkEnd w:id="41"/>
      <w:r>
        <w:rPr>
          <w:rFonts w:hint="eastAsia" w:ascii="宋体" w:hAnsi="宋体"/>
          <w:color w:val="auto"/>
          <w:kern w:val="2"/>
          <w:sz w:val="24"/>
          <w:szCs w:val="24"/>
        </w:rPr>
        <w:t xml:space="preserve">6 </w:t>
      </w:r>
      <w:r>
        <w:rPr>
          <w:rFonts w:hint="eastAsia" w:ascii="宋体" w:hAnsi="宋体"/>
          <w:color w:val="auto"/>
          <w:sz w:val="24"/>
          <w:szCs w:val="24"/>
        </w:rPr>
        <w:t>投标费用：</w:t>
      </w:r>
      <w:r>
        <w:rPr>
          <w:rFonts w:hint="eastAsia" w:ascii="宋体" w:hAnsi="宋体"/>
          <w:color w:val="auto"/>
          <w:sz w:val="24"/>
          <w:szCs w:val="24"/>
          <w:u w:val="single"/>
        </w:rPr>
        <w:t>投标人应承担所有准备和参加投标的相关费用，不论投标结果如何，招标人均无义务和责任承担这些费用。</w:t>
      </w:r>
      <w:bookmarkEnd w:id="42"/>
      <w:bookmarkEnd w:id="43"/>
      <w:bookmarkEnd w:id="44"/>
      <w:bookmarkEnd w:id="45"/>
      <w:bookmarkEnd w:id="46"/>
      <w:bookmarkEnd w:id="47"/>
      <w:bookmarkEnd w:id="48"/>
      <w:bookmarkEnd w:id="49"/>
      <w:bookmarkEnd w:id="50"/>
      <w:bookmarkEnd w:id="51"/>
      <w:bookmarkStart w:id="52" w:name="_Toc28822"/>
      <w:bookmarkStart w:id="53" w:name="_Toc15632"/>
      <w:bookmarkStart w:id="54" w:name="_Toc30037"/>
      <w:bookmarkStart w:id="55" w:name="_Toc17211"/>
      <w:bookmarkStart w:id="56" w:name="_Toc32674"/>
      <w:bookmarkStart w:id="57" w:name="_Toc23046"/>
    </w:p>
    <w:p w14:paraId="04578A83">
      <w:pPr>
        <w:pStyle w:val="55"/>
        <w:keepNext/>
        <w:keepLines/>
        <w:ind w:firstLine="480"/>
        <w:jc w:val="both"/>
        <w:rPr>
          <w:rFonts w:ascii="宋体" w:hAnsi="宋体" w:cs="宋体"/>
          <w:b/>
          <w:color w:val="auto"/>
          <w:kern w:val="2"/>
          <w:szCs w:val="24"/>
        </w:rPr>
      </w:pPr>
      <w:r>
        <w:rPr>
          <w:rFonts w:hint="eastAsia" w:ascii="宋体" w:hAnsi="宋体" w:cs="宋体"/>
          <w:b/>
          <w:color w:val="auto"/>
          <w:kern w:val="2"/>
          <w:szCs w:val="24"/>
        </w:rPr>
        <w:t>2 招标范围</w:t>
      </w:r>
    </w:p>
    <w:p w14:paraId="56B638C0">
      <w:pPr>
        <w:spacing w:line="360" w:lineRule="auto"/>
        <w:ind w:firstLine="480" w:firstLineChars="200"/>
        <w:rPr>
          <w:rFonts w:hint="eastAsia"/>
          <w:bCs/>
          <w:color w:val="auto"/>
          <w:kern w:val="2"/>
          <w:lang w:eastAsia="zh-CN"/>
        </w:rPr>
      </w:pPr>
      <w:r>
        <w:rPr>
          <w:rFonts w:hint="eastAsia"/>
          <w:bCs/>
          <w:color w:val="auto"/>
          <w:kern w:val="2"/>
        </w:rPr>
        <w:t>本次招标的设计为分区域分期实施，一期实施的是百年东街改造升级部分（详见第六章百年东街改造升级部分设计任务书</w:t>
      </w:r>
      <w:r>
        <w:rPr>
          <w:rFonts w:hint="eastAsia"/>
          <w:bCs/>
          <w:color w:val="auto"/>
          <w:kern w:val="2"/>
          <w:lang w:eastAsia="zh-CN"/>
        </w:rPr>
        <w:t>）</w:t>
      </w:r>
      <w:r>
        <w:rPr>
          <w:rFonts w:hint="eastAsia"/>
          <w:bCs/>
          <w:color w:val="auto"/>
          <w:kern w:val="2"/>
        </w:rPr>
        <w:t>，二期实施周边历史街区部分</w:t>
      </w:r>
      <w:r>
        <w:rPr>
          <w:rFonts w:hint="eastAsia"/>
          <w:bCs/>
          <w:color w:val="auto"/>
          <w:kern w:val="2"/>
          <w:lang w:eastAsia="zh-CN"/>
        </w:rPr>
        <w:t>（</w:t>
      </w:r>
      <w:r>
        <w:rPr>
          <w:rFonts w:hint="eastAsia"/>
          <w:bCs/>
          <w:color w:val="auto"/>
          <w:kern w:val="2"/>
        </w:rPr>
        <w:t>周边历史街区部分的设计任务</w:t>
      </w:r>
      <w:r>
        <w:rPr>
          <w:rFonts w:hint="eastAsia"/>
          <w:bCs/>
          <w:color w:val="auto"/>
          <w:kern w:val="2"/>
          <w:lang w:eastAsia="zh-CN"/>
        </w:rPr>
        <w:t>书由</w:t>
      </w:r>
      <w:r>
        <w:rPr>
          <w:rFonts w:hint="eastAsia"/>
          <w:bCs/>
          <w:color w:val="auto"/>
          <w:kern w:val="2"/>
        </w:rPr>
        <w:t>招标人</w:t>
      </w:r>
      <w:r>
        <w:rPr>
          <w:rFonts w:hint="eastAsia"/>
          <w:bCs/>
          <w:color w:val="auto"/>
          <w:kern w:val="2"/>
          <w:lang w:eastAsia="zh-CN"/>
        </w:rPr>
        <w:t>另行</w:t>
      </w:r>
      <w:r>
        <w:rPr>
          <w:rFonts w:hint="eastAsia"/>
          <w:bCs/>
          <w:color w:val="auto"/>
          <w:kern w:val="2"/>
        </w:rPr>
        <w:t>提供）。所涉及的设计服务内容包括但不限于以下方面</w:t>
      </w:r>
      <w:r>
        <w:rPr>
          <w:rFonts w:hint="eastAsia"/>
          <w:bCs/>
          <w:color w:val="auto"/>
          <w:kern w:val="2"/>
          <w:lang w:eastAsia="zh-CN"/>
        </w:rPr>
        <w:t>：</w:t>
      </w:r>
    </w:p>
    <w:p w14:paraId="3FC7D2D8">
      <w:pPr>
        <w:spacing w:line="360" w:lineRule="auto"/>
        <w:ind w:firstLine="480" w:firstLineChars="200"/>
        <w:rPr>
          <w:bCs/>
          <w:color w:val="auto"/>
          <w:kern w:val="2"/>
        </w:rPr>
      </w:pPr>
      <w:r>
        <w:rPr>
          <w:rFonts w:hint="eastAsia"/>
          <w:bCs/>
          <w:color w:val="auto"/>
          <w:kern w:val="2"/>
        </w:rPr>
        <w:t>①方案设计及深化（含效果图）；</w:t>
      </w:r>
    </w:p>
    <w:p w14:paraId="6FF07232">
      <w:pPr>
        <w:spacing w:line="360" w:lineRule="auto"/>
        <w:ind w:firstLine="480" w:firstLineChars="200"/>
        <w:rPr>
          <w:bCs/>
          <w:color w:val="auto"/>
          <w:kern w:val="2"/>
        </w:rPr>
      </w:pPr>
      <w:r>
        <w:rPr>
          <w:rFonts w:hint="eastAsia"/>
          <w:bCs/>
          <w:color w:val="auto"/>
          <w:kern w:val="2"/>
        </w:rPr>
        <w:t>②初步设计文件（包含初步设计深化、总平面及设计说明书、设计图纸等涉及初步设计文件需提交的所有专项设计）；</w:t>
      </w:r>
    </w:p>
    <w:p w14:paraId="7659DE2C">
      <w:pPr>
        <w:spacing w:line="360" w:lineRule="auto"/>
        <w:ind w:firstLine="480" w:firstLineChars="200"/>
        <w:rPr>
          <w:bCs/>
          <w:color w:val="auto"/>
          <w:kern w:val="2"/>
        </w:rPr>
      </w:pPr>
      <w:r>
        <w:rPr>
          <w:rFonts w:hint="eastAsia"/>
          <w:bCs/>
          <w:color w:val="auto"/>
          <w:kern w:val="2"/>
        </w:rPr>
        <w:t>③初步设计概算的编制；对应设计阶段造价文件编制和配合报审工作，包含：初步设计概算（项目总投资概算编制和配合报审）；</w:t>
      </w:r>
    </w:p>
    <w:p w14:paraId="70AD417B">
      <w:pPr>
        <w:spacing w:line="360" w:lineRule="auto"/>
        <w:ind w:firstLine="480" w:firstLineChars="200"/>
        <w:rPr>
          <w:bCs/>
          <w:color w:val="auto"/>
        </w:rPr>
      </w:pPr>
      <w:r>
        <w:rPr>
          <w:rFonts w:hint="eastAsia"/>
          <w:bCs/>
          <w:color w:val="auto"/>
          <w:kern w:val="2"/>
        </w:rPr>
        <w:t>④后续需配合报批报审、施工配合等服务。</w:t>
      </w:r>
    </w:p>
    <w:p w14:paraId="41B6037F">
      <w:pPr>
        <w:pStyle w:val="55"/>
        <w:keepNext/>
        <w:keepLines/>
        <w:ind w:firstLine="480"/>
        <w:jc w:val="both"/>
        <w:rPr>
          <w:rFonts w:ascii="宋体" w:hAnsi="宋体" w:cs="宋体"/>
          <w:b/>
          <w:color w:val="auto"/>
          <w:kern w:val="2"/>
          <w:szCs w:val="24"/>
        </w:rPr>
      </w:pPr>
      <w:r>
        <w:rPr>
          <w:rFonts w:hint="eastAsia" w:ascii="宋体" w:hAnsi="宋体" w:cs="宋体"/>
          <w:b/>
          <w:color w:val="auto"/>
          <w:kern w:val="2"/>
          <w:szCs w:val="24"/>
        </w:rPr>
        <w:t>3</w:t>
      </w:r>
      <w:bookmarkStart w:id="58" w:name="_Hlt66187826"/>
      <w:bookmarkEnd w:id="58"/>
      <w:r>
        <w:rPr>
          <w:rFonts w:hint="eastAsia" w:ascii="宋体" w:hAnsi="宋体" w:cs="宋体"/>
          <w:b/>
          <w:color w:val="auto"/>
          <w:kern w:val="2"/>
          <w:szCs w:val="24"/>
        </w:rPr>
        <w:t xml:space="preserve"> </w:t>
      </w:r>
      <w:bookmarkEnd w:id="52"/>
      <w:r>
        <w:rPr>
          <w:rFonts w:hint="eastAsia" w:ascii="宋体" w:hAnsi="宋体" w:cs="宋体"/>
          <w:b/>
          <w:color w:val="auto"/>
          <w:kern w:val="2"/>
          <w:szCs w:val="24"/>
        </w:rPr>
        <w:t>工期要求</w:t>
      </w:r>
      <w:bookmarkEnd w:id="53"/>
      <w:bookmarkEnd w:id="54"/>
      <w:bookmarkEnd w:id="55"/>
      <w:bookmarkEnd w:id="56"/>
      <w:bookmarkEnd w:id="57"/>
      <w:bookmarkStart w:id="59" w:name="_Toc13023"/>
      <w:bookmarkStart w:id="60" w:name="_Toc23744"/>
      <w:bookmarkStart w:id="61" w:name="_Toc27177"/>
      <w:bookmarkStart w:id="62" w:name="_Toc22115"/>
      <w:bookmarkStart w:id="63" w:name="_Toc13594"/>
      <w:bookmarkStart w:id="64" w:name="_Toc7539"/>
      <w:bookmarkStart w:id="65" w:name="_Toc11227"/>
      <w:bookmarkStart w:id="66" w:name="_Toc12776"/>
      <w:bookmarkStart w:id="67" w:name="_Toc20703"/>
    </w:p>
    <w:bookmarkEnd w:id="59"/>
    <w:bookmarkEnd w:id="60"/>
    <w:bookmarkEnd w:id="61"/>
    <w:p w14:paraId="7EB0E3B1">
      <w:pPr>
        <w:pStyle w:val="55"/>
        <w:keepNext/>
        <w:keepLines/>
        <w:ind w:firstLine="480"/>
        <w:jc w:val="both"/>
        <w:rPr>
          <w:rFonts w:ascii="宋体" w:hAnsi="宋体" w:cs="宋体"/>
          <w:bCs/>
          <w:color w:val="auto"/>
          <w:kern w:val="2"/>
          <w:szCs w:val="24"/>
        </w:rPr>
      </w:pPr>
      <w:bookmarkStart w:id="68" w:name="_Toc11994"/>
      <w:bookmarkStart w:id="69" w:name="_Toc32105"/>
      <w:bookmarkStart w:id="70" w:name="_Toc17553"/>
      <w:r>
        <w:rPr>
          <w:rFonts w:hint="eastAsia" w:ascii="宋体" w:hAnsi="宋体" w:cs="宋体"/>
          <w:bCs/>
          <w:color w:val="auto"/>
          <w:kern w:val="2"/>
          <w:szCs w:val="24"/>
        </w:rPr>
        <w:t>本招标项目设计总工期：共</w:t>
      </w:r>
      <w:r>
        <w:rPr>
          <w:rFonts w:hint="eastAsia" w:ascii="宋体" w:hAnsi="宋体" w:cs="宋体"/>
          <w:bCs/>
          <w:color w:val="auto"/>
          <w:kern w:val="2"/>
          <w:szCs w:val="24"/>
          <w:lang w:val="en-US" w:eastAsia="zh-CN"/>
        </w:rPr>
        <w:t>8</w:t>
      </w:r>
      <w:r>
        <w:rPr>
          <w:rFonts w:hint="eastAsia" w:ascii="宋体" w:hAnsi="宋体" w:cs="宋体"/>
          <w:bCs/>
          <w:color w:val="auto"/>
          <w:kern w:val="2"/>
          <w:szCs w:val="24"/>
        </w:rPr>
        <w:t>0个日历天。</w:t>
      </w:r>
    </w:p>
    <w:p w14:paraId="631C0538">
      <w:pPr>
        <w:pStyle w:val="55"/>
        <w:keepNext/>
        <w:keepLines/>
        <w:ind w:firstLine="480"/>
        <w:jc w:val="both"/>
        <w:rPr>
          <w:rFonts w:ascii="宋体" w:hAnsi="宋体" w:cs="宋体"/>
          <w:bCs/>
          <w:color w:val="auto"/>
          <w:kern w:val="2"/>
          <w:szCs w:val="24"/>
        </w:rPr>
      </w:pPr>
      <w:r>
        <w:rPr>
          <w:rFonts w:hint="eastAsia" w:ascii="宋体" w:hAnsi="宋体" w:cs="宋体"/>
          <w:bCs/>
          <w:color w:val="auto"/>
          <w:kern w:val="2"/>
          <w:szCs w:val="24"/>
          <w:lang w:eastAsia="zh-CN"/>
        </w:rPr>
        <w:t>1.一期：</w:t>
      </w:r>
      <w:r>
        <w:rPr>
          <w:rFonts w:hint="eastAsia" w:ascii="宋体" w:hAnsi="宋体" w:cs="宋体"/>
          <w:bCs/>
          <w:color w:val="auto"/>
          <w:kern w:val="2"/>
          <w:szCs w:val="24"/>
        </w:rPr>
        <w:t>百年东街改造升级部分设计工期</w:t>
      </w:r>
      <w:r>
        <w:rPr>
          <w:rFonts w:hint="eastAsia" w:ascii="宋体" w:hAnsi="宋体" w:cs="宋体"/>
          <w:bCs/>
          <w:color w:val="auto"/>
          <w:kern w:val="2"/>
          <w:szCs w:val="24"/>
          <w:lang w:val="en-US" w:eastAsia="zh-CN"/>
        </w:rPr>
        <w:t>3</w:t>
      </w:r>
      <w:r>
        <w:rPr>
          <w:rFonts w:hint="eastAsia" w:ascii="宋体" w:hAnsi="宋体" w:cs="宋体"/>
          <w:bCs/>
          <w:color w:val="auto"/>
          <w:kern w:val="2"/>
          <w:szCs w:val="24"/>
        </w:rPr>
        <w:t>0个日历天，从中标通知书发出之日起计算，至提交符合招标人要求的初步设计文件之日止（每一步设计工作，必须经招标人及有关部门审核批准后方可实施）。各阶段实施期限如下：</w:t>
      </w:r>
    </w:p>
    <w:p w14:paraId="45012237">
      <w:pPr>
        <w:pStyle w:val="55"/>
        <w:keepNext/>
        <w:keepLines/>
        <w:ind w:firstLine="480"/>
        <w:jc w:val="both"/>
        <w:rPr>
          <w:rFonts w:ascii="宋体" w:hAnsi="宋体" w:cs="宋体"/>
          <w:bCs/>
          <w:color w:val="auto"/>
          <w:kern w:val="2"/>
          <w:szCs w:val="24"/>
        </w:rPr>
      </w:pPr>
      <w:r>
        <w:rPr>
          <w:rFonts w:hint="eastAsia" w:ascii="宋体" w:hAnsi="宋体" w:cs="宋体"/>
          <w:bCs/>
          <w:color w:val="auto"/>
          <w:kern w:val="2"/>
          <w:szCs w:val="24"/>
        </w:rPr>
        <w:t>（1）方案设计阶段：从中标通知书发出之日起10个日历天内提交方案设计；</w:t>
      </w:r>
    </w:p>
    <w:p w14:paraId="578A6EE5">
      <w:pPr>
        <w:pStyle w:val="55"/>
        <w:keepNext/>
        <w:keepLines/>
        <w:ind w:firstLine="480"/>
        <w:jc w:val="both"/>
        <w:rPr>
          <w:rFonts w:ascii="宋体" w:hAnsi="宋体" w:cs="宋体"/>
          <w:bCs/>
          <w:color w:val="auto"/>
          <w:kern w:val="2"/>
          <w:szCs w:val="24"/>
        </w:rPr>
      </w:pPr>
      <w:r>
        <w:rPr>
          <w:rFonts w:hint="eastAsia" w:ascii="宋体" w:hAnsi="宋体" w:cs="宋体"/>
          <w:bCs/>
          <w:color w:val="auto"/>
          <w:kern w:val="2"/>
          <w:szCs w:val="24"/>
        </w:rPr>
        <w:t>（2）初步设计阶段：</w:t>
      </w:r>
      <w:r>
        <w:rPr>
          <w:rFonts w:hint="eastAsia" w:hAnsi="宋体" w:cs="宋体"/>
          <w:b/>
          <w:bCs/>
          <w:color w:val="auto"/>
          <w:szCs w:val="24"/>
        </w:rPr>
        <w:t>方案设计文件确认后</w:t>
      </w:r>
      <w:r>
        <w:rPr>
          <w:rFonts w:hint="eastAsia" w:ascii="宋体" w:hAnsi="宋体" w:cs="宋体"/>
          <w:bCs/>
          <w:color w:val="auto"/>
          <w:kern w:val="2"/>
          <w:szCs w:val="24"/>
          <w:lang w:val="en-US" w:eastAsia="zh-CN"/>
        </w:rPr>
        <w:t>15</w:t>
      </w:r>
      <w:r>
        <w:rPr>
          <w:rFonts w:hint="eastAsia" w:ascii="宋体" w:hAnsi="宋体" w:cs="宋体"/>
          <w:bCs/>
          <w:color w:val="auto"/>
          <w:kern w:val="2"/>
          <w:szCs w:val="24"/>
        </w:rPr>
        <w:t>个日历天内提交初步设计文件及概算；</w:t>
      </w:r>
    </w:p>
    <w:p w14:paraId="74CD3C00">
      <w:pPr>
        <w:pStyle w:val="55"/>
        <w:keepNext/>
        <w:keepLines/>
        <w:ind w:firstLine="480"/>
        <w:jc w:val="both"/>
        <w:rPr>
          <w:rFonts w:ascii="宋体" w:hAnsi="宋体" w:cs="宋体"/>
          <w:bCs/>
          <w:color w:val="auto"/>
          <w:kern w:val="2"/>
          <w:szCs w:val="24"/>
        </w:rPr>
      </w:pPr>
      <w:r>
        <w:rPr>
          <w:rFonts w:hint="eastAsia" w:ascii="宋体" w:hAnsi="宋体" w:cs="宋体"/>
          <w:bCs/>
          <w:color w:val="auto"/>
          <w:kern w:val="2"/>
          <w:szCs w:val="24"/>
        </w:rPr>
        <w:t>初步设计修编：出具初步设计（含概算）修编初审意见后，</w:t>
      </w:r>
      <w:r>
        <w:rPr>
          <w:rFonts w:hint="eastAsia" w:ascii="宋体" w:hAnsi="宋体" w:cs="宋体"/>
          <w:bCs/>
          <w:color w:val="auto"/>
          <w:kern w:val="2"/>
          <w:szCs w:val="24"/>
          <w:lang w:val="en-US" w:eastAsia="zh-CN"/>
        </w:rPr>
        <w:t>5</w:t>
      </w:r>
      <w:r>
        <w:rPr>
          <w:rFonts w:hint="eastAsia" w:ascii="宋体" w:hAnsi="宋体" w:cs="宋体"/>
          <w:bCs/>
          <w:color w:val="auto"/>
          <w:kern w:val="2"/>
          <w:szCs w:val="24"/>
        </w:rPr>
        <w:t>个日历天内完成初步设计（含概算）修编，并提交招标人审核。</w:t>
      </w:r>
    </w:p>
    <w:p w14:paraId="0083D306">
      <w:pPr>
        <w:pStyle w:val="55"/>
        <w:keepNext/>
        <w:keepLines/>
        <w:ind w:firstLine="480"/>
        <w:jc w:val="both"/>
        <w:rPr>
          <w:rFonts w:ascii="宋体" w:hAnsi="宋体" w:cs="宋体"/>
          <w:bCs/>
          <w:color w:val="auto"/>
          <w:kern w:val="2"/>
          <w:szCs w:val="24"/>
        </w:rPr>
      </w:pPr>
      <w:r>
        <w:rPr>
          <w:rFonts w:hint="eastAsia" w:ascii="宋体" w:hAnsi="宋体" w:cs="宋体"/>
          <w:bCs/>
          <w:color w:val="auto"/>
          <w:kern w:val="2"/>
          <w:szCs w:val="24"/>
          <w:lang w:eastAsia="zh-CN"/>
        </w:rPr>
        <w:t>2.二期：</w:t>
      </w:r>
      <w:r>
        <w:rPr>
          <w:rFonts w:hint="eastAsia" w:ascii="宋体" w:hAnsi="宋体" w:cs="宋体"/>
          <w:bCs/>
          <w:color w:val="auto"/>
          <w:kern w:val="2"/>
          <w:szCs w:val="24"/>
        </w:rPr>
        <w:t>周边历史街区部分50个日历天，从收到招标人书面通知和设计任务书之日起计算，至提交符合招标人要求的初步设计文件之日止（每一步设计工作，必须经招标人及有关部门审核批准后方可实施）。各阶段实施期限如下：</w:t>
      </w:r>
    </w:p>
    <w:p w14:paraId="5C434CCB">
      <w:pPr>
        <w:pStyle w:val="55"/>
        <w:keepNext/>
        <w:keepLines/>
        <w:ind w:firstLine="480"/>
        <w:jc w:val="both"/>
        <w:rPr>
          <w:rFonts w:ascii="宋体" w:hAnsi="宋体" w:cs="宋体"/>
          <w:bCs/>
          <w:color w:val="auto"/>
          <w:kern w:val="2"/>
          <w:szCs w:val="24"/>
        </w:rPr>
      </w:pPr>
      <w:r>
        <w:rPr>
          <w:rFonts w:hint="eastAsia" w:ascii="宋体" w:hAnsi="宋体" w:cs="宋体"/>
          <w:bCs/>
          <w:color w:val="auto"/>
          <w:kern w:val="2"/>
          <w:szCs w:val="24"/>
        </w:rPr>
        <w:t>（1）方案设计阶段：从中标通知书发出之日起20个日历天内提交方案设计；</w:t>
      </w:r>
    </w:p>
    <w:p w14:paraId="1CE5E9C2">
      <w:pPr>
        <w:pStyle w:val="55"/>
        <w:keepNext/>
        <w:keepLines/>
        <w:ind w:firstLine="480"/>
        <w:jc w:val="both"/>
        <w:rPr>
          <w:rFonts w:ascii="宋体" w:hAnsi="宋体" w:cs="宋体"/>
          <w:bCs/>
          <w:color w:val="auto"/>
          <w:kern w:val="2"/>
          <w:szCs w:val="24"/>
        </w:rPr>
      </w:pPr>
      <w:r>
        <w:rPr>
          <w:rFonts w:hint="eastAsia" w:ascii="宋体" w:hAnsi="宋体" w:cs="宋体"/>
          <w:bCs/>
          <w:color w:val="auto"/>
          <w:kern w:val="2"/>
          <w:szCs w:val="24"/>
        </w:rPr>
        <w:t>（2）初步设计阶段：</w:t>
      </w:r>
      <w:r>
        <w:rPr>
          <w:rFonts w:hint="eastAsia" w:hAnsi="宋体" w:cs="宋体"/>
          <w:b/>
          <w:bCs/>
          <w:color w:val="auto"/>
          <w:szCs w:val="24"/>
        </w:rPr>
        <w:t>方案设计文件确认后</w:t>
      </w:r>
      <w:r>
        <w:rPr>
          <w:rFonts w:hint="eastAsia" w:ascii="宋体" w:hAnsi="宋体" w:cs="宋体"/>
          <w:bCs/>
          <w:color w:val="auto"/>
          <w:kern w:val="2"/>
          <w:szCs w:val="24"/>
          <w:lang w:val="en-US" w:eastAsia="zh-CN"/>
        </w:rPr>
        <w:t>2</w:t>
      </w:r>
      <w:r>
        <w:rPr>
          <w:rFonts w:hint="eastAsia" w:ascii="宋体" w:hAnsi="宋体" w:cs="宋体"/>
          <w:bCs/>
          <w:color w:val="auto"/>
          <w:kern w:val="2"/>
          <w:szCs w:val="24"/>
        </w:rPr>
        <w:t>0个日历天内提交初步设计文件及概算；</w:t>
      </w:r>
    </w:p>
    <w:p w14:paraId="3B456688">
      <w:pPr>
        <w:pStyle w:val="55"/>
        <w:keepNext/>
        <w:keepLines/>
        <w:ind w:firstLine="480"/>
        <w:jc w:val="both"/>
        <w:rPr>
          <w:rFonts w:ascii="宋体" w:hAnsi="宋体" w:cs="宋体"/>
          <w:bCs/>
          <w:color w:val="auto"/>
          <w:kern w:val="2"/>
          <w:szCs w:val="24"/>
        </w:rPr>
      </w:pPr>
      <w:r>
        <w:rPr>
          <w:rFonts w:hint="eastAsia" w:ascii="宋体" w:hAnsi="宋体" w:cs="宋体"/>
          <w:bCs/>
          <w:color w:val="auto"/>
          <w:kern w:val="2"/>
          <w:szCs w:val="24"/>
        </w:rPr>
        <w:t>（3）初步设计修编：出具初步设计（含概算）修编初审意见后，10个日历天内完成初步设计（含概算）修编，并提交招标人审核。</w:t>
      </w:r>
      <w:bookmarkEnd w:id="68"/>
      <w:bookmarkEnd w:id="69"/>
      <w:bookmarkEnd w:id="70"/>
    </w:p>
    <w:p w14:paraId="707B4BF1">
      <w:pPr>
        <w:pStyle w:val="55"/>
        <w:keepNext/>
        <w:keepLines/>
        <w:ind w:firstLine="480"/>
        <w:jc w:val="both"/>
        <w:rPr>
          <w:rFonts w:ascii="宋体" w:hAnsi="宋体" w:cs="宋体"/>
          <w:b/>
          <w:kern w:val="2"/>
          <w:szCs w:val="24"/>
        </w:rPr>
      </w:pPr>
      <w:r>
        <w:rPr>
          <w:rFonts w:hint="eastAsia" w:ascii="宋体" w:hAnsi="宋体" w:cs="宋体"/>
          <w:b/>
          <w:kern w:val="2"/>
          <w:szCs w:val="24"/>
        </w:rPr>
        <w:t xml:space="preserve">4 </w:t>
      </w:r>
      <w:bookmarkEnd w:id="62"/>
      <w:bookmarkStart w:id="71" w:name="_Hlt74496495"/>
      <w:bookmarkEnd w:id="71"/>
      <w:r>
        <w:rPr>
          <w:rFonts w:hint="eastAsia" w:ascii="宋体" w:hAnsi="宋体" w:cs="宋体"/>
          <w:b/>
          <w:kern w:val="2"/>
          <w:szCs w:val="24"/>
        </w:rPr>
        <w:t>投标人资质等级及人员要求</w:t>
      </w:r>
      <w:bookmarkEnd w:id="63"/>
      <w:bookmarkEnd w:id="64"/>
      <w:bookmarkEnd w:id="65"/>
      <w:bookmarkEnd w:id="66"/>
      <w:bookmarkEnd w:id="67"/>
      <w:bookmarkStart w:id="72" w:name="_Toc11378"/>
    </w:p>
    <w:bookmarkEnd w:id="72"/>
    <w:p w14:paraId="1DC590A3">
      <w:pPr>
        <w:adjustRightInd w:val="0"/>
        <w:snapToGrid w:val="0"/>
        <w:spacing w:line="380" w:lineRule="exact"/>
        <w:ind w:firstLine="420" w:firstLineChars="175"/>
      </w:pPr>
      <w:r>
        <w:rPr>
          <w:rFonts w:hint="eastAsia" w:ascii="宋体" w:hAnsi="宋体" w:cs="宋体"/>
          <w:kern w:val="0"/>
          <w:sz w:val="24"/>
        </w:rPr>
        <w:t>4.1</w:t>
      </w:r>
      <w:r>
        <w:rPr>
          <w:rFonts w:hint="eastAsia" w:cs="宋体"/>
          <w:kern w:val="0"/>
          <w:sz w:val="24"/>
          <w:lang w:eastAsia="zh-CN"/>
        </w:rPr>
        <w:t xml:space="preserve"> </w:t>
      </w:r>
      <w:r>
        <w:rPr>
          <w:rFonts w:hint="eastAsia"/>
        </w:rPr>
        <w:t>本次招标接受联合体投标</w:t>
      </w:r>
    </w:p>
    <w:p w14:paraId="3ED56ED9">
      <w:pPr>
        <w:adjustRightInd w:val="0"/>
        <w:snapToGrid w:val="0"/>
        <w:spacing w:line="380" w:lineRule="exact"/>
        <w:ind w:firstLine="420" w:firstLineChars="175"/>
      </w:pPr>
      <w:r>
        <w:rPr>
          <w:rFonts w:hint="eastAsia"/>
          <w:lang w:val="en-US" w:eastAsia="zh-CN"/>
        </w:rPr>
        <w:t>4.</w:t>
      </w:r>
      <w:r>
        <w:rPr>
          <w:rFonts w:hint="eastAsia"/>
        </w:rPr>
        <w:t>1.1 联合体成员数量不超过</w:t>
      </w:r>
      <w:r>
        <w:rPr>
          <w:rFonts w:hint="eastAsia"/>
          <w:lang w:val="en-US" w:eastAsia="zh-CN"/>
        </w:rPr>
        <w:t>2</w:t>
      </w:r>
      <w:r>
        <w:rPr>
          <w:rFonts w:hint="eastAsia"/>
        </w:rPr>
        <w:t>个。</w:t>
      </w:r>
    </w:p>
    <w:p w14:paraId="61D9FEA6">
      <w:pPr>
        <w:adjustRightInd w:val="0"/>
        <w:snapToGrid w:val="0"/>
        <w:spacing w:line="380" w:lineRule="exact"/>
        <w:ind w:firstLine="420" w:firstLineChars="175"/>
      </w:pPr>
      <w:r>
        <w:rPr>
          <w:rFonts w:hint="eastAsia"/>
          <w:lang w:val="en-US" w:eastAsia="zh-CN"/>
        </w:rPr>
        <w:t>4.</w:t>
      </w:r>
      <w:r>
        <w:rPr>
          <w:rFonts w:hint="eastAsia"/>
        </w:rPr>
        <w:t>1.2 联合体各方应按招标文件提供的格式签订联合体协议书，明确联合体牵头人和各方权利义务，并承诺就中标项目向招标人承担连带责任。《联合体协议书》作为投标文件的组成部分向招标人提交。</w:t>
      </w:r>
    </w:p>
    <w:p w14:paraId="3A2BD6D1">
      <w:pPr>
        <w:adjustRightInd w:val="0"/>
        <w:snapToGrid w:val="0"/>
        <w:spacing w:line="380" w:lineRule="exact"/>
        <w:ind w:firstLine="420" w:firstLineChars="175"/>
      </w:pPr>
      <w:r>
        <w:rPr>
          <w:rFonts w:hint="eastAsia"/>
          <w:lang w:val="en-US" w:eastAsia="zh-CN"/>
        </w:rPr>
        <w:t>4.</w:t>
      </w:r>
      <w:r>
        <w:rPr>
          <w:rFonts w:hint="eastAsia"/>
        </w:rPr>
        <w:t>1.3 联合体成员单位均应具备拟承担的工作内容（以《联合体协议书》的约定为准）所规定的资格条件。若同一工作内容由两个单位共同承担，该项工作内容按照资质等级较低的单位确定联合体资质等级。</w:t>
      </w:r>
    </w:p>
    <w:p w14:paraId="5428F5A3">
      <w:pPr>
        <w:adjustRightInd w:val="0"/>
        <w:snapToGrid w:val="0"/>
        <w:spacing w:line="380" w:lineRule="exact"/>
        <w:ind w:firstLine="420" w:firstLineChars="175"/>
      </w:pPr>
      <w:r>
        <w:rPr>
          <w:rFonts w:hint="eastAsia"/>
          <w:lang w:val="en-US" w:eastAsia="zh-CN"/>
        </w:rPr>
        <w:t>4.</w:t>
      </w:r>
      <w:r>
        <w:rPr>
          <w:rFonts w:hint="eastAsia"/>
        </w:rPr>
        <w:t>1.4 联合体各方不得再以自己名义单独或参加其他联合体在本招标项目中投标，否则各相关投标均无效。</w:t>
      </w:r>
    </w:p>
    <w:p w14:paraId="37F1C3F2">
      <w:pPr>
        <w:adjustRightInd w:val="0"/>
        <w:snapToGrid w:val="0"/>
        <w:spacing w:line="380" w:lineRule="exact"/>
        <w:ind w:firstLine="420" w:firstLineChars="175"/>
      </w:pPr>
      <w:r>
        <w:rPr>
          <w:rFonts w:hint="eastAsia"/>
          <w:lang w:val="en-US" w:eastAsia="zh-CN"/>
        </w:rPr>
        <w:t>4.</w:t>
      </w:r>
      <w:r>
        <w:rPr>
          <w:rFonts w:hint="eastAsia"/>
        </w:rPr>
        <w:t>2.资质要求</w:t>
      </w:r>
    </w:p>
    <w:p w14:paraId="38E43D92">
      <w:pPr>
        <w:adjustRightInd w:val="0"/>
        <w:snapToGrid w:val="0"/>
        <w:spacing w:line="380" w:lineRule="exact"/>
        <w:ind w:firstLine="480" w:firstLineChars="200"/>
        <w:rPr>
          <w:rFonts w:hint="eastAsia"/>
        </w:rPr>
      </w:pPr>
      <w:r>
        <w:rPr>
          <w:rFonts w:hint="eastAsia"/>
          <w:lang w:val="en-US" w:eastAsia="zh-CN"/>
        </w:rPr>
        <w:t>4.</w:t>
      </w:r>
      <w:r>
        <w:rPr>
          <w:rFonts w:hint="eastAsia"/>
        </w:rPr>
        <w:t>2.1参加投标的投标人可以是单一独立法人或由不超过</w:t>
      </w:r>
      <w:r>
        <w:rPr>
          <w:rFonts w:hint="eastAsia"/>
          <w:lang w:val="en-US" w:eastAsia="zh-CN"/>
        </w:rPr>
        <w:t>2</w:t>
      </w:r>
      <w:r>
        <w:rPr>
          <w:rFonts w:hint="eastAsia"/>
        </w:rPr>
        <w:t>家独立法人组成的联合体（必须注明其中一家为牵头人），联合体各方不得再以自己的名义单独申请，也不得同时参加两个或两个以上的联合体进行本项目的投标。单一独立法人必须至少同时具备以下①或②+③资质，组成联合体投标的，</w:t>
      </w:r>
      <w:r>
        <w:rPr>
          <w:rFonts w:hint="eastAsia"/>
          <w:lang w:eastAsia="zh-CN"/>
        </w:rPr>
        <w:t>联合体</w:t>
      </w:r>
      <w:r>
        <w:rPr>
          <w:rFonts w:hint="eastAsia"/>
        </w:rPr>
        <w:t>必须至少具备以下①或②+③资质：</w:t>
      </w:r>
    </w:p>
    <w:p w14:paraId="1B2EF098">
      <w:pPr>
        <w:adjustRightInd w:val="0"/>
        <w:snapToGrid w:val="0"/>
        <w:spacing w:line="380" w:lineRule="exact"/>
        <w:ind w:firstLine="480" w:firstLineChars="200"/>
        <w:rPr>
          <w:rFonts w:hint="eastAsia"/>
        </w:rPr>
      </w:pPr>
      <w:r>
        <w:rPr>
          <w:rFonts w:hint="eastAsia"/>
        </w:rPr>
        <w:t>①工程设计综合甲级资质</w:t>
      </w:r>
    </w:p>
    <w:p w14:paraId="1A1D86F3">
      <w:pPr>
        <w:adjustRightInd w:val="0"/>
        <w:snapToGrid w:val="0"/>
        <w:spacing w:line="380" w:lineRule="exact"/>
        <w:ind w:firstLine="480" w:firstLineChars="200"/>
        <w:rPr>
          <w:rFonts w:hint="eastAsia"/>
        </w:rPr>
      </w:pPr>
      <w:r>
        <w:rPr>
          <w:rFonts w:hint="eastAsia"/>
        </w:rPr>
        <w:t>②必须具备以下资质之一：</w:t>
      </w:r>
    </w:p>
    <w:p w14:paraId="100A6918">
      <w:pPr>
        <w:adjustRightInd w:val="0"/>
        <w:snapToGrid w:val="0"/>
        <w:spacing w:line="380" w:lineRule="exact"/>
        <w:ind w:firstLine="480" w:firstLineChars="200"/>
        <w:rPr>
          <w:rFonts w:hint="eastAsia"/>
        </w:rPr>
      </w:pPr>
      <w:r>
        <w:rPr>
          <w:rFonts w:hint="eastAsia"/>
        </w:rPr>
        <w:t>a工程设计建筑行业甲级资质；</w:t>
      </w:r>
    </w:p>
    <w:p w14:paraId="7A96EBDB">
      <w:pPr>
        <w:adjustRightInd w:val="0"/>
        <w:snapToGrid w:val="0"/>
        <w:spacing w:line="380" w:lineRule="exact"/>
        <w:ind w:firstLine="480" w:firstLineChars="200"/>
        <w:rPr>
          <w:rFonts w:hint="eastAsia"/>
        </w:rPr>
      </w:pPr>
      <w:r>
        <w:rPr>
          <w:rFonts w:hint="eastAsia"/>
        </w:rPr>
        <w:t>b工程设计建筑行业</w:t>
      </w:r>
      <w:r>
        <w:rPr>
          <w:rFonts w:hint="eastAsia"/>
          <w:lang w:eastAsia="zh-CN"/>
        </w:rPr>
        <w:t>（</w:t>
      </w:r>
      <w:r>
        <w:rPr>
          <w:rFonts w:hint="eastAsia"/>
        </w:rPr>
        <w:t>建筑工程</w:t>
      </w:r>
      <w:r>
        <w:rPr>
          <w:rFonts w:hint="eastAsia"/>
          <w:lang w:eastAsia="zh-CN"/>
        </w:rPr>
        <w:t>）</w:t>
      </w:r>
      <w:r>
        <w:rPr>
          <w:rFonts w:hint="eastAsia"/>
        </w:rPr>
        <w:t>专业甲级资质；</w:t>
      </w:r>
    </w:p>
    <w:p w14:paraId="51EEAA07">
      <w:pPr>
        <w:adjustRightInd w:val="0"/>
        <w:snapToGrid w:val="0"/>
        <w:spacing w:line="380" w:lineRule="exact"/>
        <w:ind w:firstLine="480" w:firstLineChars="200"/>
        <w:rPr>
          <w:rFonts w:hint="eastAsia"/>
        </w:rPr>
      </w:pPr>
      <w:r>
        <w:rPr>
          <w:rFonts w:hint="eastAsia"/>
        </w:rPr>
        <w:t>③必须具备风景园林工程设计甲级资质；</w:t>
      </w:r>
    </w:p>
    <w:p w14:paraId="79C023BE">
      <w:pPr>
        <w:pStyle w:val="11"/>
        <w:spacing w:after="0" w:line="380" w:lineRule="exact"/>
        <w:ind w:firstLine="480" w:firstLineChars="200"/>
      </w:pPr>
      <w:r>
        <w:rPr>
          <w:rFonts w:hint="eastAsia"/>
        </w:rPr>
        <w:t>4.2.</w:t>
      </w:r>
      <w:r>
        <w:rPr>
          <w:rFonts w:hint="eastAsia"/>
          <w:lang w:val="en-US" w:eastAsia="zh-CN"/>
        </w:rPr>
        <w:t>2</w:t>
      </w:r>
      <w:r>
        <w:rPr>
          <w:rFonts w:hint="eastAsia"/>
        </w:rPr>
        <w:t>根据有关文件精神，投标人的企业相关证书、人员资质、资格有效期到期的，均按该证书的发证机构相关行业主管部门最新文件执行（如自动顺延或推迟办理延期业务的通知），投标人必须将相关文件附在该证书</w:t>
      </w:r>
      <w:r>
        <w:rPr>
          <w:rFonts w:hint="eastAsia"/>
          <w:lang w:eastAsia="zh-CN"/>
        </w:rPr>
        <w:t>后面</w:t>
      </w:r>
      <w:r>
        <w:rPr>
          <w:rFonts w:hint="eastAsia"/>
        </w:rPr>
        <w:t>，证明在开标日继续有效的。</w:t>
      </w:r>
    </w:p>
    <w:p w14:paraId="5B282117">
      <w:pPr>
        <w:pStyle w:val="11"/>
        <w:spacing w:after="0" w:line="380" w:lineRule="exact"/>
        <w:ind w:firstLine="480" w:firstLineChars="200"/>
      </w:pPr>
      <w:r>
        <w:rPr>
          <w:rFonts w:hint="eastAsia"/>
        </w:rPr>
        <w:t>4.3.相关人员要求</w:t>
      </w:r>
    </w:p>
    <w:p w14:paraId="2D8A4CF1">
      <w:pPr>
        <w:pStyle w:val="11"/>
        <w:spacing w:after="0" w:line="380" w:lineRule="exact"/>
        <w:ind w:firstLine="480" w:firstLineChars="200"/>
        <w:rPr>
          <w:color w:val="FF0000"/>
          <w:highlight w:val="yellow"/>
        </w:rPr>
      </w:pPr>
      <w:r>
        <w:rPr>
          <w:rFonts w:hint="eastAsia"/>
        </w:rPr>
        <w:t>4.3.1委派担任本招标项目的项目负责人（即设计负责人）须具有一级注册建筑师注册证书。</w:t>
      </w:r>
    </w:p>
    <w:p w14:paraId="2DB68E5F">
      <w:pPr>
        <w:pStyle w:val="11"/>
        <w:spacing w:after="0" w:line="440" w:lineRule="exact"/>
        <w:ind w:firstLine="480" w:firstLineChars="200"/>
      </w:pPr>
      <w:r>
        <w:rPr>
          <w:rFonts w:hint="eastAsia"/>
        </w:rPr>
        <w:t>4.3.2投标人（包括组成联合体的所有成员单位）与其拟派往本项目所有人员之间必须具备合法、唯一的劳动聘用关系。拟派人员中具备注册执业资格的，其注册单位须与投标人保持一致。</w:t>
      </w:r>
    </w:p>
    <w:p w14:paraId="4F809DAA">
      <w:pPr>
        <w:pStyle w:val="11"/>
        <w:spacing w:after="0" w:line="440" w:lineRule="exact"/>
        <w:ind w:firstLine="480" w:firstLineChars="200"/>
        <w:rPr>
          <w:rFonts w:hint="eastAsia"/>
        </w:rPr>
      </w:pPr>
      <w:r>
        <w:rPr>
          <w:rFonts w:hint="eastAsia"/>
        </w:rPr>
        <w:t>4.4禁止投标条款</w:t>
      </w:r>
    </w:p>
    <w:p w14:paraId="142D63B8">
      <w:pPr>
        <w:pStyle w:val="11"/>
        <w:spacing w:after="0" w:line="440" w:lineRule="exact"/>
        <w:ind w:firstLine="480" w:firstLineChars="200"/>
      </w:pPr>
      <w:r>
        <w:rPr>
          <w:rFonts w:hint="eastAsia"/>
        </w:rPr>
        <w:t>4.4.1 投标人不得存在下列情形之一：</w:t>
      </w:r>
    </w:p>
    <w:p w14:paraId="2C573EF8">
      <w:pPr>
        <w:pStyle w:val="76"/>
        <w:wordWrap w:val="0"/>
        <w:adjustRightInd w:val="0"/>
        <w:snapToGrid w:val="0"/>
        <w:spacing w:line="440" w:lineRule="exact"/>
        <w:ind w:firstLine="480" w:firstLineChars="200"/>
        <w:jc w:val="left"/>
        <w:rPr>
          <w:rFonts w:ascii="宋体" w:hAnsi="宋体" w:cs="宋体"/>
          <w:snapToGrid w:val="0"/>
          <w:kern w:val="0"/>
          <w:sz w:val="24"/>
        </w:rPr>
      </w:pPr>
      <w:r>
        <w:rPr>
          <w:rFonts w:hint="eastAsia" w:ascii="宋体" w:hAnsi="宋体" w:cs="宋体"/>
          <w:snapToGrid w:val="0"/>
          <w:kern w:val="0"/>
          <w:sz w:val="24"/>
        </w:rPr>
        <w:t>（1）为招标人不具有独立法人资格的附属机构（单位）；</w:t>
      </w:r>
    </w:p>
    <w:p w14:paraId="2A17819E">
      <w:pPr>
        <w:pStyle w:val="76"/>
        <w:wordWrap w:val="0"/>
        <w:adjustRightInd w:val="0"/>
        <w:snapToGrid w:val="0"/>
        <w:spacing w:line="440" w:lineRule="exact"/>
        <w:ind w:firstLine="480" w:firstLineChars="200"/>
        <w:jc w:val="left"/>
        <w:rPr>
          <w:rFonts w:ascii="宋体" w:hAnsi="宋体" w:cs="宋体"/>
          <w:snapToGrid w:val="0"/>
          <w:kern w:val="0"/>
          <w:sz w:val="24"/>
        </w:rPr>
      </w:pPr>
      <w:r>
        <w:rPr>
          <w:rFonts w:hint="eastAsia" w:ascii="宋体" w:hAnsi="宋体" w:cs="宋体"/>
          <w:snapToGrid w:val="0"/>
          <w:kern w:val="0"/>
          <w:sz w:val="24"/>
        </w:rPr>
        <w:t>（2）与招标人存在利害关系且可能影响招标公正性；</w:t>
      </w:r>
    </w:p>
    <w:p w14:paraId="62D455D9">
      <w:pPr>
        <w:pStyle w:val="76"/>
        <w:wordWrap w:val="0"/>
        <w:adjustRightInd w:val="0"/>
        <w:snapToGrid w:val="0"/>
        <w:spacing w:line="440" w:lineRule="exact"/>
        <w:ind w:firstLine="480" w:firstLineChars="200"/>
        <w:jc w:val="left"/>
        <w:rPr>
          <w:rFonts w:ascii="宋体" w:hAnsi="宋体" w:cs="宋体"/>
          <w:snapToGrid w:val="0"/>
          <w:kern w:val="0"/>
          <w:sz w:val="24"/>
        </w:rPr>
      </w:pPr>
      <w:r>
        <w:rPr>
          <w:rFonts w:hint="eastAsia" w:ascii="宋体" w:hAnsi="宋体" w:cs="宋体"/>
          <w:snapToGrid w:val="0"/>
          <w:kern w:val="0"/>
          <w:sz w:val="24"/>
        </w:rPr>
        <w:t>（3）与本招标项目的其他投标人为同一个单位负责人；</w:t>
      </w:r>
    </w:p>
    <w:p w14:paraId="06EE62AB">
      <w:pPr>
        <w:pStyle w:val="76"/>
        <w:wordWrap w:val="0"/>
        <w:adjustRightInd w:val="0"/>
        <w:snapToGrid w:val="0"/>
        <w:spacing w:line="440" w:lineRule="exact"/>
        <w:ind w:firstLine="480" w:firstLineChars="200"/>
        <w:jc w:val="left"/>
        <w:rPr>
          <w:rFonts w:ascii="宋体" w:hAnsi="宋体" w:cs="宋体"/>
          <w:snapToGrid w:val="0"/>
          <w:kern w:val="0"/>
          <w:sz w:val="24"/>
        </w:rPr>
      </w:pPr>
      <w:r>
        <w:rPr>
          <w:rFonts w:hint="eastAsia" w:ascii="宋体" w:hAnsi="宋体" w:cs="宋体"/>
          <w:snapToGrid w:val="0"/>
          <w:kern w:val="0"/>
          <w:sz w:val="24"/>
        </w:rPr>
        <w:t>（4）与本招标项目的其他投标人存在控股、管理关系；</w:t>
      </w:r>
    </w:p>
    <w:p w14:paraId="024BDEC4">
      <w:pPr>
        <w:pStyle w:val="76"/>
        <w:wordWrap w:val="0"/>
        <w:adjustRightInd w:val="0"/>
        <w:snapToGrid w:val="0"/>
        <w:spacing w:line="440" w:lineRule="exact"/>
        <w:ind w:firstLine="480" w:firstLineChars="200"/>
        <w:jc w:val="left"/>
        <w:rPr>
          <w:rFonts w:ascii="宋体" w:hAnsi="宋体" w:cs="宋体"/>
          <w:snapToGrid w:val="0"/>
          <w:kern w:val="0"/>
          <w:sz w:val="24"/>
        </w:rPr>
      </w:pPr>
      <w:r>
        <w:rPr>
          <w:rFonts w:hint="eastAsia" w:ascii="宋体" w:hAnsi="宋体" w:cs="宋体"/>
          <w:snapToGrid w:val="0"/>
          <w:kern w:val="0"/>
          <w:sz w:val="24"/>
        </w:rPr>
        <w:t>（5）为本招标项目的代建人；</w:t>
      </w:r>
    </w:p>
    <w:p w14:paraId="33ADB1DD">
      <w:pPr>
        <w:pStyle w:val="76"/>
        <w:wordWrap w:val="0"/>
        <w:adjustRightInd w:val="0"/>
        <w:snapToGrid w:val="0"/>
        <w:spacing w:line="440" w:lineRule="exact"/>
        <w:ind w:firstLine="480" w:firstLineChars="200"/>
        <w:jc w:val="left"/>
        <w:rPr>
          <w:rFonts w:ascii="宋体" w:hAnsi="宋体" w:cs="宋体"/>
          <w:snapToGrid w:val="0"/>
          <w:kern w:val="0"/>
          <w:sz w:val="24"/>
        </w:rPr>
      </w:pPr>
      <w:r>
        <w:rPr>
          <w:rFonts w:hint="eastAsia" w:ascii="宋体" w:hAnsi="宋体" w:cs="宋体"/>
          <w:snapToGrid w:val="0"/>
          <w:kern w:val="0"/>
          <w:sz w:val="24"/>
        </w:rPr>
        <w:t>（6）为本招标项目的招标代理机构；</w:t>
      </w:r>
    </w:p>
    <w:p w14:paraId="298D28A8">
      <w:pPr>
        <w:pStyle w:val="76"/>
        <w:wordWrap w:val="0"/>
        <w:adjustRightInd w:val="0"/>
        <w:snapToGrid w:val="0"/>
        <w:spacing w:line="440" w:lineRule="exact"/>
        <w:ind w:firstLine="480" w:firstLineChars="200"/>
        <w:jc w:val="left"/>
        <w:rPr>
          <w:rFonts w:ascii="宋体" w:hAnsi="宋体" w:cs="宋体"/>
          <w:snapToGrid w:val="0"/>
          <w:kern w:val="0"/>
          <w:sz w:val="24"/>
        </w:rPr>
      </w:pPr>
      <w:r>
        <w:rPr>
          <w:rFonts w:hint="eastAsia" w:ascii="宋体" w:hAnsi="宋体" w:cs="宋体"/>
          <w:snapToGrid w:val="0"/>
          <w:kern w:val="0"/>
          <w:sz w:val="24"/>
        </w:rPr>
        <w:t>（7）与本招标项目的代建人或招标代理机构同为一个法定代表人；</w:t>
      </w:r>
    </w:p>
    <w:p w14:paraId="275D7672">
      <w:pPr>
        <w:pStyle w:val="76"/>
        <w:wordWrap w:val="0"/>
        <w:adjustRightInd w:val="0"/>
        <w:snapToGrid w:val="0"/>
        <w:spacing w:line="440" w:lineRule="exact"/>
        <w:ind w:firstLine="480" w:firstLineChars="200"/>
        <w:jc w:val="left"/>
        <w:rPr>
          <w:rFonts w:ascii="宋体" w:hAnsi="宋体" w:cs="宋体"/>
          <w:snapToGrid w:val="0"/>
          <w:kern w:val="0"/>
          <w:sz w:val="24"/>
        </w:rPr>
      </w:pPr>
      <w:r>
        <w:rPr>
          <w:rFonts w:hint="eastAsia" w:ascii="宋体" w:hAnsi="宋体" w:cs="宋体"/>
          <w:snapToGrid w:val="0"/>
          <w:kern w:val="0"/>
          <w:sz w:val="24"/>
        </w:rPr>
        <w:t>（8）与本招标项目的代建人或招标代理机构存在控股或参股关系；</w:t>
      </w:r>
    </w:p>
    <w:p w14:paraId="4795BCD8">
      <w:pPr>
        <w:pStyle w:val="76"/>
        <w:wordWrap w:val="0"/>
        <w:adjustRightInd w:val="0"/>
        <w:snapToGrid w:val="0"/>
        <w:spacing w:line="440" w:lineRule="exact"/>
        <w:ind w:firstLine="480" w:firstLineChars="200"/>
        <w:jc w:val="left"/>
        <w:rPr>
          <w:rFonts w:ascii="宋体" w:hAnsi="宋体" w:cs="宋体"/>
          <w:snapToGrid w:val="0"/>
          <w:kern w:val="0"/>
          <w:sz w:val="24"/>
        </w:rPr>
      </w:pPr>
      <w:r>
        <w:rPr>
          <w:rFonts w:hint="eastAsia" w:ascii="宋体" w:hAnsi="宋体" w:cs="宋体"/>
          <w:snapToGrid w:val="0"/>
          <w:kern w:val="0"/>
          <w:sz w:val="24"/>
        </w:rPr>
        <w:t>（9）与本招标项目的代建人或招标代理机构存在相互任职或工作关系；</w:t>
      </w:r>
    </w:p>
    <w:p w14:paraId="567A849B">
      <w:pPr>
        <w:pStyle w:val="76"/>
        <w:wordWrap w:val="0"/>
        <w:adjustRightInd w:val="0"/>
        <w:snapToGrid w:val="0"/>
        <w:spacing w:line="440" w:lineRule="exact"/>
        <w:ind w:firstLine="480" w:firstLineChars="200"/>
        <w:jc w:val="left"/>
        <w:rPr>
          <w:rFonts w:ascii="宋体" w:hAnsi="宋体" w:cs="宋体"/>
          <w:snapToGrid w:val="0"/>
          <w:kern w:val="0"/>
          <w:sz w:val="24"/>
        </w:rPr>
      </w:pPr>
      <w:r>
        <w:rPr>
          <w:rFonts w:hint="eastAsia" w:ascii="宋体" w:hAnsi="宋体" w:cs="宋体"/>
          <w:snapToGrid w:val="0"/>
          <w:kern w:val="0"/>
          <w:sz w:val="24"/>
        </w:rPr>
        <w:t>（10）被依法暂停或者取消投标资格；</w:t>
      </w:r>
    </w:p>
    <w:p w14:paraId="353E1BDB">
      <w:pPr>
        <w:pStyle w:val="76"/>
        <w:wordWrap w:val="0"/>
        <w:adjustRightInd w:val="0"/>
        <w:snapToGrid w:val="0"/>
        <w:spacing w:line="440" w:lineRule="exact"/>
        <w:ind w:firstLine="480" w:firstLineChars="200"/>
        <w:jc w:val="left"/>
        <w:rPr>
          <w:rFonts w:ascii="宋体" w:hAnsi="宋体" w:cs="宋体"/>
          <w:snapToGrid w:val="0"/>
          <w:kern w:val="0"/>
          <w:sz w:val="24"/>
        </w:rPr>
      </w:pPr>
      <w:r>
        <w:rPr>
          <w:rFonts w:hint="eastAsia" w:ascii="宋体" w:hAnsi="宋体" w:cs="宋体"/>
          <w:snapToGrid w:val="0"/>
          <w:kern w:val="0"/>
          <w:sz w:val="24"/>
        </w:rPr>
        <w:t>（11）被责令停产停业、暂扣或者吊销许可证、暂扣或者吊销执照；</w:t>
      </w:r>
    </w:p>
    <w:p w14:paraId="2ABF6977">
      <w:pPr>
        <w:pStyle w:val="76"/>
        <w:wordWrap w:val="0"/>
        <w:adjustRightInd w:val="0"/>
        <w:snapToGrid w:val="0"/>
        <w:spacing w:line="440" w:lineRule="exact"/>
        <w:ind w:firstLine="480" w:firstLineChars="200"/>
        <w:jc w:val="left"/>
        <w:rPr>
          <w:rFonts w:ascii="宋体" w:hAnsi="宋体" w:cs="宋体"/>
          <w:snapToGrid w:val="0"/>
          <w:kern w:val="0"/>
          <w:sz w:val="24"/>
        </w:rPr>
      </w:pPr>
      <w:r>
        <w:rPr>
          <w:rFonts w:hint="eastAsia" w:ascii="宋体" w:hAnsi="宋体" w:cs="宋体"/>
          <w:snapToGrid w:val="0"/>
          <w:kern w:val="0"/>
          <w:sz w:val="24"/>
        </w:rPr>
        <w:t>（12）进入清算程序，或被宣告破产，或其他丧失履约能力的情形；</w:t>
      </w:r>
    </w:p>
    <w:p w14:paraId="0C3DC9F5">
      <w:pPr>
        <w:pStyle w:val="76"/>
        <w:wordWrap w:val="0"/>
        <w:adjustRightInd w:val="0"/>
        <w:snapToGrid w:val="0"/>
        <w:spacing w:line="440" w:lineRule="exact"/>
        <w:ind w:firstLine="480" w:firstLineChars="200"/>
        <w:jc w:val="left"/>
        <w:rPr>
          <w:rFonts w:ascii="宋体" w:hAnsi="宋体" w:cs="宋体"/>
          <w:snapToGrid w:val="0"/>
          <w:kern w:val="0"/>
          <w:sz w:val="24"/>
        </w:rPr>
      </w:pPr>
      <w:r>
        <w:rPr>
          <w:rFonts w:hint="eastAsia" w:ascii="宋体" w:hAnsi="宋体" w:cs="宋体"/>
          <w:snapToGrid w:val="0"/>
          <w:kern w:val="0"/>
          <w:sz w:val="24"/>
        </w:rPr>
        <w:t>（13）在最近三年内发生重大工程质量或安全问题（以相关行业主管部门的行政处罚决定或司法机关出具的有关法律文书为准）；</w:t>
      </w:r>
    </w:p>
    <w:p w14:paraId="397979AC">
      <w:pPr>
        <w:pStyle w:val="76"/>
        <w:widowControl/>
        <w:adjustRightInd w:val="0"/>
        <w:snapToGrid w:val="0"/>
        <w:spacing w:line="380" w:lineRule="exact"/>
        <w:ind w:firstLine="480" w:firstLineChars="200"/>
        <w:jc w:val="left"/>
        <w:rPr>
          <w:rFonts w:ascii="宋体" w:hAnsi="宋体" w:cs="宋体"/>
          <w:kern w:val="0"/>
          <w:sz w:val="24"/>
        </w:rPr>
      </w:pPr>
      <w:r>
        <w:rPr>
          <w:rFonts w:hint="eastAsia" w:ascii="宋体" w:hAnsi="宋体" w:cs="宋体"/>
          <w:snapToGrid w:val="0"/>
          <w:kern w:val="0"/>
          <w:sz w:val="24"/>
        </w:rPr>
        <w:t>（14）被“信用中国”网站（https://www.creditchina.gov.cn）发布的《法人和非法人组织公共信用信息报告》列为严重失信主体名单的。</w:t>
      </w:r>
    </w:p>
    <w:p w14:paraId="043D81C5">
      <w:pPr>
        <w:adjustRightInd w:val="0"/>
        <w:snapToGrid w:val="0"/>
        <w:spacing w:line="440" w:lineRule="exact"/>
        <w:ind w:firstLine="480" w:firstLineChars="200"/>
      </w:pPr>
      <w:r>
        <w:rPr>
          <w:rFonts w:hint="eastAsia"/>
        </w:rPr>
        <w:t>4.4.2招标人拒绝以下名单中的单位参加本次投标：</w:t>
      </w:r>
    </w:p>
    <w:tbl>
      <w:tblPr>
        <w:tblStyle w:val="31"/>
        <w:tblW w:w="9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4750"/>
        <w:gridCol w:w="3527"/>
      </w:tblGrid>
      <w:tr w14:paraId="37940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81" w:type="dxa"/>
            <w:vAlign w:val="center"/>
          </w:tcPr>
          <w:p w14:paraId="46A82494">
            <w:pPr>
              <w:wordWrap w:val="0"/>
              <w:adjustRightInd w:val="0"/>
              <w:snapToGrid w:val="0"/>
              <w:spacing w:line="400" w:lineRule="exact"/>
              <w:jc w:val="center"/>
              <w:rPr>
                <w:snapToGrid w:val="0"/>
              </w:rPr>
            </w:pPr>
            <w:r>
              <w:rPr>
                <w:rFonts w:hint="eastAsia"/>
                <w:snapToGrid w:val="0"/>
              </w:rPr>
              <w:t>序号</w:t>
            </w:r>
          </w:p>
        </w:tc>
        <w:tc>
          <w:tcPr>
            <w:tcW w:w="4750" w:type="dxa"/>
            <w:vAlign w:val="center"/>
          </w:tcPr>
          <w:p w14:paraId="3B901C94">
            <w:pPr>
              <w:wordWrap w:val="0"/>
              <w:adjustRightInd w:val="0"/>
              <w:snapToGrid w:val="0"/>
              <w:spacing w:line="400" w:lineRule="exact"/>
              <w:jc w:val="center"/>
              <w:rPr>
                <w:snapToGrid w:val="0"/>
              </w:rPr>
            </w:pPr>
            <w:r>
              <w:rPr>
                <w:rFonts w:hint="eastAsia"/>
                <w:snapToGrid w:val="0"/>
              </w:rPr>
              <w:t>单位名称</w:t>
            </w:r>
          </w:p>
        </w:tc>
        <w:tc>
          <w:tcPr>
            <w:tcW w:w="3527" w:type="dxa"/>
            <w:vAlign w:val="center"/>
          </w:tcPr>
          <w:p w14:paraId="22A5394D">
            <w:pPr>
              <w:wordWrap w:val="0"/>
              <w:adjustRightInd w:val="0"/>
              <w:snapToGrid w:val="0"/>
              <w:spacing w:line="400" w:lineRule="exact"/>
              <w:jc w:val="center"/>
              <w:rPr>
                <w:snapToGrid w:val="0"/>
              </w:rPr>
            </w:pPr>
            <w:r>
              <w:rPr>
                <w:rFonts w:hint="eastAsia"/>
                <w:snapToGrid w:val="0"/>
              </w:rPr>
              <w:t>拒绝原因</w:t>
            </w:r>
          </w:p>
        </w:tc>
      </w:tr>
      <w:tr w14:paraId="2EE86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81" w:type="dxa"/>
            <w:vAlign w:val="center"/>
          </w:tcPr>
          <w:p w14:paraId="452FF043">
            <w:pPr>
              <w:adjustRightInd w:val="0"/>
              <w:snapToGrid w:val="0"/>
              <w:spacing w:line="380" w:lineRule="exact"/>
              <w:jc w:val="center"/>
              <w:rPr>
                <w:snapToGrid w:val="0"/>
              </w:rPr>
            </w:pPr>
            <w:r>
              <w:rPr>
                <w:rFonts w:hint="eastAsia"/>
                <w:snapToGrid w:val="0"/>
              </w:rPr>
              <w:t>1</w:t>
            </w:r>
          </w:p>
        </w:tc>
        <w:tc>
          <w:tcPr>
            <w:tcW w:w="4750" w:type="dxa"/>
            <w:vAlign w:val="center"/>
          </w:tcPr>
          <w:p w14:paraId="5B212509">
            <w:pPr>
              <w:adjustRightInd w:val="0"/>
              <w:snapToGrid w:val="0"/>
              <w:spacing w:line="380" w:lineRule="exact"/>
              <w:jc w:val="center"/>
              <w:rPr>
                <w:snapToGrid w:val="0"/>
              </w:rPr>
            </w:pPr>
            <w:r>
              <w:rPr>
                <w:rFonts w:hint="eastAsia"/>
                <w:snapToGrid w:val="0"/>
              </w:rPr>
              <w:t>韶关市金沁房地产开发有限公司</w:t>
            </w:r>
          </w:p>
        </w:tc>
        <w:tc>
          <w:tcPr>
            <w:tcW w:w="3527" w:type="dxa"/>
            <w:vAlign w:val="center"/>
          </w:tcPr>
          <w:p w14:paraId="2196BD49">
            <w:pPr>
              <w:adjustRightInd w:val="0"/>
              <w:snapToGrid w:val="0"/>
              <w:spacing w:line="380" w:lineRule="exact"/>
              <w:jc w:val="center"/>
              <w:rPr>
                <w:snapToGrid w:val="0"/>
              </w:rPr>
            </w:pPr>
            <w:r>
              <w:rPr>
                <w:rFonts w:hint="eastAsia"/>
                <w:snapToGrid w:val="0"/>
              </w:rPr>
              <w:t>为本招标项目的业主单位</w:t>
            </w:r>
          </w:p>
        </w:tc>
      </w:tr>
      <w:tr w14:paraId="4396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81" w:type="dxa"/>
            <w:vAlign w:val="center"/>
          </w:tcPr>
          <w:p w14:paraId="25930E1F">
            <w:pPr>
              <w:adjustRightInd w:val="0"/>
              <w:snapToGrid w:val="0"/>
              <w:spacing w:line="380" w:lineRule="exact"/>
              <w:jc w:val="center"/>
              <w:rPr>
                <w:snapToGrid w:val="0"/>
              </w:rPr>
            </w:pPr>
            <w:r>
              <w:rPr>
                <w:rFonts w:hint="eastAsia"/>
                <w:snapToGrid w:val="0"/>
              </w:rPr>
              <w:t>2</w:t>
            </w:r>
          </w:p>
        </w:tc>
        <w:tc>
          <w:tcPr>
            <w:tcW w:w="4750" w:type="dxa"/>
            <w:vAlign w:val="center"/>
          </w:tcPr>
          <w:p w14:paraId="15919448">
            <w:pPr>
              <w:adjustRightInd w:val="0"/>
              <w:snapToGrid w:val="0"/>
              <w:spacing w:line="380" w:lineRule="exact"/>
              <w:jc w:val="center"/>
              <w:rPr>
                <w:snapToGrid w:val="0"/>
              </w:rPr>
            </w:pPr>
            <w:r>
              <w:rPr>
                <w:rFonts w:hint="eastAsia"/>
                <w:snapToGrid w:val="0"/>
              </w:rPr>
              <w:t>广东信誉招标代理有限公司</w:t>
            </w:r>
          </w:p>
        </w:tc>
        <w:tc>
          <w:tcPr>
            <w:tcW w:w="3527" w:type="dxa"/>
            <w:vAlign w:val="center"/>
          </w:tcPr>
          <w:p w14:paraId="0CF2398B">
            <w:pPr>
              <w:adjustRightInd w:val="0"/>
              <w:snapToGrid w:val="0"/>
              <w:spacing w:line="380" w:lineRule="exact"/>
              <w:jc w:val="center"/>
              <w:rPr>
                <w:snapToGrid w:val="0"/>
              </w:rPr>
            </w:pPr>
            <w:r>
              <w:rPr>
                <w:rFonts w:hint="eastAsia"/>
                <w:snapToGrid w:val="0"/>
              </w:rPr>
              <w:t>为本招标项目的招标代理机构</w:t>
            </w:r>
          </w:p>
        </w:tc>
      </w:tr>
      <w:tr w14:paraId="74CD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81" w:type="dxa"/>
            <w:vAlign w:val="center"/>
          </w:tcPr>
          <w:p w14:paraId="76A802E0">
            <w:pPr>
              <w:adjustRightInd w:val="0"/>
              <w:snapToGrid w:val="0"/>
              <w:spacing w:line="380" w:lineRule="exact"/>
              <w:jc w:val="center"/>
              <w:rPr>
                <w:snapToGrid w:val="0"/>
              </w:rPr>
            </w:pPr>
            <w:r>
              <w:rPr>
                <w:rFonts w:hint="eastAsia"/>
                <w:snapToGrid w:val="0"/>
              </w:rPr>
              <w:t>3</w:t>
            </w:r>
          </w:p>
        </w:tc>
        <w:tc>
          <w:tcPr>
            <w:tcW w:w="4750" w:type="dxa"/>
            <w:vAlign w:val="center"/>
          </w:tcPr>
          <w:p w14:paraId="26833DDE">
            <w:pPr>
              <w:adjustRightInd w:val="0"/>
              <w:snapToGrid w:val="0"/>
              <w:spacing w:line="380" w:lineRule="exact"/>
              <w:jc w:val="center"/>
              <w:rPr>
                <w:snapToGrid w:val="0"/>
              </w:rPr>
            </w:pPr>
            <w:r>
              <w:rPr>
                <w:rFonts w:hint="eastAsia"/>
                <w:snapToGrid w:val="0"/>
              </w:rPr>
              <w:t>广东省国际工程咨询有限公司</w:t>
            </w:r>
          </w:p>
        </w:tc>
        <w:tc>
          <w:tcPr>
            <w:tcW w:w="3527" w:type="dxa"/>
            <w:vAlign w:val="center"/>
          </w:tcPr>
          <w:p w14:paraId="13E9361B">
            <w:pPr>
              <w:adjustRightInd w:val="0"/>
              <w:snapToGrid w:val="0"/>
              <w:spacing w:line="380" w:lineRule="exact"/>
              <w:jc w:val="center"/>
              <w:rPr>
                <w:snapToGrid w:val="0"/>
              </w:rPr>
            </w:pPr>
            <w:r>
              <w:rPr>
                <w:rFonts w:hint="eastAsia"/>
                <w:snapToGrid w:val="0"/>
              </w:rPr>
              <w:t>为本招标项目的可研编制单位</w:t>
            </w:r>
          </w:p>
        </w:tc>
      </w:tr>
    </w:tbl>
    <w:p w14:paraId="09380063">
      <w:pPr>
        <w:adjustRightInd w:val="0"/>
        <w:snapToGrid w:val="0"/>
        <w:spacing w:line="360" w:lineRule="auto"/>
        <w:ind w:firstLine="480" w:firstLineChars="200"/>
      </w:pPr>
    </w:p>
    <w:p w14:paraId="44739A13">
      <w:pPr>
        <w:adjustRightInd w:val="0"/>
        <w:snapToGrid w:val="0"/>
        <w:spacing w:line="360" w:lineRule="auto"/>
        <w:ind w:firstLine="480" w:firstLineChars="200"/>
      </w:pPr>
      <w:r>
        <w:rPr>
          <w:rFonts w:hint="eastAsia"/>
        </w:rPr>
        <w:t>4.5其他要求</w:t>
      </w:r>
    </w:p>
    <w:p w14:paraId="21EAA904">
      <w:pPr>
        <w:pStyle w:val="55"/>
        <w:keepNext/>
        <w:keepLines/>
        <w:ind w:firstLine="480"/>
        <w:jc w:val="both"/>
        <w:outlineLvl w:val="9"/>
        <w:rPr>
          <w:rFonts w:ascii="宋体" w:hAnsi="宋体" w:cs="宋体"/>
          <w:szCs w:val="24"/>
        </w:rPr>
      </w:pPr>
      <w:bookmarkStart w:id="73" w:name="_Toc17278"/>
      <w:bookmarkStart w:id="74" w:name="_Toc17198"/>
      <w:bookmarkStart w:id="75" w:name="_Toc7264"/>
      <w:bookmarkStart w:id="76" w:name="_Toc15311"/>
      <w:bookmarkStart w:id="77" w:name="_Toc358"/>
      <w:r>
        <w:rPr>
          <w:rFonts w:hint="eastAsia" w:ascii="宋体" w:hAnsi="宋体" w:cs="宋体"/>
          <w:szCs w:val="24"/>
        </w:rPr>
        <w:t>省外企业</w:t>
      </w:r>
      <w:r>
        <w:rPr>
          <w:rFonts w:hint="eastAsia" w:ascii="宋体" w:hAnsi="宋体" w:cs="宋体"/>
          <w:szCs w:val="24"/>
          <w:lang w:eastAsia="zh-CN"/>
        </w:rPr>
        <w:t>（</w:t>
      </w:r>
      <w:r>
        <w:rPr>
          <w:rFonts w:hint="eastAsia"/>
        </w:rPr>
        <w:t>包括组成联合体的所有成员单位</w:t>
      </w:r>
      <w:r>
        <w:rPr>
          <w:rFonts w:hint="eastAsia" w:ascii="宋体" w:hAnsi="宋体" w:cs="宋体"/>
          <w:szCs w:val="24"/>
          <w:lang w:eastAsia="zh-CN"/>
        </w:rPr>
        <w:t>）</w:t>
      </w:r>
      <w:r>
        <w:rPr>
          <w:rFonts w:hint="eastAsia" w:ascii="宋体" w:hAnsi="宋体" w:cs="宋体"/>
          <w:szCs w:val="24"/>
        </w:rPr>
        <w:t>须按照《广东省住房和城乡建设厅关于取消省外建筑企业和人员进粤信息备案有关工作的通知》（粤建市﹝2015﹞52号）规定在“进粤企业和人员诚信信息登记平台”录入相关信息并通过数据规范检查。</w:t>
      </w:r>
      <w:bookmarkEnd w:id="73"/>
      <w:bookmarkEnd w:id="74"/>
      <w:bookmarkEnd w:id="75"/>
    </w:p>
    <w:p w14:paraId="4262B753">
      <w:pPr>
        <w:pStyle w:val="55"/>
        <w:keepNext/>
        <w:keepLines/>
        <w:ind w:firstLine="480"/>
        <w:jc w:val="both"/>
        <w:rPr>
          <w:rFonts w:ascii="宋体" w:hAnsi="宋体" w:cs="宋体"/>
          <w:b/>
          <w:kern w:val="2"/>
          <w:szCs w:val="24"/>
        </w:rPr>
      </w:pPr>
      <w:bookmarkStart w:id="78" w:name="_Toc16609"/>
      <w:bookmarkStart w:id="79" w:name="_Toc2081"/>
      <w:bookmarkStart w:id="80" w:name="_Toc24930"/>
      <w:bookmarkStart w:id="81" w:name="_Toc23573"/>
      <w:bookmarkStart w:id="82" w:name="_Toc30159"/>
      <w:r>
        <w:rPr>
          <w:rFonts w:hint="eastAsia" w:ascii="宋体" w:hAnsi="宋体" w:cs="宋体"/>
          <w:b/>
          <w:kern w:val="2"/>
          <w:szCs w:val="24"/>
        </w:rPr>
        <w:t xml:space="preserve">5 </w:t>
      </w:r>
      <w:bookmarkEnd w:id="76"/>
      <w:r>
        <w:rPr>
          <w:rStyle w:val="198"/>
          <w:rFonts w:hint="eastAsia" w:ascii="宋体" w:hAnsi="宋体" w:cs="宋体"/>
          <w:b/>
          <w:bCs/>
          <w:szCs w:val="24"/>
        </w:rPr>
        <w:t>招标文件获取</w:t>
      </w:r>
      <w:bookmarkEnd w:id="78"/>
      <w:bookmarkEnd w:id="79"/>
      <w:bookmarkEnd w:id="80"/>
      <w:bookmarkEnd w:id="81"/>
      <w:bookmarkEnd w:id="82"/>
    </w:p>
    <w:p w14:paraId="601FBFD2">
      <w:pPr>
        <w:pStyle w:val="27"/>
        <w:shd w:val="clear" w:color="auto" w:fill="FFFFFF"/>
        <w:spacing w:before="0" w:beforeAutospacing="0" w:after="0" w:afterAutospacing="0" w:line="440" w:lineRule="exact"/>
        <w:ind w:firstLine="480"/>
        <w:rPr>
          <w:color w:val="auto"/>
        </w:rPr>
      </w:pPr>
      <w:r>
        <w:rPr>
          <w:rFonts w:hint="eastAsia"/>
          <w:color w:val="auto"/>
        </w:rPr>
        <w:t xml:space="preserve">5.1本次招标实行电子投标。本项目招标文件随招标公告一并在全国公共资源交易平台 </w:t>
      </w:r>
      <w:r>
        <w:rPr>
          <w:rFonts w:hint="eastAsia"/>
          <w:color w:val="auto"/>
          <w:lang w:eastAsia="zh-CN"/>
        </w:rPr>
        <w:t>（</w:t>
      </w:r>
      <w:r>
        <w:rPr>
          <w:rFonts w:hint="eastAsia"/>
          <w:color w:val="auto"/>
        </w:rPr>
        <w:t>广东省·韶关市</w:t>
      </w:r>
      <w:r>
        <w:rPr>
          <w:rFonts w:hint="eastAsia"/>
          <w:color w:val="auto"/>
          <w:lang w:eastAsia="zh-CN"/>
        </w:rPr>
        <w:t>）（</w:t>
      </w:r>
      <w:r>
        <w:rPr>
          <w:rFonts w:hint="eastAsia"/>
          <w:color w:val="auto"/>
        </w:rPr>
        <w:t>https://ygp.gdzwfw.gov.cn/ggzy-portal/#/440200/index</w:t>
      </w:r>
      <w:r>
        <w:rPr>
          <w:rFonts w:hint="eastAsia"/>
          <w:color w:val="auto"/>
          <w:lang w:eastAsia="zh-CN"/>
        </w:rPr>
        <w:t>）</w:t>
      </w:r>
      <w:r>
        <w:rPr>
          <w:rFonts w:hint="eastAsia"/>
          <w:color w:val="auto"/>
        </w:rPr>
        <w:t>网站发布。招标文件一经在平台发布，视为发送投标人，招标文件及相关附件由投标人自行在平台网站下载。请于招标文件获取期间（见本公告“重要事项时间地点一览表”）</w:t>
      </w:r>
      <w:r>
        <w:rPr>
          <w:rFonts w:hint="eastAsia"/>
          <w:color w:val="auto"/>
          <w:lang w:eastAsia="zh-CN"/>
        </w:rPr>
        <w:t>，招标</w:t>
      </w:r>
      <w:r>
        <w:rPr>
          <w:rFonts w:hint="eastAsia"/>
          <w:color w:val="auto"/>
        </w:rPr>
        <w:t>文件获取期间与招标公告发布时间一致，投标人须登录全国公共资源交易平台（广东省·韶关市）（https://ygp.gdzwfw.gov.cn/ggzy-portal/#/440200/index），使用新建设工程</w:t>
      </w:r>
      <w:r>
        <w:rPr>
          <w:rFonts w:hint="eastAsia"/>
          <w:color w:val="auto"/>
          <w:lang w:eastAsia="zh-CN"/>
        </w:rPr>
        <w:t>交易系统</w:t>
      </w:r>
      <w:r>
        <w:rPr>
          <w:rFonts w:hint="eastAsia"/>
          <w:color w:val="auto"/>
        </w:rPr>
        <w:t>下载招标文件及相关附件，并于电子投标截止时间（见本公告第10条“重要事项时间地点一览表”）前完成电子投标。投标人可登录全国公共资源交易平台（广东省·韶关市）（https://ygp.gdzwfw.gov.cn/ggzy-portal/#/440200/index），在【服务指南】栏目中下载《韶关市公共资源建设工程交易系统-投标人操作指南》。技术咨询电话：18819797080/0751-8379671 伍先生，业务咨询电话：0751-8633211、8633071。</w:t>
      </w:r>
    </w:p>
    <w:p w14:paraId="3D0EBEDF">
      <w:pPr>
        <w:pStyle w:val="27"/>
        <w:shd w:val="clear" w:color="auto" w:fill="FFFFFF"/>
        <w:spacing w:before="0" w:beforeAutospacing="0" w:after="0" w:afterAutospacing="0" w:line="440" w:lineRule="exact"/>
        <w:ind w:firstLine="482"/>
        <w:rPr>
          <w:color w:val="auto"/>
        </w:rPr>
      </w:pPr>
      <w:r>
        <w:rPr>
          <w:rFonts w:hint="eastAsia"/>
          <w:color w:val="auto"/>
        </w:rPr>
        <w:t>5.2 只有申领了数字证书（CA）、“粤企签”或GDCA/SZCA/NETCA等符合法律法规规定的电子印章，并在交易系统中完成企业信息数据入库的投标人，方可使用交易系统进行获取招标文件和电子投标。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79BD33D8">
      <w:pPr>
        <w:pStyle w:val="27"/>
        <w:shd w:val="clear" w:color="auto" w:fill="FFFFFF"/>
        <w:spacing w:before="0" w:beforeAutospacing="0" w:after="0" w:afterAutospacing="0" w:line="440" w:lineRule="exact"/>
        <w:ind w:firstLine="482"/>
        <w:rPr>
          <w:color w:val="auto"/>
        </w:rPr>
      </w:pPr>
      <w:r>
        <w:rPr>
          <w:rFonts w:hint="eastAsia"/>
          <w:color w:val="auto"/>
        </w:rPr>
        <w:t>电子印章：是指获得</w:t>
      </w:r>
      <w:r>
        <w:rPr>
          <w:rFonts w:hint="eastAsia"/>
          <w:color w:val="auto"/>
          <w:lang w:eastAsia="zh-CN"/>
        </w:rPr>
        <w:t>工业和信息化部</w:t>
      </w:r>
      <w:r>
        <w:rPr>
          <w:rFonts w:hint="eastAsia"/>
          <w:color w:val="auto"/>
        </w:rPr>
        <w:t>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6A7AE691">
      <w:pPr>
        <w:adjustRightInd w:val="0"/>
        <w:snapToGrid w:val="0"/>
        <w:spacing w:line="440" w:lineRule="exact"/>
        <w:ind w:firstLine="482" w:firstLineChars="200"/>
      </w:pPr>
      <w:r>
        <w:rPr>
          <w:rFonts w:hint="eastAsia"/>
          <w:b/>
          <w:bCs/>
        </w:rPr>
        <w:t>5.3</w:t>
      </w:r>
      <w:r>
        <w:rPr>
          <w:rFonts w:hint="eastAsia"/>
        </w:rPr>
        <w:t xml:space="preserve"> 投标保证</w:t>
      </w:r>
    </w:p>
    <w:p w14:paraId="07EC47AF">
      <w:pPr>
        <w:adjustRightInd w:val="0"/>
        <w:snapToGrid w:val="0"/>
        <w:spacing w:line="440" w:lineRule="exact"/>
        <w:ind w:firstLine="482" w:firstLineChars="200"/>
      </w:pPr>
      <w:r>
        <w:rPr>
          <w:rFonts w:hint="eastAsia"/>
          <w:b/>
          <w:bCs/>
        </w:rPr>
        <w:t>5.3.1</w:t>
      </w:r>
      <w:r>
        <w:rPr>
          <w:rFonts w:hint="eastAsia"/>
        </w:rPr>
        <w:t xml:space="preserve"> 投标人须缴纳金额为人民币</w:t>
      </w:r>
      <w:r>
        <w:rPr>
          <w:rFonts w:hint="eastAsia"/>
          <w:u w:val="single"/>
        </w:rPr>
        <w:t>100000.00</w:t>
      </w:r>
      <w:r>
        <w:rPr>
          <w:rFonts w:hint="eastAsia"/>
        </w:rPr>
        <w:t>元的投标保证。联合体投标的，由联合体牵头人缴纳。</w:t>
      </w:r>
    </w:p>
    <w:p w14:paraId="0E86B37C">
      <w:pPr>
        <w:adjustRightInd w:val="0"/>
        <w:snapToGrid w:val="0"/>
        <w:spacing w:line="420" w:lineRule="exact"/>
        <w:ind w:firstLine="482" w:firstLineChars="200"/>
      </w:pPr>
      <w:r>
        <w:rPr>
          <w:rFonts w:hint="eastAsia"/>
          <w:b/>
          <w:bCs/>
        </w:rPr>
        <w:t>5.3.2</w:t>
      </w:r>
      <w:r>
        <w:rPr>
          <w:rFonts w:hint="eastAsia"/>
        </w:rPr>
        <w:t xml:space="preserve"> 投标保证的形式包括投标保证金、投标保证担保、投标保证保险三种，由投标人自主选择。</w:t>
      </w:r>
    </w:p>
    <w:p w14:paraId="60A04448">
      <w:pPr>
        <w:snapToGrid w:val="0"/>
        <w:spacing w:line="400" w:lineRule="exact"/>
        <w:ind w:firstLine="480" w:firstLineChars="200"/>
      </w:pPr>
      <w:r>
        <w:rPr>
          <w:rFonts w:hint="eastAsia"/>
          <w:lang w:eastAsia="zh-CN"/>
        </w:rPr>
        <w:t>（1）</w:t>
      </w:r>
      <w:r>
        <w:rPr>
          <w:rFonts w:hint="eastAsia"/>
        </w:rPr>
        <w:t>采用投标保证金的，投标人在建设工程交易系统报名完毕后，即可在系统申请缴纳投标保证金，获取本次招标投标保证金缴纳账号。投标人须于投标保证金到账截止时间</w:t>
      </w:r>
      <w:r>
        <w:rPr>
          <w:rFonts w:hint="eastAsia"/>
          <w:lang w:eastAsia="zh-CN"/>
        </w:rPr>
        <w:t>（</w:t>
      </w:r>
      <w:r>
        <w:rPr>
          <w:rFonts w:hint="eastAsia"/>
        </w:rPr>
        <w:t>见本章第二节“重要事项时间地点一览表”</w:t>
      </w:r>
      <w:r>
        <w:rPr>
          <w:rFonts w:hint="eastAsia"/>
          <w:lang w:eastAsia="zh-CN"/>
        </w:rPr>
        <w:t>）</w:t>
      </w:r>
      <w:r>
        <w:rPr>
          <w:rFonts w:hint="eastAsia"/>
        </w:rPr>
        <w:t>前，从其基本账户将投标保证金转账到指定的缴纳账号。逾期到账的、从非投标人基本账户转出的，其投标无效。</w:t>
      </w:r>
    </w:p>
    <w:p w14:paraId="7F686CBF">
      <w:pPr>
        <w:snapToGrid w:val="0"/>
        <w:spacing w:line="400" w:lineRule="exact"/>
        <w:ind w:firstLine="480" w:firstLineChars="200"/>
      </w:pPr>
      <w:r>
        <w:rPr>
          <w:rFonts w:hint="eastAsia"/>
          <w:lang w:eastAsia="zh-CN"/>
        </w:rPr>
        <w:t>（2）</w:t>
      </w:r>
      <w:r>
        <w:rPr>
          <w:rFonts w:hint="eastAsia"/>
        </w:rPr>
        <w:t>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6420DF7C">
      <w:pPr>
        <w:snapToGrid w:val="0"/>
        <w:spacing w:line="400" w:lineRule="exact"/>
        <w:ind w:firstLine="480" w:firstLineChars="200"/>
      </w:pPr>
      <w:r>
        <w:rPr>
          <w:rFonts w:hint="eastAsia"/>
          <w:lang w:eastAsia="zh-CN"/>
        </w:rPr>
        <w:t>（3）</w:t>
      </w:r>
      <w:r>
        <w:rPr>
          <w:rFonts w:hint="eastAsia"/>
        </w:rPr>
        <w:t>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w:t>
      </w:r>
      <w:r>
        <w:rPr>
          <w:rFonts w:hint="eastAsia"/>
          <w:lang w:eastAsia="zh-CN"/>
        </w:rPr>
        <w:t>（</w:t>
      </w:r>
      <w:r>
        <w:rPr>
          <w:rFonts w:hint="eastAsia"/>
        </w:rPr>
        <w:t>https://ygp.gdzwfw.gov.cn/ggzy-portal/#/440200/index</w:t>
      </w:r>
      <w:r>
        <w:rPr>
          <w:rFonts w:hint="eastAsia"/>
          <w:lang w:eastAsia="zh-CN"/>
        </w:rPr>
        <w:t>）</w:t>
      </w:r>
      <w:r>
        <w:rPr>
          <w:rFonts w:hint="eastAsia"/>
        </w:rPr>
        <w:t>，在【交易指引】栏目中下载《建设工程网上交易系统保险保证金缴纳操作指南》，了解网上投保具体操作流程。逾期投保的，其投标无效。</w:t>
      </w:r>
    </w:p>
    <w:p w14:paraId="5C2A7AE0">
      <w:pPr>
        <w:adjustRightInd w:val="0"/>
        <w:snapToGrid w:val="0"/>
        <w:spacing w:line="420" w:lineRule="exact"/>
        <w:ind w:firstLine="480" w:firstLineChars="200"/>
      </w:pPr>
      <w:r>
        <w:rPr>
          <w:rFonts w:hint="eastAsia"/>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64B8D39E">
      <w:pPr>
        <w:adjustRightInd w:val="0"/>
        <w:snapToGrid w:val="0"/>
        <w:spacing w:line="420" w:lineRule="exact"/>
        <w:ind w:firstLine="482" w:firstLineChars="200"/>
      </w:pPr>
      <w:r>
        <w:rPr>
          <w:rFonts w:hint="eastAsia"/>
          <w:b/>
          <w:bCs/>
        </w:rPr>
        <w:t>5.4</w:t>
      </w:r>
      <w:r>
        <w:rPr>
          <w:rFonts w:hint="eastAsia"/>
        </w:rPr>
        <w:t xml:space="preserve"> 若投标人因自身原因未能正确完成获取招标文件、电子投标、缴纳投标保证的，其投标无效。</w:t>
      </w:r>
    </w:p>
    <w:p w14:paraId="219B31FC">
      <w:pPr>
        <w:pStyle w:val="55"/>
        <w:keepNext/>
        <w:keepLines/>
        <w:jc w:val="both"/>
        <w:outlineLvl w:val="9"/>
        <w:rPr>
          <w:rFonts w:ascii="宋体" w:hAnsi="宋体" w:cs="宋体"/>
          <w:b/>
          <w:kern w:val="2"/>
          <w:szCs w:val="24"/>
        </w:rPr>
      </w:pPr>
      <w:bookmarkStart w:id="83" w:name="_Toc4219"/>
    </w:p>
    <w:bookmarkEnd w:id="77"/>
    <w:bookmarkEnd w:id="83"/>
    <w:p w14:paraId="59D9655D">
      <w:pPr>
        <w:pStyle w:val="55"/>
        <w:keepNext/>
        <w:keepLines/>
        <w:ind w:firstLine="480"/>
        <w:jc w:val="both"/>
        <w:rPr>
          <w:rFonts w:ascii="宋体" w:hAnsi="宋体" w:cs="宋体"/>
          <w:b/>
          <w:kern w:val="2"/>
          <w:szCs w:val="24"/>
        </w:rPr>
      </w:pPr>
      <w:bookmarkStart w:id="84" w:name="_Toc4740"/>
      <w:bookmarkStart w:id="85" w:name="_Toc32724"/>
      <w:bookmarkStart w:id="86" w:name="_Toc16437"/>
      <w:bookmarkStart w:id="87" w:name="_Toc3810"/>
      <w:bookmarkStart w:id="88" w:name="_Toc17313"/>
      <w:bookmarkStart w:id="89" w:name="_Toc7567"/>
      <w:bookmarkStart w:id="90" w:name="_Toc21440"/>
      <w:r>
        <w:rPr>
          <w:rFonts w:hint="eastAsia" w:ascii="宋体" w:hAnsi="宋体" w:cs="宋体"/>
          <w:b/>
          <w:kern w:val="2"/>
          <w:szCs w:val="24"/>
        </w:rPr>
        <w:t>6 设计工程内容和质量标准</w:t>
      </w:r>
      <w:bookmarkEnd w:id="84"/>
      <w:bookmarkEnd w:id="85"/>
      <w:bookmarkEnd w:id="86"/>
      <w:bookmarkEnd w:id="87"/>
      <w:bookmarkEnd w:id="88"/>
    </w:p>
    <w:p w14:paraId="0412924E">
      <w:pPr>
        <w:adjustRightInd w:val="0"/>
        <w:snapToGrid w:val="0"/>
        <w:spacing w:line="500" w:lineRule="exact"/>
        <w:ind w:firstLine="482" w:firstLineChars="200"/>
        <w:rPr>
          <w:b/>
        </w:rPr>
      </w:pPr>
      <w:r>
        <w:rPr>
          <w:rFonts w:hint="eastAsia"/>
          <w:b/>
        </w:rPr>
        <w:t xml:space="preserve">6.1 </w:t>
      </w:r>
      <w:r>
        <w:rPr>
          <w:rFonts w:hint="eastAsia"/>
          <w:bCs/>
        </w:rPr>
        <w:t>本次方案设计、初步设计工程的内容及要求：</w:t>
      </w:r>
    </w:p>
    <w:p w14:paraId="578374EE">
      <w:pPr>
        <w:spacing w:line="500" w:lineRule="exact"/>
        <w:ind w:firstLine="480" w:firstLineChars="200"/>
      </w:pPr>
      <w:r>
        <w:rPr>
          <w:rFonts w:hint="eastAsia"/>
        </w:rPr>
        <w:t>设计内容：确保项目顺利实施的规划、报建、报批、施工所需的所有建安工程等设计文件。设计要求：符合国家及地方现行有效的有关设计规范、标准、规定等，必须经有关部门或招标人组织的专家评审通过。</w:t>
      </w:r>
    </w:p>
    <w:p w14:paraId="6929A9F2">
      <w:pPr>
        <w:adjustRightInd w:val="0"/>
        <w:snapToGrid w:val="0"/>
        <w:spacing w:line="440" w:lineRule="exact"/>
        <w:ind w:firstLine="482" w:firstLineChars="200"/>
        <w:rPr>
          <w:b/>
          <w:bCs/>
        </w:rPr>
      </w:pPr>
      <w:r>
        <w:rPr>
          <w:rFonts w:hint="eastAsia"/>
          <w:b/>
          <w:bCs/>
        </w:rPr>
        <w:t>6.2</w:t>
      </w:r>
      <w:r>
        <w:rPr>
          <w:rFonts w:hint="eastAsia"/>
        </w:rPr>
        <w:t xml:space="preserve"> 施工期间若遇到工程变更、突发事件或不可</w:t>
      </w:r>
      <w:r>
        <w:rPr>
          <w:rFonts w:hint="eastAsia"/>
          <w:lang w:eastAsia="zh-CN"/>
        </w:rPr>
        <w:t>预见</w:t>
      </w:r>
      <w:r>
        <w:rPr>
          <w:rFonts w:hint="eastAsia"/>
        </w:rPr>
        <w:t>的事件等情况，</w:t>
      </w:r>
      <w:r>
        <w:rPr>
          <w:rFonts w:hint="eastAsia"/>
          <w:lang w:eastAsia="zh-CN"/>
        </w:rPr>
        <w:t>中标人</w:t>
      </w:r>
      <w:r>
        <w:rPr>
          <w:rFonts w:hint="eastAsia"/>
        </w:rPr>
        <w:t>员接到建设单位或监理单位通知后应当立即到达施工现场，研究并及时处理问题。</w:t>
      </w:r>
    </w:p>
    <w:p w14:paraId="7E69A0CC">
      <w:pPr>
        <w:adjustRightInd w:val="0"/>
        <w:snapToGrid w:val="0"/>
        <w:spacing w:line="440" w:lineRule="exact"/>
        <w:ind w:firstLine="482" w:firstLineChars="200"/>
        <w:rPr>
          <w:b/>
        </w:rPr>
      </w:pPr>
      <w:r>
        <w:rPr>
          <w:rFonts w:hint="eastAsia"/>
          <w:b/>
        </w:rPr>
        <w:t>6.3关于设计深度的要求</w:t>
      </w:r>
    </w:p>
    <w:p w14:paraId="354AA3ED">
      <w:pPr>
        <w:adjustRightInd w:val="0"/>
        <w:snapToGrid w:val="0"/>
        <w:spacing w:line="440" w:lineRule="exact"/>
        <w:ind w:firstLine="560"/>
      </w:pPr>
      <w:r>
        <w:rPr>
          <w:rFonts w:hint="eastAsia"/>
        </w:rPr>
        <w:t>6.3.1 按国家及地方现行的方案设计、初步设计文件深度规定等有关技术标准、</w:t>
      </w:r>
      <w:r>
        <w:rPr>
          <w:rFonts w:hint="eastAsia"/>
          <w:lang w:eastAsia="zh-CN"/>
        </w:rPr>
        <w:t>设计规范</w:t>
      </w:r>
      <w:r>
        <w:rPr>
          <w:rFonts w:hint="eastAsia"/>
        </w:rPr>
        <w:t>要求。</w:t>
      </w:r>
    </w:p>
    <w:p w14:paraId="0B7F91A5">
      <w:pPr>
        <w:adjustRightInd w:val="0"/>
        <w:snapToGrid w:val="0"/>
        <w:spacing w:line="440" w:lineRule="exact"/>
        <w:ind w:firstLine="560"/>
      </w:pPr>
      <w:r>
        <w:rPr>
          <w:rFonts w:hint="eastAsia"/>
        </w:rPr>
        <w:t>6.3.2 各专业设计应同步进行，涉及单位应指定总体</w:t>
      </w:r>
      <w:r>
        <w:rPr>
          <w:rFonts w:hint="eastAsia"/>
          <w:lang w:eastAsia="zh-CN"/>
        </w:rPr>
        <w:t>中标人</w:t>
      </w:r>
      <w:r>
        <w:rPr>
          <w:rFonts w:hint="eastAsia"/>
        </w:rPr>
        <w:t>统筹布局，做好各项设施的协调和衔接、位置预留，不得留待施工中临时变更。</w:t>
      </w:r>
    </w:p>
    <w:p w14:paraId="3803128D">
      <w:pPr>
        <w:adjustRightInd w:val="0"/>
        <w:snapToGrid w:val="0"/>
        <w:spacing w:line="440" w:lineRule="exact"/>
        <w:ind w:firstLine="560"/>
      </w:pPr>
      <w:r>
        <w:rPr>
          <w:rFonts w:hint="eastAsia"/>
        </w:rPr>
        <w:t>6.3.3 对技术复杂或造价、规模较大的主要分项工程应</w:t>
      </w:r>
      <w:r>
        <w:rPr>
          <w:rFonts w:hint="eastAsia"/>
          <w:lang w:eastAsia="zh-CN"/>
        </w:rPr>
        <w:t>做</w:t>
      </w:r>
      <w:r>
        <w:rPr>
          <w:rFonts w:hint="eastAsia"/>
        </w:rPr>
        <w:t>方案比较。</w:t>
      </w:r>
    </w:p>
    <w:p w14:paraId="68EB7A1F">
      <w:pPr>
        <w:adjustRightInd w:val="0"/>
        <w:snapToGrid w:val="0"/>
        <w:spacing w:line="440" w:lineRule="exact"/>
        <w:ind w:firstLine="560"/>
      </w:pPr>
      <w:r>
        <w:rPr>
          <w:rFonts w:hint="eastAsia"/>
        </w:rPr>
        <w:t>6.3.4 相关的配套外部接口方案</w:t>
      </w:r>
      <w:r>
        <w:rPr>
          <w:rFonts w:hint="eastAsia"/>
          <w:lang w:eastAsia="zh-CN"/>
        </w:rPr>
        <w:t>均须</w:t>
      </w:r>
      <w:r>
        <w:rPr>
          <w:rFonts w:hint="eastAsia"/>
        </w:rPr>
        <w:t>取得政府主管部门或规划部门认可。</w:t>
      </w:r>
    </w:p>
    <w:p w14:paraId="2CB8DB5E">
      <w:pPr>
        <w:adjustRightInd w:val="0"/>
        <w:snapToGrid w:val="0"/>
        <w:spacing w:line="440" w:lineRule="exact"/>
        <w:ind w:firstLine="482" w:firstLineChars="200"/>
        <w:rPr>
          <w:b/>
        </w:rPr>
      </w:pPr>
      <w:r>
        <w:rPr>
          <w:rFonts w:hint="eastAsia"/>
          <w:b/>
        </w:rPr>
        <w:t>6.4限额设计要求</w:t>
      </w:r>
    </w:p>
    <w:p w14:paraId="4AC47266">
      <w:pPr>
        <w:adjustRightInd w:val="0"/>
        <w:snapToGrid w:val="0"/>
        <w:spacing w:line="440" w:lineRule="exact"/>
        <w:ind w:firstLine="561"/>
      </w:pPr>
      <w:r>
        <w:rPr>
          <w:rFonts w:hint="eastAsia"/>
        </w:rPr>
        <w:t>初步设计概算不得超过经批准的可行性研究报告总投资且概算中的建安工程费不得超过投资估算中的建安工程费。在保证设计质量的前提下，</w:t>
      </w:r>
      <w:r>
        <w:rPr>
          <w:rFonts w:hint="eastAsia"/>
          <w:lang w:eastAsia="zh-CN"/>
        </w:rPr>
        <w:t>中标人</w:t>
      </w:r>
      <w:r>
        <w:rPr>
          <w:rFonts w:hint="eastAsia"/>
        </w:rPr>
        <w:t>应按投资限额进行设计，严格控制设计变更，确保工程概算不突破限额目标。如超过则必须进行方案修改，并承诺该修改不改变有关设计和规划的原则、内容与要求，不改变原方案设计的构思，不降低使用功能与设计质量标准，无条件进行优化设计且不计取任何费用，直至不超过投资估算限额为止。</w:t>
      </w:r>
    </w:p>
    <w:p w14:paraId="6D65974E">
      <w:pPr>
        <w:adjustRightInd w:val="0"/>
        <w:snapToGrid w:val="0"/>
        <w:spacing w:line="440" w:lineRule="exact"/>
        <w:ind w:firstLine="482" w:firstLineChars="200"/>
      </w:pPr>
      <w:r>
        <w:rPr>
          <w:rFonts w:hint="eastAsia"/>
          <w:b/>
          <w:bCs/>
        </w:rPr>
        <w:t>6.5</w:t>
      </w:r>
      <w:r>
        <w:rPr>
          <w:rFonts w:hint="eastAsia"/>
        </w:rPr>
        <w:t>设计时需要考虑与周边地块的开发相结合</w:t>
      </w:r>
      <w:r>
        <w:rPr>
          <w:rFonts w:hint="eastAsia"/>
          <w:lang w:eastAsia="zh-CN"/>
        </w:rPr>
        <w:t>，并按</w:t>
      </w:r>
      <w:r>
        <w:rPr>
          <w:rFonts w:hint="eastAsia"/>
        </w:rPr>
        <w:t>相关规划方案的要求进行设计。</w:t>
      </w:r>
    </w:p>
    <w:p w14:paraId="6D6A8CE2">
      <w:pPr>
        <w:adjustRightInd w:val="0"/>
        <w:snapToGrid w:val="0"/>
        <w:spacing w:line="440" w:lineRule="exact"/>
        <w:ind w:firstLine="482" w:firstLineChars="200"/>
      </w:pPr>
      <w:r>
        <w:rPr>
          <w:rFonts w:hint="eastAsia"/>
          <w:b/>
          <w:bCs/>
        </w:rPr>
        <w:t>6.6</w:t>
      </w:r>
      <w:r>
        <w:rPr>
          <w:rFonts w:hint="eastAsia"/>
        </w:rPr>
        <w:t>凡参加本次招标的投标人被视为已充分认识和理解了任何与本项目有关的影响事项和困难等情况。</w:t>
      </w:r>
    </w:p>
    <w:p w14:paraId="2BABBC8E">
      <w:pPr>
        <w:keepNext/>
        <w:keepLines/>
        <w:spacing w:line="360" w:lineRule="auto"/>
        <w:rPr>
          <w:b/>
          <w:bCs/>
        </w:rPr>
      </w:pPr>
      <w:r>
        <w:rPr>
          <w:rFonts w:hint="eastAsia"/>
          <w:b/>
          <w:bCs/>
        </w:rPr>
        <w:t>（注：上述招标内容具体参考第六章设计任务书，同时招标人在实施过程中可根据实际情况对工程规模、任务内容等进行合理、适当调整。）</w:t>
      </w:r>
    </w:p>
    <w:p w14:paraId="766D5033"/>
    <w:p w14:paraId="5AAAB2B5">
      <w:pPr>
        <w:pStyle w:val="55"/>
        <w:keepNext/>
        <w:keepLines/>
        <w:ind w:firstLine="480"/>
        <w:jc w:val="both"/>
        <w:rPr>
          <w:rFonts w:ascii="宋体" w:hAnsi="宋体" w:cs="宋体"/>
          <w:b/>
          <w:kern w:val="2"/>
          <w:szCs w:val="24"/>
        </w:rPr>
      </w:pPr>
      <w:bookmarkStart w:id="91" w:name="_Toc13955"/>
      <w:bookmarkStart w:id="92" w:name="_Toc17770"/>
      <w:bookmarkStart w:id="93" w:name="_Toc3271"/>
      <w:bookmarkStart w:id="94" w:name="_Toc26289"/>
      <w:bookmarkStart w:id="95" w:name="_Toc31375"/>
      <w:r>
        <w:rPr>
          <w:rFonts w:hint="eastAsia" w:ascii="宋体" w:hAnsi="宋体" w:cs="宋体"/>
          <w:b/>
          <w:kern w:val="2"/>
          <w:szCs w:val="24"/>
        </w:rPr>
        <w:t xml:space="preserve">7 </w:t>
      </w:r>
      <w:bookmarkEnd w:id="89"/>
      <w:r>
        <w:rPr>
          <w:rFonts w:hint="eastAsia" w:ascii="宋体" w:hAnsi="宋体" w:cs="宋体"/>
          <w:b/>
          <w:kern w:val="2"/>
          <w:szCs w:val="24"/>
        </w:rPr>
        <w:t>现场踏勘</w:t>
      </w:r>
      <w:bookmarkEnd w:id="90"/>
      <w:bookmarkEnd w:id="91"/>
      <w:bookmarkEnd w:id="92"/>
      <w:bookmarkEnd w:id="93"/>
      <w:bookmarkEnd w:id="94"/>
      <w:bookmarkEnd w:id="95"/>
    </w:p>
    <w:p w14:paraId="61969F18">
      <w:pPr>
        <w:pStyle w:val="56"/>
        <w:spacing w:line="440" w:lineRule="exact"/>
        <w:ind w:firstLine="482" w:firstLineChars="200"/>
        <w:rPr>
          <w:rFonts w:hAnsi="宋体" w:cs="宋体"/>
          <w:szCs w:val="24"/>
        </w:rPr>
      </w:pPr>
      <w:r>
        <w:rPr>
          <w:rFonts w:hint="eastAsia" w:hAnsi="宋体" w:cs="宋体"/>
          <w:b/>
          <w:bCs/>
          <w:szCs w:val="24"/>
        </w:rPr>
        <w:t>7.1</w:t>
      </w:r>
      <w:r>
        <w:rPr>
          <w:rFonts w:hint="eastAsia" w:hAnsi="宋体" w:cs="宋体"/>
          <w:szCs w:val="24"/>
        </w:rPr>
        <w:t>招标人不集中现场踏勘。投标人需要了解现场情况的，可自行进行现场踏勘。</w:t>
      </w:r>
    </w:p>
    <w:p w14:paraId="6A6257A6">
      <w:pPr>
        <w:pStyle w:val="56"/>
        <w:spacing w:line="440" w:lineRule="exact"/>
        <w:ind w:firstLine="482" w:firstLineChars="200"/>
        <w:rPr>
          <w:rFonts w:hAnsi="宋体" w:cs="宋体"/>
          <w:szCs w:val="24"/>
        </w:rPr>
      </w:pPr>
      <w:r>
        <w:rPr>
          <w:rFonts w:hint="eastAsia" w:hAnsi="宋体" w:cs="宋体"/>
          <w:b/>
          <w:bCs/>
          <w:szCs w:val="24"/>
        </w:rPr>
        <w:t>7.2</w:t>
      </w:r>
      <w:r>
        <w:rPr>
          <w:rFonts w:hint="eastAsia" w:hAnsi="宋体" w:cs="宋体"/>
          <w:szCs w:val="24"/>
        </w:rPr>
        <w:t>在现场踏勘过程中，投标人应确保自身安全，投标人如果发生人身伤亡、财物或其他损失，法律法规有规定的按有关规定处理，没有规定的由投标人自行负责。</w:t>
      </w:r>
    </w:p>
    <w:p w14:paraId="59C965C7">
      <w:pPr>
        <w:pStyle w:val="56"/>
        <w:spacing w:line="440" w:lineRule="exact"/>
        <w:ind w:firstLine="482" w:firstLineChars="200"/>
        <w:rPr>
          <w:rFonts w:hAnsi="宋体" w:cs="宋体"/>
          <w:szCs w:val="24"/>
        </w:rPr>
      </w:pPr>
      <w:r>
        <w:rPr>
          <w:rFonts w:hint="eastAsia" w:hAnsi="宋体" w:cs="宋体"/>
          <w:b/>
          <w:bCs/>
          <w:szCs w:val="24"/>
        </w:rPr>
        <w:t>7.3</w:t>
      </w:r>
      <w:r>
        <w:rPr>
          <w:rFonts w:hint="eastAsia" w:hAnsi="宋体" w:cs="宋体"/>
          <w:szCs w:val="24"/>
        </w:rPr>
        <w:t>现场踏勘期间的交通、食宿由投标人自行安排，费用自理。</w:t>
      </w:r>
      <w:bookmarkStart w:id="96" w:name="_Toc6699"/>
    </w:p>
    <w:p w14:paraId="1E526168">
      <w:pPr>
        <w:pStyle w:val="56"/>
        <w:spacing w:line="440" w:lineRule="exact"/>
        <w:ind w:firstLine="480" w:firstLineChars="200"/>
        <w:rPr>
          <w:rFonts w:hAnsi="宋体" w:cs="宋体"/>
          <w:szCs w:val="24"/>
        </w:rPr>
      </w:pPr>
    </w:p>
    <w:p w14:paraId="596F8BA7">
      <w:pPr>
        <w:pStyle w:val="55"/>
        <w:keepNext/>
        <w:keepLines/>
        <w:ind w:firstLine="480"/>
        <w:jc w:val="both"/>
        <w:rPr>
          <w:rFonts w:ascii="宋体" w:hAnsi="宋体" w:cs="宋体"/>
          <w:b/>
          <w:kern w:val="2"/>
          <w:szCs w:val="24"/>
        </w:rPr>
      </w:pPr>
      <w:bookmarkStart w:id="97" w:name="_Toc18567"/>
      <w:bookmarkStart w:id="98" w:name="_Toc10928"/>
      <w:bookmarkStart w:id="99" w:name="_Toc8140"/>
      <w:bookmarkStart w:id="100" w:name="_Toc16913"/>
      <w:bookmarkStart w:id="101" w:name="_Toc10153"/>
      <w:r>
        <w:rPr>
          <w:rFonts w:hint="eastAsia" w:ascii="宋体" w:hAnsi="宋体" w:cs="宋体"/>
          <w:b/>
          <w:kern w:val="2"/>
          <w:szCs w:val="24"/>
        </w:rPr>
        <w:t>8 招标答疑</w:t>
      </w:r>
      <w:bookmarkEnd w:id="96"/>
      <w:bookmarkEnd w:id="97"/>
      <w:bookmarkEnd w:id="98"/>
      <w:bookmarkEnd w:id="99"/>
      <w:bookmarkEnd w:id="100"/>
      <w:bookmarkEnd w:id="101"/>
      <w:bookmarkStart w:id="102" w:name="_Hlt74496410"/>
      <w:bookmarkEnd w:id="102"/>
      <w:bookmarkStart w:id="103" w:name="_Hlt92513711"/>
      <w:bookmarkEnd w:id="103"/>
      <w:bookmarkStart w:id="104" w:name="_Hlt69699188"/>
      <w:bookmarkEnd w:id="104"/>
      <w:bookmarkStart w:id="105" w:name="_Hlt92513715"/>
      <w:bookmarkEnd w:id="105"/>
    </w:p>
    <w:p w14:paraId="274D5A57">
      <w:pPr>
        <w:pStyle w:val="56"/>
        <w:spacing w:line="440" w:lineRule="exact"/>
        <w:ind w:firstLine="482" w:firstLineChars="200"/>
        <w:rPr>
          <w:rFonts w:hAnsi="宋体" w:cs="宋体"/>
          <w:szCs w:val="24"/>
        </w:rPr>
      </w:pPr>
      <w:r>
        <w:rPr>
          <w:rFonts w:hint="eastAsia" w:hAnsi="宋体" w:cs="宋体"/>
          <w:b/>
          <w:bCs/>
          <w:szCs w:val="24"/>
        </w:rPr>
        <w:t>8.1</w:t>
      </w:r>
      <w:r>
        <w:rPr>
          <w:rFonts w:hint="eastAsia" w:hAnsi="宋体" w:cs="宋体"/>
          <w:szCs w:val="24"/>
        </w:rPr>
        <w:t xml:space="preserve"> 投标人若对招标文件有疑问，应在提问截止时间（见本章第二节“重要事项时间地点一览表”）前使用建设工程交易系统提出问题。未在指定时间前、未采用指定方式提出的，招标人不予受理。</w:t>
      </w:r>
    </w:p>
    <w:p w14:paraId="5D8F78D2">
      <w:pPr>
        <w:pStyle w:val="56"/>
        <w:spacing w:line="440" w:lineRule="exact"/>
        <w:ind w:firstLine="482" w:firstLineChars="200"/>
        <w:rPr>
          <w:rFonts w:hAnsi="宋体" w:cs="宋体"/>
          <w:szCs w:val="24"/>
        </w:rPr>
      </w:pPr>
      <w:r>
        <w:rPr>
          <w:rFonts w:hint="eastAsia" w:hAnsi="宋体" w:cs="宋体"/>
          <w:b/>
          <w:bCs/>
          <w:szCs w:val="24"/>
        </w:rPr>
        <w:t xml:space="preserve">8.2 </w:t>
      </w:r>
      <w:r>
        <w:rPr>
          <w:rFonts w:hint="eastAsia" w:hAnsi="宋体" w:cs="宋体"/>
          <w:szCs w:val="24"/>
        </w:rPr>
        <w:t>招标人在提问截止时间（见本章第二节“重要事项时间地点一览表”）后3日内，一次性对收到的所有问题作出答复，并形成答疑（或修改）公告在发布招标公告的媒介上公开发布。答疑（或修改）公告一旦发布，即</w:t>
      </w:r>
      <w:r>
        <w:rPr>
          <w:rFonts w:hint="eastAsia" w:hAnsi="宋体" w:cs="宋体"/>
          <w:szCs w:val="24"/>
          <w:lang w:eastAsia="zh-CN"/>
        </w:rPr>
        <w:t>视为</w:t>
      </w:r>
      <w:r>
        <w:rPr>
          <w:rFonts w:hint="eastAsia" w:hAnsi="宋体" w:cs="宋体"/>
          <w:szCs w:val="24"/>
        </w:rPr>
        <w:t>所有潜在投标人已经知悉答疑（或修改）内容，投标人未及时关注而造成的损失和后果，由投标人自行承担。</w:t>
      </w:r>
    </w:p>
    <w:p w14:paraId="641AF97D">
      <w:pPr>
        <w:pStyle w:val="55"/>
        <w:keepNext/>
        <w:keepLines/>
        <w:spacing w:line="440" w:lineRule="exact"/>
        <w:ind w:firstLine="480"/>
        <w:jc w:val="both"/>
        <w:outlineLvl w:val="9"/>
        <w:rPr>
          <w:rFonts w:ascii="宋体" w:hAnsi="宋体" w:cs="宋体"/>
          <w:szCs w:val="24"/>
        </w:rPr>
      </w:pPr>
      <w:bookmarkStart w:id="106" w:name="_Toc26822"/>
      <w:bookmarkStart w:id="107" w:name="_Toc15820"/>
      <w:bookmarkStart w:id="108" w:name="_Toc25577"/>
      <w:bookmarkStart w:id="109" w:name="_Toc29770"/>
      <w:bookmarkStart w:id="110" w:name="_Toc9829"/>
      <w:bookmarkStart w:id="111" w:name="_Toc22085"/>
      <w:r>
        <w:rPr>
          <w:rFonts w:hint="eastAsia" w:ascii="宋体" w:hAnsi="宋体" w:cs="宋体"/>
          <w:b/>
          <w:bCs/>
          <w:kern w:val="2"/>
          <w:szCs w:val="24"/>
        </w:rPr>
        <w:t xml:space="preserve">8.3 </w:t>
      </w:r>
      <w:r>
        <w:rPr>
          <w:rFonts w:hint="eastAsia" w:ascii="宋体" w:hAnsi="宋体" w:cs="宋体"/>
          <w:szCs w:val="24"/>
        </w:rPr>
        <w:t>招标人对招标文件所作的答疑（或修改）公告，构成招标文件的组成部分。</w:t>
      </w:r>
      <w:bookmarkEnd w:id="106"/>
      <w:bookmarkEnd w:id="107"/>
      <w:bookmarkEnd w:id="108"/>
      <w:bookmarkEnd w:id="109"/>
      <w:bookmarkEnd w:id="110"/>
      <w:bookmarkEnd w:id="111"/>
    </w:p>
    <w:p w14:paraId="79E20B25">
      <w:pPr>
        <w:pStyle w:val="56"/>
      </w:pPr>
    </w:p>
    <w:p w14:paraId="6FD2895E">
      <w:pPr>
        <w:pStyle w:val="55"/>
        <w:keepNext/>
        <w:keepLines/>
        <w:spacing w:line="440" w:lineRule="exact"/>
        <w:ind w:firstLine="480"/>
        <w:jc w:val="both"/>
        <w:rPr>
          <w:rFonts w:ascii="宋体" w:hAnsi="宋体" w:cs="宋体"/>
          <w:b/>
          <w:kern w:val="2"/>
          <w:szCs w:val="24"/>
        </w:rPr>
      </w:pPr>
      <w:bookmarkStart w:id="112" w:name="_Toc11575"/>
      <w:bookmarkStart w:id="113" w:name="_Toc25891"/>
      <w:bookmarkStart w:id="114" w:name="_Toc4191"/>
      <w:bookmarkStart w:id="115" w:name="_Toc20058"/>
      <w:bookmarkStart w:id="116" w:name="_Toc29808"/>
      <w:bookmarkStart w:id="117" w:name="_Toc19826"/>
      <w:r>
        <w:rPr>
          <w:rFonts w:hint="eastAsia" w:ascii="宋体" w:hAnsi="宋体" w:cs="宋体"/>
          <w:b/>
          <w:kern w:val="2"/>
          <w:szCs w:val="24"/>
        </w:rPr>
        <w:t>9 最高投标限价的确定及投标报价的约定</w:t>
      </w:r>
      <w:bookmarkEnd w:id="112"/>
      <w:bookmarkEnd w:id="113"/>
      <w:bookmarkEnd w:id="114"/>
      <w:bookmarkEnd w:id="115"/>
      <w:bookmarkEnd w:id="116"/>
      <w:bookmarkEnd w:id="117"/>
    </w:p>
    <w:p w14:paraId="7AECCFCF">
      <w:pPr>
        <w:wordWrap w:val="0"/>
        <w:adjustRightInd w:val="0"/>
        <w:snapToGrid w:val="0"/>
        <w:spacing w:line="440" w:lineRule="exact"/>
        <w:ind w:firstLine="482" w:firstLineChars="200"/>
        <w:rPr>
          <w:snapToGrid w:val="0"/>
        </w:rPr>
      </w:pPr>
      <w:r>
        <w:rPr>
          <w:rFonts w:hint="eastAsia"/>
          <w:b/>
        </w:rPr>
        <w:t xml:space="preserve">9.1 </w:t>
      </w:r>
      <w:r>
        <w:rPr>
          <w:rFonts w:hint="eastAsia"/>
          <w:b/>
          <w:bCs/>
          <w:snapToGrid w:val="0"/>
        </w:rPr>
        <w:t>最高投标限价的确定</w:t>
      </w:r>
    </w:p>
    <w:p w14:paraId="4B8B6552">
      <w:pPr>
        <w:wordWrap w:val="0"/>
        <w:adjustRightInd w:val="0"/>
        <w:snapToGrid w:val="0"/>
        <w:spacing w:line="440" w:lineRule="exact"/>
        <w:rPr>
          <w:snapToGrid w:val="0"/>
          <w:highlight w:val="yellow"/>
        </w:rPr>
      </w:pPr>
      <w:r>
        <w:rPr>
          <w:rFonts w:hint="eastAsia"/>
          <w:snapToGrid w:val="0"/>
        </w:rPr>
        <w:t>经研究确定，本项目设计招标最高投标限价为：</w:t>
      </w:r>
      <w:bookmarkStart w:id="118" w:name="_Toc23525"/>
      <w:bookmarkStart w:id="119" w:name="_Toc24473"/>
      <w:bookmarkStart w:id="120" w:name="_Toc30189"/>
    </w:p>
    <w:p w14:paraId="3DBADEE5">
      <w:pPr>
        <w:wordWrap w:val="0"/>
        <w:adjustRightInd w:val="0"/>
        <w:snapToGrid w:val="0"/>
        <w:spacing w:line="440" w:lineRule="exact"/>
        <w:rPr>
          <w:snapToGrid w:val="0"/>
          <w:highlight w:val="yellow"/>
        </w:rPr>
      </w:pPr>
    </w:p>
    <w:tbl>
      <w:tblPr>
        <w:tblStyle w:val="31"/>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3175"/>
        <w:gridCol w:w="2698"/>
        <w:gridCol w:w="1999"/>
      </w:tblGrid>
      <w:tr w14:paraId="5CA0D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14:paraId="4505C471">
            <w:pPr>
              <w:jc w:val="center"/>
            </w:pPr>
            <w:r>
              <w:rPr>
                <w:rFonts w:hint="eastAsia"/>
              </w:rPr>
              <w:t>序号</w:t>
            </w:r>
          </w:p>
        </w:tc>
        <w:tc>
          <w:tcPr>
            <w:tcW w:w="3175" w:type="dxa"/>
            <w:tcBorders>
              <w:top w:val="single" w:color="auto" w:sz="4" w:space="0"/>
              <w:left w:val="single" w:color="auto" w:sz="4" w:space="0"/>
              <w:bottom w:val="single" w:color="auto" w:sz="4" w:space="0"/>
              <w:right w:val="single" w:color="auto" w:sz="4" w:space="0"/>
            </w:tcBorders>
            <w:shd w:val="clear" w:color="auto" w:fill="auto"/>
            <w:vAlign w:val="center"/>
          </w:tcPr>
          <w:p w14:paraId="094E074F">
            <w:pPr>
              <w:jc w:val="center"/>
            </w:pPr>
            <w:r>
              <w:rPr>
                <w:rFonts w:hint="eastAsia"/>
              </w:rPr>
              <w:t>区域</w:t>
            </w: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14:paraId="117B1687">
            <w:pPr>
              <w:jc w:val="center"/>
            </w:pPr>
            <w:r>
              <w:rPr>
                <w:rFonts w:hint="eastAsia"/>
              </w:rPr>
              <w:t>最高投标限价（元）</w:t>
            </w:r>
          </w:p>
        </w:tc>
        <w:tc>
          <w:tcPr>
            <w:tcW w:w="1999" w:type="dxa"/>
            <w:tcBorders>
              <w:top w:val="single" w:color="auto" w:sz="4" w:space="0"/>
              <w:left w:val="single" w:color="auto" w:sz="4" w:space="0"/>
              <w:bottom w:val="single" w:color="auto" w:sz="4" w:space="0"/>
              <w:right w:val="single" w:color="auto" w:sz="4" w:space="0"/>
            </w:tcBorders>
            <w:shd w:val="clear" w:color="auto" w:fill="auto"/>
            <w:vAlign w:val="center"/>
          </w:tcPr>
          <w:p w14:paraId="3A1BEEB1">
            <w:pPr>
              <w:jc w:val="center"/>
            </w:pPr>
            <w:r>
              <w:rPr>
                <w:rFonts w:hint="eastAsia"/>
              </w:rPr>
              <w:t>备注</w:t>
            </w:r>
          </w:p>
        </w:tc>
      </w:tr>
      <w:tr w14:paraId="572BF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14:paraId="21947122">
            <w:pPr>
              <w:jc w:val="center"/>
            </w:pPr>
            <w:r>
              <w:rPr>
                <w:rFonts w:hint="eastAsia"/>
              </w:rPr>
              <w:t>1</w:t>
            </w:r>
          </w:p>
        </w:tc>
        <w:tc>
          <w:tcPr>
            <w:tcW w:w="3175" w:type="dxa"/>
            <w:tcBorders>
              <w:top w:val="single" w:color="auto" w:sz="4" w:space="0"/>
              <w:left w:val="single" w:color="auto" w:sz="4" w:space="0"/>
              <w:bottom w:val="single" w:color="auto" w:sz="4" w:space="0"/>
              <w:right w:val="single" w:color="auto" w:sz="4" w:space="0"/>
            </w:tcBorders>
            <w:shd w:val="clear" w:color="auto" w:fill="auto"/>
            <w:vAlign w:val="center"/>
          </w:tcPr>
          <w:p w14:paraId="56C4D814">
            <w:pPr>
              <w:jc w:val="center"/>
            </w:pPr>
            <w:r>
              <w:rPr>
                <w:rFonts w:hint="eastAsia"/>
              </w:rPr>
              <w:t>百年东街片区更新改造设计</w:t>
            </w: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14:paraId="41E0FD74">
            <w:pPr>
              <w:jc w:val="both"/>
              <w:rPr>
                <w:rFonts w:hint="eastAsia"/>
                <w:lang w:val="en-US" w:eastAsia="zh-CN"/>
              </w:rPr>
            </w:pPr>
          </w:p>
          <w:p w14:paraId="58A24FFB">
            <w:pPr>
              <w:jc w:val="center"/>
              <w:rPr>
                <w:rFonts w:hint="eastAsia"/>
                <w:lang w:val="en-US" w:eastAsia="zh-CN"/>
              </w:rPr>
            </w:pPr>
            <w:r>
              <w:rPr>
                <w:rFonts w:hint="eastAsia"/>
                <w:lang w:val="en-US" w:eastAsia="zh-CN"/>
              </w:rPr>
              <w:t>2868000.00</w:t>
            </w:r>
          </w:p>
          <w:p w14:paraId="71562C75">
            <w:pPr>
              <w:jc w:val="both"/>
              <w:rPr>
                <w:rFonts w:hint="default"/>
                <w:lang w:val="en-US" w:eastAsia="zh-CN"/>
              </w:rPr>
            </w:pPr>
          </w:p>
        </w:tc>
        <w:tc>
          <w:tcPr>
            <w:tcW w:w="1999" w:type="dxa"/>
            <w:tcBorders>
              <w:top w:val="single" w:color="auto" w:sz="4" w:space="0"/>
              <w:left w:val="single" w:color="auto" w:sz="4" w:space="0"/>
              <w:bottom w:val="single" w:color="auto" w:sz="4" w:space="0"/>
              <w:right w:val="single" w:color="auto" w:sz="4" w:space="0"/>
            </w:tcBorders>
            <w:shd w:val="clear" w:color="auto" w:fill="auto"/>
            <w:vAlign w:val="center"/>
          </w:tcPr>
          <w:p w14:paraId="65E32C6B">
            <w:pPr>
              <w:jc w:val="center"/>
              <w:rPr>
                <w:color w:val="auto"/>
              </w:rPr>
            </w:pPr>
            <w:r>
              <w:rPr>
                <w:rFonts w:hint="eastAsia"/>
                <w:color w:val="auto"/>
              </w:rPr>
              <w:t>分区域</w:t>
            </w:r>
            <w:r>
              <w:rPr>
                <w:rFonts w:hint="eastAsia"/>
                <w:color w:val="auto"/>
                <w:lang w:eastAsia="zh-CN"/>
              </w:rPr>
              <w:t>实施</w:t>
            </w:r>
          </w:p>
        </w:tc>
      </w:tr>
      <w:tr w14:paraId="30DD0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14:paraId="4C7E3616">
            <w:pPr>
              <w:jc w:val="center"/>
            </w:pPr>
            <w:r>
              <w:rPr>
                <w:rFonts w:hint="eastAsia"/>
              </w:rPr>
              <w:t>2</w:t>
            </w:r>
          </w:p>
        </w:tc>
        <w:tc>
          <w:tcPr>
            <w:tcW w:w="3175" w:type="dxa"/>
            <w:tcBorders>
              <w:top w:val="single" w:color="auto" w:sz="4" w:space="0"/>
              <w:left w:val="single" w:color="auto" w:sz="4" w:space="0"/>
              <w:bottom w:val="single" w:color="auto" w:sz="4" w:space="0"/>
              <w:right w:val="single" w:color="auto" w:sz="4" w:space="0"/>
            </w:tcBorders>
            <w:shd w:val="clear" w:color="auto" w:fill="auto"/>
            <w:vAlign w:val="center"/>
          </w:tcPr>
          <w:p w14:paraId="20EDC435">
            <w:pPr>
              <w:jc w:val="center"/>
            </w:pPr>
            <w:r>
              <w:rPr>
                <w:rFonts w:hint="eastAsia"/>
              </w:rPr>
              <w:t>周边历史街区（包括升平路、广富新街、峰前街、群众巷</w:t>
            </w:r>
            <w:r>
              <w:rPr>
                <w:rFonts w:hint="eastAsia"/>
                <w:lang w:val="en-US" w:eastAsia="zh-CN"/>
              </w:rPr>
              <w:t>等</w:t>
            </w:r>
            <w:r>
              <w:rPr>
                <w:rFonts w:hint="eastAsia"/>
              </w:rPr>
              <w:t>）更新改造设计</w:t>
            </w: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14:paraId="377163CE">
            <w:pPr>
              <w:jc w:val="center"/>
              <w:rPr>
                <w:rFonts w:hint="eastAsia"/>
                <w:lang w:val="en-US" w:eastAsia="zh-CN"/>
              </w:rPr>
            </w:pPr>
          </w:p>
          <w:p w14:paraId="65D02C98">
            <w:pPr>
              <w:jc w:val="center"/>
              <w:rPr>
                <w:rFonts w:hint="default"/>
                <w:lang w:val="en-US" w:eastAsia="zh-CN"/>
              </w:rPr>
            </w:pPr>
            <w:r>
              <w:rPr>
                <w:rFonts w:hint="eastAsia"/>
                <w:lang w:val="en-US" w:eastAsia="zh-CN"/>
              </w:rPr>
              <w:t>4302000.00</w:t>
            </w:r>
          </w:p>
          <w:p w14:paraId="5C8CF367">
            <w:pPr>
              <w:jc w:val="both"/>
            </w:pPr>
          </w:p>
        </w:tc>
        <w:tc>
          <w:tcPr>
            <w:tcW w:w="1999" w:type="dxa"/>
            <w:tcBorders>
              <w:top w:val="single" w:color="auto" w:sz="4" w:space="0"/>
              <w:left w:val="single" w:color="auto" w:sz="4" w:space="0"/>
              <w:bottom w:val="single" w:color="auto" w:sz="4" w:space="0"/>
              <w:right w:val="single" w:color="auto" w:sz="4" w:space="0"/>
            </w:tcBorders>
            <w:shd w:val="clear" w:color="auto" w:fill="auto"/>
            <w:vAlign w:val="center"/>
          </w:tcPr>
          <w:p w14:paraId="2662A191">
            <w:pPr>
              <w:jc w:val="center"/>
              <w:rPr>
                <w:color w:val="auto"/>
              </w:rPr>
            </w:pPr>
            <w:r>
              <w:rPr>
                <w:rFonts w:hint="eastAsia"/>
                <w:color w:val="auto"/>
              </w:rPr>
              <w:t>分区域</w:t>
            </w:r>
            <w:r>
              <w:rPr>
                <w:rFonts w:hint="eastAsia"/>
                <w:color w:val="auto"/>
                <w:lang w:eastAsia="zh-CN"/>
              </w:rPr>
              <w:t>实施</w:t>
            </w:r>
          </w:p>
        </w:tc>
      </w:tr>
      <w:tr w14:paraId="1AAC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jc w:val="center"/>
        </w:trPr>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14:paraId="2A801770">
            <w:pPr>
              <w:jc w:val="center"/>
            </w:pPr>
            <w:r>
              <w:rPr>
                <w:rFonts w:hint="eastAsia"/>
              </w:rPr>
              <w:t>3</w:t>
            </w:r>
          </w:p>
        </w:tc>
        <w:tc>
          <w:tcPr>
            <w:tcW w:w="3175" w:type="dxa"/>
            <w:tcBorders>
              <w:top w:val="single" w:color="auto" w:sz="4" w:space="0"/>
              <w:left w:val="single" w:color="auto" w:sz="4" w:space="0"/>
              <w:bottom w:val="single" w:color="auto" w:sz="4" w:space="0"/>
              <w:right w:val="single" w:color="auto" w:sz="4" w:space="0"/>
            </w:tcBorders>
            <w:shd w:val="clear" w:color="auto" w:fill="auto"/>
            <w:vAlign w:val="center"/>
          </w:tcPr>
          <w:p w14:paraId="0F0FFBBB">
            <w:pPr>
              <w:jc w:val="center"/>
            </w:pPr>
            <w:r>
              <w:rPr>
                <w:rFonts w:hint="eastAsia"/>
              </w:rPr>
              <w:t>合计（1+2）：</w:t>
            </w: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14:paraId="7338F8D1">
            <w:pPr>
              <w:jc w:val="center"/>
              <w:rPr>
                <w:rFonts w:hint="default" w:eastAsia="宋体"/>
                <w:lang w:val="en-US" w:eastAsia="zh-CN"/>
              </w:rPr>
            </w:pPr>
            <w:r>
              <w:rPr>
                <w:rFonts w:hint="eastAsia"/>
                <w:lang w:val="en-US" w:eastAsia="zh-CN"/>
              </w:rPr>
              <w:t>7170000.00</w:t>
            </w:r>
          </w:p>
        </w:tc>
        <w:tc>
          <w:tcPr>
            <w:tcW w:w="1999" w:type="dxa"/>
            <w:tcBorders>
              <w:top w:val="single" w:color="auto" w:sz="4" w:space="0"/>
              <w:left w:val="single" w:color="auto" w:sz="4" w:space="0"/>
              <w:bottom w:val="single" w:color="auto" w:sz="4" w:space="0"/>
              <w:right w:val="single" w:color="auto" w:sz="4" w:space="0"/>
            </w:tcBorders>
            <w:shd w:val="clear" w:color="auto" w:fill="auto"/>
            <w:vAlign w:val="center"/>
          </w:tcPr>
          <w:p w14:paraId="6BAE597E">
            <w:pPr>
              <w:jc w:val="center"/>
            </w:pPr>
          </w:p>
        </w:tc>
      </w:tr>
    </w:tbl>
    <w:p w14:paraId="58B24A00">
      <w:pPr>
        <w:wordWrap w:val="0"/>
        <w:adjustRightInd w:val="0"/>
        <w:snapToGrid w:val="0"/>
        <w:spacing w:line="440" w:lineRule="exact"/>
        <w:rPr>
          <w:snapToGrid w:val="0"/>
        </w:rPr>
      </w:pPr>
      <w:r>
        <w:rPr>
          <w:rFonts w:hint="eastAsia"/>
          <w:snapToGrid w:val="0"/>
        </w:rPr>
        <w:t>备注：</w:t>
      </w:r>
    </w:p>
    <w:p w14:paraId="4ACDD2FE">
      <w:pPr>
        <w:wordWrap w:val="0"/>
        <w:adjustRightInd w:val="0"/>
        <w:snapToGrid w:val="0"/>
        <w:spacing w:line="440" w:lineRule="exact"/>
        <w:rPr>
          <w:snapToGrid w:val="0"/>
        </w:rPr>
      </w:pPr>
      <w:r>
        <w:rPr>
          <w:rFonts w:hint="eastAsia"/>
          <w:snapToGrid w:val="0"/>
          <w:lang w:eastAsia="zh-CN"/>
        </w:rPr>
        <w:t>1.</w:t>
      </w:r>
      <w:r>
        <w:rPr>
          <w:rFonts w:hint="eastAsia"/>
          <w:snapToGrid w:val="0"/>
        </w:rPr>
        <w:t>各单项小计或合计投标报价超过最高投标限价为无效报价。</w:t>
      </w:r>
    </w:p>
    <w:p w14:paraId="552430D1">
      <w:pPr>
        <w:wordWrap w:val="0"/>
        <w:adjustRightInd w:val="0"/>
        <w:snapToGrid w:val="0"/>
        <w:spacing w:line="440" w:lineRule="exact"/>
        <w:rPr>
          <w:snapToGrid w:val="0"/>
        </w:rPr>
      </w:pPr>
      <w:r>
        <w:rPr>
          <w:rFonts w:hint="eastAsia"/>
          <w:snapToGrid w:val="0"/>
          <w:lang w:eastAsia="zh-CN"/>
        </w:rPr>
        <w:t>2.</w:t>
      </w:r>
      <w:r>
        <w:rPr>
          <w:rFonts w:hint="eastAsia"/>
          <w:snapToGrid w:val="0"/>
        </w:rPr>
        <w:t>投标报价均按“四舍五入”原则精确到两位小数。</w:t>
      </w:r>
    </w:p>
    <w:p w14:paraId="687193E5">
      <w:pPr>
        <w:wordWrap w:val="0"/>
        <w:adjustRightInd w:val="0"/>
        <w:snapToGrid w:val="0"/>
        <w:spacing w:line="440" w:lineRule="exact"/>
        <w:rPr>
          <w:snapToGrid w:val="0"/>
        </w:rPr>
      </w:pPr>
      <w:r>
        <w:rPr>
          <w:rFonts w:hint="eastAsia"/>
          <w:snapToGrid w:val="0"/>
          <w:lang w:eastAsia="zh-CN"/>
        </w:rPr>
        <w:t>3.</w:t>
      </w:r>
      <w:r>
        <w:rPr>
          <w:rFonts w:hint="eastAsia"/>
          <w:snapToGrid w:val="0"/>
        </w:rPr>
        <w:t>以上投标报价均为含税报价（增值税）。</w:t>
      </w:r>
    </w:p>
    <w:p w14:paraId="6843AD74">
      <w:pPr>
        <w:wordWrap w:val="0"/>
        <w:snapToGrid w:val="0"/>
        <w:spacing w:line="440" w:lineRule="exact"/>
        <w:ind w:firstLine="482" w:firstLineChars="200"/>
        <w:rPr>
          <w:b/>
          <w:snapToGrid w:val="0"/>
        </w:rPr>
      </w:pPr>
      <w:r>
        <w:rPr>
          <w:rFonts w:hint="eastAsia"/>
          <w:b/>
          <w:snapToGrid w:val="0"/>
        </w:rPr>
        <w:t xml:space="preserve">9.2 </w:t>
      </w:r>
      <w:bookmarkStart w:id="121" w:name="_Hlt74498519"/>
      <w:bookmarkEnd w:id="121"/>
      <w:r>
        <w:rPr>
          <w:rFonts w:hint="eastAsia"/>
          <w:b/>
          <w:snapToGrid w:val="0"/>
        </w:rPr>
        <w:t>投标报价的约定</w:t>
      </w:r>
      <w:bookmarkEnd w:id="118"/>
      <w:bookmarkEnd w:id="119"/>
      <w:bookmarkEnd w:id="120"/>
    </w:p>
    <w:p w14:paraId="07621F40">
      <w:pPr>
        <w:wordWrap w:val="0"/>
        <w:adjustRightInd w:val="0"/>
        <w:snapToGrid w:val="0"/>
        <w:spacing w:line="440" w:lineRule="exact"/>
        <w:ind w:firstLine="482" w:firstLineChars="200"/>
        <w:rPr>
          <w:strike/>
          <w:snapToGrid w:val="0"/>
        </w:rPr>
      </w:pPr>
      <w:r>
        <w:rPr>
          <w:rFonts w:hint="eastAsia"/>
          <w:b/>
          <w:bCs/>
          <w:snapToGrid w:val="0"/>
        </w:rPr>
        <w:t xml:space="preserve">9.2.1 </w:t>
      </w:r>
      <w:r>
        <w:rPr>
          <w:rFonts w:hint="eastAsia"/>
          <w:snapToGrid w:val="0"/>
        </w:rPr>
        <w:t>投标人以设计费的合计总价进行投标报价。设计费报价不得超出最高投标限价规定的相应限价。</w:t>
      </w:r>
    </w:p>
    <w:p w14:paraId="5A558123">
      <w:pPr>
        <w:pStyle w:val="10"/>
        <w:spacing w:line="440" w:lineRule="exact"/>
        <w:ind w:firstLine="482" w:firstLineChars="200"/>
      </w:pPr>
      <w:r>
        <w:rPr>
          <w:rFonts w:hint="eastAsia"/>
          <w:b/>
          <w:bCs/>
          <w:snapToGrid w:val="0"/>
        </w:rPr>
        <w:t>9.2.2</w:t>
      </w:r>
      <w:r>
        <w:rPr>
          <w:rFonts w:hint="eastAsia"/>
          <w:snapToGrid w:val="0"/>
        </w:rPr>
        <w:t>设计费投标报价：在最高投标限价范围内，</w:t>
      </w:r>
      <w:r>
        <w:rPr>
          <w:rFonts w:hint="eastAsia"/>
          <w:lang w:val="zh-CN"/>
        </w:rPr>
        <w:t>采用合计总价进行投标报价。</w:t>
      </w:r>
      <w:r>
        <w:rPr>
          <w:rFonts w:hint="eastAsia"/>
          <w:snapToGrid w:val="0"/>
        </w:rPr>
        <w:t>设计费的报价应包括招标文件中招标内容（范围）所规定的所有设计工作的所有费用。设计费的报价应包含各个不同专业的设计费用、进行优化设计或修改设计所增加的设计费用</w:t>
      </w:r>
      <w:r>
        <w:rPr>
          <w:rFonts w:hint="eastAsia"/>
          <w:lang w:val="zh-CN"/>
        </w:rPr>
        <w:t>、各项</w:t>
      </w:r>
      <w:r>
        <w:rPr>
          <w:rFonts w:hint="eastAsia"/>
        </w:rPr>
        <w:t>专家评审的专家费用、概算编制费、税费等</w:t>
      </w:r>
      <w:r>
        <w:rPr>
          <w:rFonts w:hint="eastAsia"/>
          <w:lang w:val="zh-CN"/>
        </w:rPr>
        <w:t>。</w:t>
      </w:r>
    </w:p>
    <w:p w14:paraId="1D47FFF9">
      <w:pPr>
        <w:wordWrap w:val="0"/>
        <w:adjustRightInd w:val="0"/>
        <w:snapToGrid w:val="0"/>
        <w:spacing w:line="440" w:lineRule="exact"/>
        <w:ind w:firstLine="482" w:firstLineChars="200"/>
        <w:rPr>
          <w:b/>
          <w:bCs/>
          <w:snapToGrid w:val="0"/>
          <w:highlight w:val="yellow"/>
        </w:rPr>
      </w:pPr>
      <w:r>
        <w:rPr>
          <w:rFonts w:hint="eastAsia"/>
          <w:b/>
          <w:bCs/>
          <w:snapToGrid w:val="0"/>
        </w:rPr>
        <w:t xml:space="preserve">9.2.3 </w:t>
      </w:r>
      <w:r>
        <w:rPr>
          <w:rFonts w:hint="eastAsia"/>
          <w:snapToGrid w:val="0"/>
        </w:rPr>
        <w:t>设计费的中标价为合同价，结算价不能超过合同价。设计成果必须按要求满足设计规定的深度。所报的设计费应包含投标人自投标之日起至项目拿到施工图审图合格证的费用。</w:t>
      </w:r>
      <w:r>
        <w:rPr>
          <w:rFonts w:hint="eastAsia"/>
          <w:snapToGrid w:val="0"/>
          <w:highlight w:val="none"/>
        </w:rPr>
        <w:t>若设计深度不够，导致设计更改、工程量增加、费用增加的，由投标人以该项目的设计费为限承担责任。</w:t>
      </w:r>
    </w:p>
    <w:p w14:paraId="2CA5540F">
      <w:pPr>
        <w:wordWrap w:val="0"/>
        <w:adjustRightInd w:val="0"/>
        <w:snapToGrid w:val="0"/>
        <w:spacing w:line="440" w:lineRule="exact"/>
        <w:ind w:firstLine="482" w:firstLineChars="200"/>
        <w:rPr>
          <w:rFonts w:hint="eastAsia" w:eastAsia="宋体"/>
          <w:snapToGrid w:val="0"/>
          <w:lang w:eastAsia="zh-CN"/>
        </w:rPr>
      </w:pPr>
      <w:r>
        <w:rPr>
          <w:rFonts w:hint="eastAsia"/>
          <w:b/>
          <w:bCs/>
          <w:snapToGrid w:val="0"/>
        </w:rPr>
        <w:t>9.2.4</w:t>
      </w:r>
      <w:r>
        <w:rPr>
          <w:rFonts w:hint="eastAsia"/>
          <w:snapToGrid w:val="0"/>
        </w:rPr>
        <w:t>本项目投标报价应综合考虑设计服务费、各项专家评审费、修编建设工程设计方案费用、所有专业及工程复杂程度相关的调整系数等所包含的一切费用</w:t>
      </w:r>
      <w:r>
        <w:rPr>
          <w:rFonts w:hint="eastAsia"/>
          <w:snapToGrid w:val="0"/>
          <w:lang w:eastAsia="zh-CN"/>
        </w:rPr>
        <w:t>。</w:t>
      </w:r>
    </w:p>
    <w:p w14:paraId="4ECBAE2B">
      <w:pPr>
        <w:wordWrap w:val="0"/>
        <w:adjustRightInd w:val="0"/>
        <w:snapToGrid w:val="0"/>
        <w:spacing w:line="440" w:lineRule="exact"/>
        <w:ind w:firstLine="482" w:firstLineChars="200"/>
        <w:rPr>
          <w:snapToGrid w:val="0"/>
        </w:rPr>
      </w:pPr>
      <w:r>
        <w:rPr>
          <w:rFonts w:hint="eastAsia"/>
          <w:b/>
          <w:bCs/>
          <w:snapToGrid w:val="0"/>
        </w:rPr>
        <w:t>9.2.5</w:t>
      </w:r>
      <w:r>
        <w:rPr>
          <w:rFonts w:hint="eastAsia"/>
          <w:snapToGrid w:val="0"/>
        </w:rPr>
        <w:t>投标报价时应充分考虑“</w:t>
      </w:r>
      <w:r>
        <w:rPr>
          <w:rFonts w:hint="eastAsia"/>
          <w:lang w:val="zh-CN"/>
        </w:rPr>
        <w:t>拟签订合同的主要条款”</w:t>
      </w:r>
      <w:r>
        <w:rPr>
          <w:rFonts w:hint="eastAsia"/>
          <w:snapToGrid w:val="0"/>
        </w:rPr>
        <w:t>及“中标人须知”中所列条款的要求及风险。</w:t>
      </w:r>
    </w:p>
    <w:p w14:paraId="76E5838E">
      <w:pPr>
        <w:pStyle w:val="56"/>
      </w:pPr>
    </w:p>
    <w:p w14:paraId="5DF4D9EB">
      <w:pPr>
        <w:pStyle w:val="55"/>
        <w:keepNext/>
        <w:keepLines/>
        <w:spacing w:line="440" w:lineRule="exact"/>
        <w:ind w:firstLine="480"/>
        <w:jc w:val="both"/>
        <w:rPr>
          <w:rFonts w:ascii="宋体" w:hAnsi="宋体" w:cs="宋体"/>
          <w:b/>
          <w:kern w:val="2"/>
          <w:szCs w:val="24"/>
        </w:rPr>
      </w:pPr>
      <w:bookmarkStart w:id="122" w:name="_Hlt126039060"/>
      <w:bookmarkEnd w:id="122"/>
      <w:bookmarkStart w:id="123" w:name="_Hlt121630579"/>
      <w:bookmarkEnd w:id="123"/>
      <w:bookmarkStart w:id="124" w:name="_Hlt75685913"/>
      <w:bookmarkEnd w:id="124"/>
      <w:bookmarkStart w:id="125" w:name="_Hlt75685561"/>
      <w:bookmarkEnd w:id="125"/>
      <w:bookmarkStart w:id="126" w:name="_Toc18975"/>
      <w:bookmarkStart w:id="127" w:name="_Toc4699"/>
      <w:bookmarkStart w:id="128" w:name="_Toc18785"/>
      <w:bookmarkStart w:id="129" w:name="_Toc19844"/>
      <w:bookmarkStart w:id="130" w:name="_Toc27602"/>
      <w:bookmarkStart w:id="131" w:name="_Toc17120"/>
      <w:bookmarkStart w:id="132" w:name="_Toc18053"/>
      <w:bookmarkStart w:id="133" w:name="_Hlt121629839"/>
      <w:bookmarkStart w:id="134" w:name="_Hlt69335617"/>
      <w:r>
        <w:rPr>
          <w:rFonts w:hint="eastAsia" w:ascii="宋体" w:hAnsi="宋体" w:cs="宋体"/>
          <w:b/>
          <w:kern w:val="2"/>
          <w:szCs w:val="24"/>
        </w:rPr>
        <w:t>10 投标文件的编制</w:t>
      </w:r>
      <w:bookmarkStart w:id="135" w:name="_Hlt69208262"/>
      <w:bookmarkEnd w:id="135"/>
      <w:bookmarkStart w:id="136" w:name="_Hlt69332370"/>
      <w:bookmarkEnd w:id="136"/>
      <w:r>
        <w:rPr>
          <w:rFonts w:hint="eastAsia" w:ascii="宋体" w:hAnsi="宋体" w:cs="宋体"/>
          <w:b/>
          <w:kern w:val="2"/>
          <w:szCs w:val="24"/>
        </w:rPr>
        <w:t>要求</w:t>
      </w:r>
      <w:bookmarkEnd w:id="126"/>
      <w:bookmarkEnd w:id="127"/>
      <w:bookmarkEnd w:id="128"/>
      <w:bookmarkEnd w:id="129"/>
      <w:bookmarkEnd w:id="130"/>
      <w:bookmarkEnd w:id="131"/>
      <w:bookmarkEnd w:id="132"/>
    </w:p>
    <w:p w14:paraId="1558E577">
      <w:pPr>
        <w:pStyle w:val="124"/>
        <w:spacing w:before="0" w:after="0" w:line="400" w:lineRule="exact"/>
        <w:ind w:firstLine="482" w:firstLineChars="200"/>
        <w:jc w:val="both"/>
        <w:rPr>
          <w:rFonts w:ascii="宋体" w:hAnsi="宋体" w:eastAsia="宋体" w:cs="宋体"/>
          <w:b/>
          <w:szCs w:val="24"/>
        </w:rPr>
      </w:pPr>
      <w:bookmarkStart w:id="137" w:name="_Hlt74495594"/>
      <w:bookmarkEnd w:id="137"/>
      <w:bookmarkStart w:id="138" w:name="_Hlt74497202"/>
      <w:bookmarkEnd w:id="138"/>
      <w:bookmarkStart w:id="139" w:name="_Hlt78768224"/>
      <w:bookmarkEnd w:id="139"/>
      <w:bookmarkStart w:id="140" w:name="_Toc6054"/>
      <w:bookmarkStart w:id="141" w:name="_Toc15837"/>
      <w:bookmarkStart w:id="142" w:name="_Toc14140"/>
      <w:bookmarkStart w:id="143" w:name="_Toc6667"/>
      <w:bookmarkStart w:id="144" w:name="_Toc496133008"/>
      <w:bookmarkStart w:id="145" w:name="_Toc3825"/>
      <w:bookmarkStart w:id="146" w:name="_Toc29923"/>
      <w:bookmarkStart w:id="147" w:name="_Toc13558"/>
      <w:bookmarkStart w:id="148" w:name="_Toc5445"/>
      <w:r>
        <w:rPr>
          <w:rFonts w:hint="eastAsia" w:ascii="宋体" w:hAnsi="宋体" w:eastAsia="宋体" w:cs="宋体"/>
          <w:b/>
          <w:szCs w:val="24"/>
        </w:rPr>
        <w:t>10.1 一般要求</w:t>
      </w:r>
      <w:bookmarkEnd w:id="140"/>
      <w:bookmarkEnd w:id="141"/>
      <w:bookmarkEnd w:id="142"/>
      <w:bookmarkEnd w:id="143"/>
      <w:bookmarkEnd w:id="144"/>
      <w:bookmarkEnd w:id="145"/>
      <w:bookmarkEnd w:id="146"/>
      <w:bookmarkEnd w:id="147"/>
      <w:bookmarkEnd w:id="148"/>
    </w:p>
    <w:p w14:paraId="0E67B896">
      <w:pPr>
        <w:pStyle w:val="56"/>
        <w:spacing w:line="440" w:lineRule="exact"/>
        <w:ind w:firstLine="560"/>
        <w:rPr>
          <w:rFonts w:hAnsi="宋体" w:cs="宋体"/>
          <w:szCs w:val="24"/>
        </w:rPr>
      </w:pPr>
      <w:bookmarkStart w:id="149" w:name="_Toc274313880"/>
      <w:bookmarkStart w:id="150" w:name="_Toc4518"/>
      <w:bookmarkStart w:id="151" w:name="_Toc257031159"/>
      <w:bookmarkStart w:id="152" w:name="_Toc496133009"/>
      <w:bookmarkStart w:id="153" w:name="_Toc22855"/>
      <w:r>
        <w:rPr>
          <w:rFonts w:hint="eastAsia" w:hAnsi="宋体" w:cs="宋体"/>
          <w:szCs w:val="24"/>
        </w:rPr>
        <w:t>投标文件应按</w:t>
      </w:r>
      <w:r>
        <w:rPr>
          <w:rFonts w:hint="eastAsia" w:hAnsi="宋体" w:cs="宋体"/>
          <w:szCs w:val="24"/>
          <w:u w:val="single"/>
        </w:rPr>
        <w:t>第五章</w:t>
      </w:r>
      <w:r>
        <w:rPr>
          <w:rFonts w:hint="eastAsia" w:hAnsi="宋体" w:cs="宋体"/>
          <w:szCs w:val="24"/>
        </w:rPr>
        <w:t>投标文件格式规定的内容</w:t>
      </w:r>
      <w:r>
        <w:rPr>
          <w:rFonts w:hint="eastAsia" w:hAnsi="宋体" w:cs="宋体"/>
          <w:szCs w:val="24"/>
          <w:lang w:eastAsia="zh-CN"/>
        </w:rPr>
        <w:t>编制，</w:t>
      </w:r>
      <w:r>
        <w:rPr>
          <w:rFonts w:hint="eastAsia" w:hAnsi="宋体" w:cs="宋体"/>
          <w:szCs w:val="24"/>
        </w:rPr>
        <w:t>投标人提交的投标文件应当使用招标文件所提供的投标文件全部格式。投标文件包括</w:t>
      </w:r>
      <w:r>
        <w:rPr>
          <w:rFonts w:hint="eastAsia" w:hAnsi="宋体" w:cs="宋体"/>
          <w:b/>
          <w:bCs/>
          <w:szCs w:val="24"/>
        </w:rPr>
        <w:t>商务经济标书、技术标书、定标文件三</w:t>
      </w:r>
      <w:r>
        <w:rPr>
          <w:rFonts w:hint="eastAsia" w:hAnsi="宋体" w:cs="宋体"/>
          <w:szCs w:val="24"/>
        </w:rPr>
        <w:t>个分册。</w:t>
      </w:r>
    </w:p>
    <w:p w14:paraId="3C21085E">
      <w:pPr>
        <w:pStyle w:val="56"/>
        <w:spacing w:line="440" w:lineRule="exact"/>
        <w:ind w:firstLine="560"/>
        <w:rPr>
          <w:rFonts w:hAnsi="宋体" w:cs="宋体"/>
          <w:szCs w:val="24"/>
        </w:rPr>
      </w:pPr>
      <w:r>
        <w:rPr>
          <w:rFonts w:hint="eastAsia" w:hAnsi="宋体" w:cs="宋体"/>
          <w:szCs w:val="24"/>
        </w:rPr>
        <w:t>10.1.1 投标人必须响应招标文件，并在充分理解招标文件的基础上编制投标文件。因投标文件不符合招标文件的要求而造成的损失和后果，由投标人自行承担。</w:t>
      </w:r>
    </w:p>
    <w:p w14:paraId="5A4AC8A0">
      <w:pPr>
        <w:pStyle w:val="56"/>
        <w:spacing w:line="440" w:lineRule="exact"/>
        <w:ind w:firstLine="560"/>
        <w:rPr>
          <w:rFonts w:hAnsi="宋体" w:cs="宋体"/>
          <w:szCs w:val="24"/>
        </w:rPr>
      </w:pPr>
      <w:r>
        <w:rPr>
          <w:rFonts w:hint="eastAsia" w:hAnsi="宋体" w:cs="宋体"/>
          <w:szCs w:val="24"/>
        </w:rPr>
        <w:t>10.1.2 投标文件全部采用电子文档，投标文件所附证书证件均为原件扫描件，并采用单位数字证书，按招标文件要求在相应位置加盖电子印章。投标文件中需个人签字或盖章的，应加盖个人电子印章或在线下完成</w:t>
      </w:r>
      <w:r>
        <w:rPr>
          <w:rFonts w:hint="eastAsia" w:hAnsi="宋体" w:cs="宋体"/>
          <w:szCs w:val="24"/>
          <w:lang w:eastAsia="zh-CN"/>
        </w:rPr>
        <w:t>签字、盖章后</w:t>
      </w:r>
      <w:r>
        <w:rPr>
          <w:rFonts w:hint="eastAsia" w:hAnsi="宋体" w:cs="宋体"/>
          <w:szCs w:val="24"/>
        </w:rPr>
        <w:t>扫描上传。具体操作投标人可登录全国公共资源交易平台（广东省·韶关市）（https://ygp.gdzwfw.gov.cn/ggzy-portal/#/440200/index），在【服务指南】栏目中下载《韶关市公共资源建设工程交易系统-投标人操作指南》。</w:t>
      </w:r>
    </w:p>
    <w:p w14:paraId="01FF9119">
      <w:pPr>
        <w:pStyle w:val="56"/>
        <w:spacing w:line="440" w:lineRule="exact"/>
        <w:ind w:firstLine="560"/>
        <w:rPr>
          <w:rFonts w:hAnsi="宋体" w:cs="宋体"/>
          <w:szCs w:val="24"/>
        </w:rPr>
      </w:pPr>
      <w:r>
        <w:rPr>
          <w:rFonts w:hint="eastAsia" w:hAnsi="宋体" w:cs="宋体"/>
          <w:szCs w:val="24"/>
        </w:rPr>
        <w:t>10.1.3 投标文件需按以下要求签字、盖章：</w:t>
      </w:r>
    </w:p>
    <w:p w14:paraId="446E1FEF">
      <w:pPr>
        <w:pStyle w:val="188"/>
        <w:spacing w:line="440" w:lineRule="exact"/>
        <w:ind w:firstLine="561" w:firstLineChars="0"/>
        <w:rPr>
          <w:rFonts w:hAnsi="宋体" w:cs="宋体"/>
          <w:b/>
          <w:bCs/>
          <w:szCs w:val="24"/>
        </w:rPr>
      </w:pPr>
      <w:r>
        <w:rPr>
          <w:rFonts w:hint="eastAsia" w:hAnsi="宋体" w:cs="宋体"/>
          <w:b/>
          <w:bCs/>
          <w:szCs w:val="24"/>
        </w:rPr>
        <w:t>电子投标文件：</w:t>
      </w:r>
    </w:p>
    <w:p w14:paraId="4FCBE1FA">
      <w:pPr>
        <w:pStyle w:val="188"/>
        <w:spacing w:line="440" w:lineRule="exact"/>
        <w:ind w:firstLine="561" w:firstLineChars="0"/>
        <w:rPr>
          <w:rFonts w:hAnsi="宋体" w:cs="宋体"/>
          <w:szCs w:val="24"/>
        </w:rPr>
      </w:pPr>
      <w:r>
        <w:rPr>
          <w:rFonts w:hint="eastAsia" w:hAnsi="宋体" w:cs="宋体"/>
          <w:szCs w:val="24"/>
        </w:rPr>
        <w:t>10.1.3.1 投标文件封面、组成内容中凡注明“签字”处由要求的人员签字或电子签章；凡注明“签字或盖章”处由要求的人员签字或</w:t>
      </w:r>
      <w:r>
        <w:rPr>
          <w:rFonts w:hint="eastAsia" w:hAnsi="宋体" w:cs="宋体"/>
          <w:szCs w:val="24"/>
          <w:lang w:eastAsia="zh-CN"/>
        </w:rPr>
        <w:t>加盖</w:t>
      </w:r>
      <w:r>
        <w:rPr>
          <w:rFonts w:hint="eastAsia" w:hAnsi="宋体" w:cs="宋体"/>
          <w:szCs w:val="24"/>
        </w:rPr>
        <w:t>其私章（电子印章）；凡注明“签字并盖执业印章”处由要求的人员签字并盖其执业印章。</w:t>
      </w:r>
    </w:p>
    <w:p w14:paraId="5BA90F9B">
      <w:pPr>
        <w:pStyle w:val="188"/>
        <w:spacing w:line="440" w:lineRule="exact"/>
        <w:ind w:firstLine="561" w:firstLineChars="0"/>
        <w:rPr>
          <w:rFonts w:hAnsi="宋体" w:cs="宋体"/>
          <w:szCs w:val="24"/>
        </w:rPr>
      </w:pPr>
      <w:r>
        <w:rPr>
          <w:rFonts w:hint="eastAsia" w:hAnsi="宋体" w:cs="宋体"/>
          <w:szCs w:val="24"/>
        </w:rPr>
        <w:t>10.1.3.2 投标文件封套、封面、组成内容中凡要求录入投标人名称且注明“盖单位章”处盖单位法人公章（电子印章）。</w:t>
      </w:r>
    </w:p>
    <w:p w14:paraId="7FC89AB3">
      <w:pPr>
        <w:pStyle w:val="188"/>
        <w:spacing w:line="440" w:lineRule="exact"/>
        <w:ind w:firstLine="561" w:firstLineChars="0"/>
        <w:rPr>
          <w:rFonts w:hAnsi="宋体" w:cs="宋体"/>
          <w:szCs w:val="24"/>
        </w:rPr>
      </w:pPr>
      <w:r>
        <w:rPr>
          <w:rFonts w:hint="eastAsia" w:hAnsi="宋体" w:cs="宋体"/>
          <w:szCs w:val="24"/>
        </w:rPr>
        <w:t>10.1.3.3 投标文件的签字均为签字人本人亲笔署名或签章（电子印章），其余部分的复印件无须另行签字、盖章。</w:t>
      </w:r>
    </w:p>
    <w:p w14:paraId="4DE3CCB9">
      <w:pPr>
        <w:pStyle w:val="188"/>
        <w:spacing w:line="440" w:lineRule="exact"/>
        <w:ind w:firstLine="561" w:firstLineChars="0"/>
        <w:rPr>
          <w:rFonts w:hAnsi="宋体" w:cs="宋体"/>
          <w:szCs w:val="24"/>
        </w:rPr>
      </w:pPr>
      <w:r>
        <w:rPr>
          <w:rFonts w:hint="eastAsia" w:hAnsi="宋体" w:cs="宋体"/>
          <w:szCs w:val="24"/>
        </w:rPr>
        <w:t>10.1.3.4 联合体投标的，除《联合体协议书》外，由联合体牵头人按以上要求签字（电子印章）、盖章（电子印章）即可。</w:t>
      </w:r>
    </w:p>
    <w:p w14:paraId="3731AD40">
      <w:pPr>
        <w:pStyle w:val="124"/>
        <w:spacing w:before="0" w:after="0" w:line="400" w:lineRule="exact"/>
        <w:ind w:firstLine="482" w:firstLineChars="200"/>
        <w:jc w:val="both"/>
        <w:rPr>
          <w:rFonts w:ascii="宋体" w:hAnsi="宋体" w:eastAsia="宋体" w:cs="宋体"/>
          <w:b/>
          <w:szCs w:val="24"/>
        </w:rPr>
      </w:pPr>
      <w:bookmarkStart w:id="154" w:name="_Toc12173"/>
      <w:bookmarkStart w:id="155" w:name="_Toc20932"/>
      <w:bookmarkStart w:id="156" w:name="_Toc3511"/>
      <w:bookmarkStart w:id="157" w:name="_Toc8596"/>
      <w:bookmarkStart w:id="158" w:name="_Toc2035"/>
      <w:bookmarkStart w:id="159" w:name="_Toc2586"/>
      <w:r>
        <w:rPr>
          <w:rFonts w:hint="eastAsia" w:ascii="宋体" w:hAnsi="宋体" w:eastAsia="宋体" w:cs="宋体"/>
          <w:b/>
          <w:szCs w:val="24"/>
        </w:rPr>
        <w:t>10.2 商务经济标书的编制要求</w:t>
      </w:r>
      <w:bookmarkEnd w:id="149"/>
      <w:bookmarkEnd w:id="150"/>
      <w:bookmarkEnd w:id="151"/>
      <w:bookmarkEnd w:id="152"/>
      <w:bookmarkEnd w:id="153"/>
      <w:bookmarkEnd w:id="154"/>
      <w:bookmarkEnd w:id="155"/>
      <w:bookmarkEnd w:id="156"/>
      <w:bookmarkEnd w:id="157"/>
      <w:bookmarkEnd w:id="158"/>
      <w:bookmarkEnd w:id="159"/>
    </w:p>
    <w:p w14:paraId="07D03424">
      <w:pPr>
        <w:pStyle w:val="56"/>
        <w:spacing w:line="400" w:lineRule="exact"/>
        <w:ind w:firstLine="561"/>
        <w:rPr>
          <w:rFonts w:hAnsi="宋体" w:cs="宋体"/>
          <w:szCs w:val="24"/>
          <w:u w:val="single"/>
        </w:rPr>
      </w:pPr>
      <w:r>
        <w:rPr>
          <w:rFonts w:hint="eastAsia" w:hAnsi="宋体" w:cs="宋体"/>
          <w:szCs w:val="24"/>
        </w:rPr>
        <w:t>10.2.1 商务经济标书包括但不限于以下内容：</w:t>
      </w:r>
    </w:p>
    <w:p w14:paraId="596CEBEB">
      <w:pPr>
        <w:pStyle w:val="56"/>
        <w:spacing w:line="400" w:lineRule="exact"/>
        <w:ind w:firstLine="480" w:firstLineChars="200"/>
        <w:rPr>
          <w:rFonts w:hAnsi="宋体" w:cs="宋体"/>
          <w:szCs w:val="24"/>
        </w:rPr>
      </w:pPr>
      <w:r>
        <w:rPr>
          <w:rFonts w:hint="eastAsia" w:hAnsi="宋体" w:cs="宋体"/>
          <w:szCs w:val="24"/>
        </w:rPr>
        <w:t>（1）封面（格式一）；</w:t>
      </w:r>
    </w:p>
    <w:p w14:paraId="42A381F8">
      <w:pPr>
        <w:pStyle w:val="56"/>
        <w:spacing w:line="400" w:lineRule="exact"/>
        <w:ind w:firstLine="480" w:firstLineChars="200"/>
        <w:rPr>
          <w:rFonts w:hAnsi="宋体" w:cs="宋体"/>
          <w:szCs w:val="24"/>
        </w:rPr>
      </w:pPr>
      <w:r>
        <w:rPr>
          <w:rFonts w:hint="eastAsia" w:hAnsi="宋体" w:cs="宋体"/>
          <w:szCs w:val="24"/>
        </w:rPr>
        <w:t>（2）目录；</w:t>
      </w:r>
    </w:p>
    <w:p w14:paraId="15BDDAA4">
      <w:pPr>
        <w:pStyle w:val="56"/>
        <w:spacing w:line="400" w:lineRule="exact"/>
        <w:ind w:firstLine="480" w:firstLineChars="200"/>
        <w:rPr>
          <w:rFonts w:hAnsi="宋体" w:cs="宋体"/>
          <w:szCs w:val="24"/>
        </w:rPr>
      </w:pPr>
      <w:r>
        <w:rPr>
          <w:rFonts w:hint="eastAsia" w:hAnsi="宋体" w:cs="宋体"/>
          <w:szCs w:val="24"/>
        </w:rPr>
        <w:t>（3）《投标函》（格式二）；</w:t>
      </w:r>
    </w:p>
    <w:p w14:paraId="2F798D5C">
      <w:pPr>
        <w:pStyle w:val="56"/>
        <w:spacing w:line="400" w:lineRule="exact"/>
        <w:ind w:firstLine="480" w:firstLineChars="200"/>
        <w:rPr>
          <w:rFonts w:hAnsi="宋体" w:cs="宋体"/>
          <w:szCs w:val="24"/>
        </w:rPr>
      </w:pPr>
      <w:r>
        <w:rPr>
          <w:rFonts w:hint="eastAsia" w:hAnsi="宋体" w:cs="宋体"/>
          <w:szCs w:val="24"/>
        </w:rPr>
        <w:t>（4）《工程项目报价表》（格式三）；</w:t>
      </w:r>
    </w:p>
    <w:p w14:paraId="6530DCB5">
      <w:pPr>
        <w:pStyle w:val="56"/>
        <w:spacing w:line="400" w:lineRule="exact"/>
        <w:ind w:firstLine="480" w:firstLineChars="200"/>
        <w:rPr>
          <w:rFonts w:hAnsi="宋体" w:cs="宋体"/>
          <w:szCs w:val="24"/>
        </w:rPr>
      </w:pPr>
      <w:r>
        <w:rPr>
          <w:rFonts w:hint="eastAsia" w:hAnsi="宋体" w:cs="宋体"/>
          <w:szCs w:val="24"/>
        </w:rPr>
        <w:t>（5）《各项承诺一览表》（格式四）；</w:t>
      </w:r>
    </w:p>
    <w:p w14:paraId="1E90073D">
      <w:pPr>
        <w:pStyle w:val="56"/>
        <w:spacing w:line="400" w:lineRule="exact"/>
        <w:ind w:firstLine="480" w:firstLineChars="200"/>
        <w:rPr>
          <w:rFonts w:hAnsi="宋体" w:cs="宋体"/>
          <w:szCs w:val="24"/>
        </w:rPr>
      </w:pPr>
      <w:r>
        <w:rPr>
          <w:rFonts w:hint="eastAsia" w:hAnsi="宋体" w:cs="宋体"/>
          <w:szCs w:val="24"/>
        </w:rPr>
        <w:t>（6）《法定代表人身份证明》（格式八）；</w:t>
      </w:r>
    </w:p>
    <w:p w14:paraId="16726FD3">
      <w:pPr>
        <w:pStyle w:val="56"/>
        <w:spacing w:line="400" w:lineRule="exact"/>
        <w:ind w:firstLine="480" w:firstLineChars="200"/>
        <w:rPr>
          <w:rFonts w:hAnsi="宋体" w:cs="宋体"/>
          <w:szCs w:val="24"/>
        </w:rPr>
      </w:pPr>
      <w:r>
        <w:rPr>
          <w:rFonts w:hint="eastAsia" w:hAnsi="宋体" w:cs="宋体"/>
          <w:szCs w:val="24"/>
        </w:rPr>
        <w:t>（7）《法定代表人授权委托书》（格式九）；</w:t>
      </w:r>
    </w:p>
    <w:p w14:paraId="3F38C220">
      <w:pPr>
        <w:pStyle w:val="56"/>
        <w:spacing w:line="400" w:lineRule="exact"/>
        <w:ind w:firstLine="480" w:firstLineChars="200"/>
        <w:rPr>
          <w:rFonts w:hAnsi="宋体" w:cs="宋体"/>
          <w:szCs w:val="24"/>
        </w:rPr>
      </w:pPr>
      <w:r>
        <w:rPr>
          <w:rFonts w:hint="eastAsia" w:hAnsi="宋体" w:cs="宋体"/>
          <w:szCs w:val="24"/>
        </w:rPr>
        <w:t>（8）投标保</w:t>
      </w:r>
      <w:r>
        <w:rPr>
          <w:rFonts w:hint="eastAsia" w:hAnsi="宋体" w:cs="宋体"/>
          <w:szCs w:val="24"/>
          <w:lang w:eastAsia="zh-CN"/>
        </w:rPr>
        <w:t>证金</w:t>
      </w:r>
      <w:r>
        <w:rPr>
          <w:rFonts w:hint="eastAsia" w:hAnsi="宋体" w:cs="宋体"/>
          <w:szCs w:val="24"/>
        </w:rPr>
        <w:t>缴纳证明（投标人采用投标保证金的，附建设工程交易系统《缴纳投标保证金通知书》页面截图或银行转账单扫描件；采用投标保证担保的，附银行保函扫描件；采用投标保证保险的，附电子保单页面截图或扫描件）。</w:t>
      </w:r>
    </w:p>
    <w:p w14:paraId="7F7C229C">
      <w:pPr>
        <w:pStyle w:val="56"/>
        <w:spacing w:line="400" w:lineRule="exact"/>
        <w:ind w:firstLine="480" w:firstLineChars="200"/>
        <w:rPr>
          <w:rFonts w:hAnsi="宋体" w:cs="宋体"/>
          <w:szCs w:val="24"/>
        </w:rPr>
      </w:pPr>
      <w:r>
        <w:rPr>
          <w:rFonts w:hint="eastAsia" w:hAnsi="宋体" w:cs="宋体"/>
          <w:szCs w:val="24"/>
        </w:rPr>
        <w:t>（9）《联合体协议书》（格式十）；</w:t>
      </w:r>
    </w:p>
    <w:p w14:paraId="5848A478">
      <w:pPr>
        <w:pStyle w:val="56"/>
        <w:spacing w:line="400" w:lineRule="exact"/>
        <w:ind w:firstLine="480" w:firstLineChars="200"/>
        <w:rPr>
          <w:rFonts w:hAnsi="宋体" w:cs="宋体"/>
          <w:szCs w:val="24"/>
        </w:rPr>
      </w:pPr>
      <w:r>
        <w:rPr>
          <w:rFonts w:hint="eastAsia" w:hAnsi="宋体" w:cs="宋体"/>
          <w:szCs w:val="24"/>
        </w:rPr>
        <w:t>（10）《投标人基本情况表》（格式五）及所附资料；</w:t>
      </w:r>
    </w:p>
    <w:p w14:paraId="75DA7BB6">
      <w:pPr>
        <w:pStyle w:val="56"/>
        <w:spacing w:line="400" w:lineRule="exact"/>
        <w:ind w:firstLine="480" w:firstLineChars="200"/>
        <w:rPr>
          <w:rFonts w:hAnsi="宋体" w:cs="宋体"/>
          <w:szCs w:val="24"/>
        </w:rPr>
      </w:pPr>
      <w:r>
        <w:rPr>
          <w:rFonts w:hint="eastAsia" w:hAnsi="宋体" w:cs="宋体"/>
          <w:szCs w:val="24"/>
        </w:rPr>
        <w:t>（11）《项目设计负责人简历表》（格式六）及所附资料；</w:t>
      </w:r>
    </w:p>
    <w:p w14:paraId="59C8F970">
      <w:pPr>
        <w:pStyle w:val="56"/>
        <w:spacing w:line="400" w:lineRule="exact"/>
        <w:ind w:firstLine="480" w:firstLineChars="200"/>
        <w:rPr>
          <w:rFonts w:hAnsi="宋体" w:cs="宋体"/>
          <w:szCs w:val="24"/>
        </w:rPr>
      </w:pPr>
      <w:r>
        <w:rPr>
          <w:rFonts w:hint="eastAsia" w:hAnsi="宋体" w:cs="宋体"/>
          <w:szCs w:val="24"/>
        </w:rPr>
        <w:t>（12）《本项目拟投入的人员基本情况表》（格式七）及所附资料；</w:t>
      </w:r>
    </w:p>
    <w:p w14:paraId="0E16355A">
      <w:pPr>
        <w:pStyle w:val="56"/>
        <w:spacing w:line="400" w:lineRule="exact"/>
        <w:ind w:firstLine="480" w:firstLineChars="200"/>
        <w:rPr>
          <w:rFonts w:hAnsi="宋体" w:cs="宋体"/>
          <w:szCs w:val="24"/>
        </w:rPr>
      </w:pPr>
      <w:r>
        <w:rPr>
          <w:rFonts w:hint="eastAsia" w:hAnsi="宋体" w:cs="宋体"/>
          <w:szCs w:val="24"/>
        </w:rPr>
        <w:t>（13）详细评审阶段要求提供的评审资料（详见本节第16.5.1目）</w:t>
      </w:r>
      <w:r>
        <w:rPr>
          <w:rFonts w:hint="eastAsia" w:hAnsi="宋体" w:cs="宋体"/>
          <w:szCs w:val="24"/>
          <w:lang w:eastAsia="zh-CN"/>
        </w:rPr>
        <w:t>；</w:t>
      </w:r>
    </w:p>
    <w:p w14:paraId="0509743F">
      <w:pPr>
        <w:pStyle w:val="56"/>
        <w:spacing w:line="400" w:lineRule="exact"/>
        <w:ind w:firstLine="480" w:firstLineChars="200"/>
        <w:rPr>
          <w:rFonts w:hAnsi="宋体" w:cs="宋体"/>
          <w:szCs w:val="24"/>
        </w:rPr>
      </w:pPr>
      <w:r>
        <w:rPr>
          <w:rFonts w:hint="eastAsia" w:hAnsi="宋体" w:cs="宋体"/>
          <w:szCs w:val="24"/>
        </w:rPr>
        <w:t>（14）投标人认为有必要补充的其他资料（例如投标人已经工商变更，但其企业资质证书或其员工执业资格注册证书上的企业名称未能在投标期间完成变更的书面说明和佐证材料）。</w:t>
      </w:r>
    </w:p>
    <w:p w14:paraId="56BD515A">
      <w:pPr>
        <w:pStyle w:val="56"/>
        <w:spacing w:line="400" w:lineRule="exact"/>
        <w:ind w:firstLine="480" w:firstLineChars="200"/>
        <w:rPr>
          <w:rFonts w:hAnsi="宋体" w:cs="宋体"/>
          <w:szCs w:val="24"/>
        </w:rPr>
      </w:pPr>
      <w:r>
        <w:rPr>
          <w:rFonts w:hint="eastAsia" w:hAnsi="宋体" w:cs="宋体"/>
          <w:szCs w:val="24"/>
        </w:rPr>
        <w:t>10.2.2 本节第10.2.1目中所列出的商务经济标书组成内容中，第（1）至第（12）项所有投标人均应提供。但非联合体投标的，无需提供第（9）项内容。</w:t>
      </w:r>
    </w:p>
    <w:p w14:paraId="37E6D9F0">
      <w:pPr>
        <w:pStyle w:val="56"/>
        <w:spacing w:line="400" w:lineRule="exact"/>
        <w:ind w:firstLine="480" w:firstLineChars="200"/>
        <w:rPr>
          <w:rFonts w:hAnsi="宋体" w:cs="宋体"/>
          <w:szCs w:val="24"/>
        </w:rPr>
      </w:pPr>
      <w:r>
        <w:rPr>
          <w:rFonts w:hint="eastAsia" w:hAnsi="宋体" w:cs="宋体"/>
          <w:szCs w:val="24"/>
        </w:rPr>
        <w:t xml:space="preserve">10.2.3 </w:t>
      </w:r>
      <w:r>
        <w:rPr>
          <w:rFonts w:hint="eastAsia" w:hAnsi="宋体" w:cs="宋体"/>
          <w:snapToGrid w:val="0"/>
          <w:kern w:val="0"/>
          <w:szCs w:val="24"/>
        </w:rPr>
        <w:t>商务经济标书的组成内容按本节第</w:t>
      </w:r>
      <w:r>
        <w:rPr>
          <w:rFonts w:hint="eastAsia" w:hAnsi="宋体" w:cs="宋体"/>
          <w:b/>
          <w:bCs/>
          <w:snapToGrid w:val="0"/>
          <w:kern w:val="0"/>
          <w:szCs w:val="24"/>
        </w:rPr>
        <w:t>10.2.1</w:t>
      </w:r>
      <w:r>
        <w:rPr>
          <w:rFonts w:hint="eastAsia" w:hAnsi="宋体" w:cs="宋体"/>
          <w:snapToGrid w:val="0"/>
          <w:kern w:val="0"/>
          <w:szCs w:val="24"/>
        </w:rPr>
        <w:t>目规定的顺序整理、编排后，逐页（页码起始从封面开始）连续标记页码。</w:t>
      </w:r>
    </w:p>
    <w:p w14:paraId="2E43A9C6">
      <w:pPr>
        <w:pStyle w:val="56"/>
        <w:spacing w:line="400" w:lineRule="exact"/>
        <w:ind w:firstLine="480" w:firstLineChars="200"/>
        <w:rPr>
          <w:rFonts w:hAnsi="宋体" w:cs="宋体"/>
          <w:szCs w:val="24"/>
        </w:rPr>
      </w:pPr>
      <w:r>
        <w:rPr>
          <w:rFonts w:hint="eastAsia" w:hAnsi="宋体" w:cs="宋体"/>
          <w:szCs w:val="24"/>
        </w:rPr>
        <w:t>10.2.4</w:t>
      </w:r>
      <w:r>
        <w:rPr>
          <w:rFonts w:hint="eastAsia" w:hAnsi="宋体" w:cs="宋体"/>
          <w:szCs w:val="24"/>
          <w:lang w:eastAsia="zh-CN"/>
        </w:rPr>
        <w:t xml:space="preserve"> 报价</w:t>
      </w:r>
      <w:r>
        <w:rPr>
          <w:rFonts w:hint="eastAsia" w:hAnsi="宋体" w:cs="宋体"/>
          <w:szCs w:val="24"/>
        </w:rPr>
        <w:t>以人民币“元”为单位，并按“四舍五入”原则精确到两位小数。投标总价必须同时用大、小写表示，大、小写报价应保持一致，如不一致，以大写报价为准。</w:t>
      </w:r>
    </w:p>
    <w:p w14:paraId="74D4E5BF">
      <w:pPr>
        <w:pStyle w:val="191"/>
        <w:spacing w:before="0" w:after="0" w:line="400" w:lineRule="exact"/>
        <w:ind w:firstLine="482" w:firstLineChars="200"/>
        <w:jc w:val="both"/>
        <w:rPr>
          <w:rFonts w:hAnsi="宋体" w:cs="宋体"/>
          <w:b/>
          <w:szCs w:val="24"/>
        </w:rPr>
      </w:pPr>
      <w:bookmarkStart w:id="160" w:name="_Toc1238"/>
      <w:bookmarkStart w:id="161" w:name="_Toc26715"/>
      <w:bookmarkStart w:id="162" w:name="_Toc3440"/>
      <w:bookmarkStart w:id="163" w:name="_Toc496133010"/>
      <w:bookmarkStart w:id="164" w:name="_Toc29429"/>
      <w:bookmarkStart w:id="165" w:name="_Toc19410"/>
      <w:bookmarkStart w:id="166" w:name="_Toc466640590"/>
      <w:bookmarkStart w:id="167" w:name="_Toc477"/>
      <w:bookmarkStart w:id="168" w:name="_Toc16489"/>
      <w:bookmarkStart w:id="169" w:name="_Toc3622"/>
      <w:r>
        <w:rPr>
          <w:rFonts w:hint="eastAsia" w:hAnsi="宋体" w:cs="宋体"/>
          <w:b/>
          <w:szCs w:val="24"/>
        </w:rPr>
        <w:t>10.3 技术标书的编制要求</w:t>
      </w:r>
      <w:bookmarkEnd w:id="160"/>
      <w:bookmarkEnd w:id="161"/>
      <w:bookmarkEnd w:id="162"/>
      <w:bookmarkEnd w:id="163"/>
      <w:bookmarkEnd w:id="164"/>
      <w:bookmarkEnd w:id="165"/>
      <w:bookmarkEnd w:id="166"/>
      <w:bookmarkEnd w:id="167"/>
      <w:bookmarkEnd w:id="168"/>
      <w:bookmarkEnd w:id="169"/>
    </w:p>
    <w:p w14:paraId="267EC1E8">
      <w:pPr>
        <w:pStyle w:val="84"/>
        <w:spacing w:line="400" w:lineRule="exact"/>
        <w:rPr>
          <w:rFonts w:hAnsi="宋体" w:cs="宋体"/>
          <w:szCs w:val="24"/>
          <w:u w:val="single"/>
        </w:rPr>
      </w:pPr>
      <w:r>
        <w:rPr>
          <w:rFonts w:hint="eastAsia" w:hAnsi="宋体" w:cs="宋体"/>
          <w:szCs w:val="24"/>
        </w:rPr>
        <w:t xml:space="preserve">    10.3.1 技术标书包括但不限于以下内容：</w:t>
      </w:r>
    </w:p>
    <w:p w14:paraId="67E19BF3">
      <w:pPr>
        <w:pStyle w:val="84"/>
        <w:spacing w:line="400" w:lineRule="exact"/>
        <w:ind w:firstLine="420" w:firstLineChars="175"/>
        <w:rPr>
          <w:rFonts w:hAnsi="宋体" w:cs="宋体"/>
          <w:szCs w:val="24"/>
        </w:rPr>
      </w:pPr>
      <w:r>
        <w:rPr>
          <w:rFonts w:hint="eastAsia" w:hAnsi="宋体" w:cs="宋体"/>
          <w:szCs w:val="24"/>
        </w:rPr>
        <w:t>（1）封面（格式一）；</w:t>
      </w:r>
    </w:p>
    <w:p w14:paraId="55289BBB">
      <w:pPr>
        <w:pStyle w:val="84"/>
        <w:spacing w:line="400" w:lineRule="exact"/>
        <w:ind w:firstLine="420" w:firstLineChars="175"/>
        <w:rPr>
          <w:rFonts w:hAnsi="宋体" w:cs="宋体"/>
          <w:szCs w:val="24"/>
        </w:rPr>
      </w:pPr>
      <w:r>
        <w:rPr>
          <w:rFonts w:hint="eastAsia" w:hAnsi="宋体" w:cs="宋体"/>
          <w:szCs w:val="24"/>
        </w:rPr>
        <w:t>（2）目录；</w:t>
      </w:r>
    </w:p>
    <w:p w14:paraId="11EB48B3">
      <w:pPr>
        <w:pStyle w:val="84"/>
        <w:spacing w:line="400" w:lineRule="exact"/>
        <w:ind w:firstLine="420" w:firstLineChars="175"/>
        <w:rPr>
          <w:rFonts w:hAnsi="宋体" w:cs="宋体"/>
          <w:color w:val="0000FF"/>
          <w:u w:val="single"/>
        </w:rPr>
      </w:pPr>
      <w:r>
        <w:rPr>
          <w:rFonts w:hint="eastAsia" w:hAnsi="宋体" w:cs="宋体"/>
          <w:szCs w:val="24"/>
        </w:rPr>
        <w:t>（3）投标人根据招标文件的评标方法认为需要补充的其他资料。</w:t>
      </w:r>
    </w:p>
    <w:p w14:paraId="0A50C6DC">
      <w:pPr>
        <w:pStyle w:val="84"/>
        <w:spacing w:line="400" w:lineRule="exact"/>
        <w:ind w:firstLine="420" w:firstLineChars="175"/>
        <w:rPr>
          <w:rFonts w:hAnsi="宋体" w:cs="宋体"/>
          <w:szCs w:val="24"/>
        </w:rPr>
      </w:pPr>
      <w:r>
        <w:rPr>
          <w:rFonts w:hint="eastAsia" w:hAnsi="宋体" w:cs="宋体"/>
          <w:szCs w:val="24"/>
        </w:rPr>
        <w:t>10.3.2 本节第10.3.1目中所列出的技术标书组成内容中，第（1）至第（3）项所有投标人均应提供。</w:t>
      </w:r>
    </w:p>
    <w:p w14:paraId="57E99281">
      <w:pPr>
        <w:pStyle w:val="84"/>
        <w:spacing w:line="400" w:lineRule="exact"/>
        <w:ind w:firstLine="420" w:firstLineChars="175"/>
        <w:rPr>
          <w:rFonts w:hAnsi="宋体" w:cs="宋体"/>
          <w:szCs w:val="24"/>
        </w:rPr>
      </w:pPr>
      <w:r>
        <w:rPr>
          <w:rFonts w:hint="eastAsia" w:hAnsi="宋体" w:cs="宋体"/>
          <w:szCs w:val="24"/>
        </w:rPr>
        <w:t>10.3.3</w:t>
      </w:r>
      <w:r>
        <w:rPr>
          <w:rFonts w:hint="eastAsia" w:hAnsi="宋体" w:cs="宋体"/>
          <w:szCs w:val="24"/>
          <w:lang w:eastAsia="zh-CN"/>
        </w:rPr>
        <w:t xml:space="preserve"> 技术</w:t>
      </w:r>
      <w:r>
        <w:rPr>
          <w:rFonts w:hint="eastAsia" w:hAnsi="宋体" w:cs="宋体"/>
          <w:szCs w:val="24"/>
        </w:rPr>
        <w:t>标书的组成内容按本节第10.3.1目规定的顺序整理、编排后，逐页（页码起始从封面开始）连续标记页码。</w:t>
      </w:r>
      <w:bookmarkStart w:id="170" w:name="_Toc31991"/>
      <w:bookmarkStart w:id="171" w:name="_Toc485111106"/>
      <w:bookmarkStart w:id="172" w:name="_Toc14893"/>
    </w:p>
    <w:p w14:paraId="36A63BA0">
      <w:pPr>
        <w:spacing w:line="400" w:lineRule="exact"/>
        <w:ind w:firstLine="482" w:firstLineChars="200"/>
        <w:rPr>
          <w:b/>
        </w:rPr>
      </w:pPr>
      <w:r>
        <w:rPr>
          <w:rFonts w:hint="eastAsia"/>
          <w:b/>
          <w:snapToGrid w:val="0"/>
        </w:rPr>
        <w:t>10.4</w:t>
      </w:r>
      <w:r>
        <w:rPr>
          <w:rFonts w:hint="eastAsia"/>
          <w:b/>
          <w:snapToGrid w:val="0"/>
          <w:lang w:eastAsia="zh-CN"/>
        </w:rPr>
        <w:t xml:space="preserve"> 定标</w:t>
      </w:r>
      <w:r>
        <w:rPr>
          <w:rFonts w:hint="eastAsia"/>
          <w:b/>
        </w:rPr>
        <w:t>文件的编制要求</w:t>
      </w:r>
    </w:p>
    <w:p w14:paraId="224A3E05">
      <w:pPr>
        <w:pStyle w:val="3"/>
        <w:wordWrap w:val="0"/>
        <w:autoSpaceDE/>
        <w:autoSpaceDN/>
        <w:snapToGrid w:val="0"/>
        <w:spacing w:line="440" w:lineRule="exact"/>
        <w:ind w:firstLine="480"/>
        <w:jc w:val="both"/>
        <w:rPr>
          <w:rFonts w:ascii="宋体" w:hAnsi="宋体"/>
          <w:bCs/>
          <w:snapToGrid w:val="0"/>
          <w:sz w:val="24"/>
        </w:rPr>
      </w:pPr>
      <w:r>
        <w:rPr>
          <w:rFonts w:hint="eastAsia" w:ascii="宋体" w:hAnsi="宋体"/>
          <w:bCs/>
          <w:snapToGrid w:val="0"/>
          <w:sz w:val="24"/>
        </w:rPr>
        <w:t>10.4.1 定标文件包括但不限于以下内容：</w:t>
      </w:r>
    </w:p>
    <w:p w14:paraId="153A17F1">
      <w:pPr>
        <w:pStyle w:val="3"/>
        <w:wordWrap w:val="0"/>
        <w:autoSpaceDE/>
        <w:autoSpaceDN/>
        <w:snapToGrid w:val="0"/>
        <w:spacing w:line="440" w:lineRule="exact"/>
        <w:ind w:firstLine="480"/>
        <w:jc w:val="both"/>
        <w:rPr>
          <w:rFonts w:ascii="宋体" w:hAnsi="宋体"/>
          <w:bCs/>
          <w:snapToGrid w:val="0"/>
          <w:sz w:val="24"/>
        </w:rPr>
      </w:pPr>
      <w:r>
        <w:rPr>
          <w:rFonts w:hint="eastAsia" w:ascii="宋体" w:hAnsi="宋体"/>
          <w:bCs/>
          <w:snapToGrid w:val="0"/>
          <w:sz w:val="24"/>
        </w:rPr>
        <w:t>（1）封面（格式一）；</w:t>
      </w:r>
    </w:p>
    <w:p w14:paraId="70B52F05">
      <w:pPr>
        <w:pStyle w:val="3"/>
        <w:wordWrap w:val="0"/>
        <w:autoSpaceDE/>
        <w:autoSpaceDN/>
        <w:snapToGrid w:val="0"/>
        <w:spacing w:line="440" w:lineRule="exact"/>
        <w:ind w:firstLine="480"/>
        <w:jc w:val="both"/>
        <w:rPr>
          <w:rFonts w:ascii="宋体" w:hAnsi="宋体"/>
          <w:bCs/>
          <w:snapToGrid w:val="0"/>
          <w:sz w:val="24"/>
        </w:rPr>
      </w:pPr>
      <w:r>
        <w:rPr>
          <w:rFonts w:hint="eastAsia" w:ascii="宋体" w:hAnsi="宋体"/>
          <w:bCs/>
          <w:snapToGrid w:val="0"/>
          <w:sz w:val="24"/>
        </w:rPr>
        <w:t>（2）目录；</w:t>
      </w:r>
    </w:p>
    <w:p w14:paraId="71D9D50A">
      <w:pPr>
        <w:pStyle w:val="3"/>
        <w:wordWrap w:val="0"/>
        <w:autoSpaceDE/>
        <w:autoSpaceDN/>
        <w:snapToGrid w:val="0"/>
        <w:spacing w:line="440" w:lineRule="exact"/>
        <w:ind w:firstLine="480"/>
        <w:jc w:val="both"/>
        <w:rPr>
          <w:rFonts w:ascii="宋体" w:hAnsi="宋体"/>
          <w:bCs/>
          <w:snapToGrid w:val="0"/>
          <w:sz w:val="24"/>
        </w:rPr>
      </w:pPr>
      <w:r>
        <w:rPr>
          <w:rFonts w:hint="eastAsia" w:ascii="宋体" w:hAnsi="宋体"/>
          <w:bCs/>
          <w:snapToGrid w:val="0"/>
          <w:sz w:val="24"/>
        </w:rPr>
        <w:t>（3）定标因素评审资料（格式十一）。</w:t>
      </w:r>
    </w:p>
    <w:p w14:paraId="4CCED4FF">
      <w:pPr>
        <w:pStyle w:val="55"/>
        <w:keepNext/>
        <w:keepLines/>
        <w:spacing w:line="440" w:lineRule="exact"/>
        <w:ind w:firstLine="480"/>
        <w:jc w:val="both"/>
        <w:outlineLvl w:val="9"/>
        <w:rPr>
          <w:rFonts w:ascii="宋体" w:hAnsi="宋体" w:cs="宋体"/>
          <w:b/>
          <w:kern w:val="2"/>
          <w:szCs w:val="24"/>
        </w:rPr>
      </w:pPr>
      <w:r>
        <w:rPr>
          <w:rFonts w:hint="eastAsia" w:ascii="宋体" w:hAnsi="宋体" w:cs="宋体"/>
          <w:b w:val="0"/>
          <w:bCs/>
          <w:snapToGrid w:val="0"/>
          <w:szCs w:val="24"/>
        </w:rPr>
        <w:t xml:space="preserve">10.4.2 </w:t>
      </w:r>
      <w:r>
        <w:rPr>
          <w:rFonts w:hint="eastAsia" w:ascii="宋体" w:hAnsi="宋体" w:cs="宋体"/>
          <w:bCs/>
          <w:snapToGrid w:val="0"/>
        </w:rPr>
        <w:t>本节第10.4.1目中所列出的组成内容中，第（1）</w:t>
      </w:r>
      <w:r>
        <w:rPr>
          <w:rFonts w:hint="eastAsia" w:ascii="宋体" w:hAnsi="宋体" w:cs="宋体"/>
          <w:szCs w:val="24"/>
        </w:rPr>
        <w:t>至第（2）</w:t>
      </w:r>
      <w:r>
        <w:rPr>
          <w:rFonts w:hint="eastAsia" w:ascii="宋体" w:hAnsi="宋体" w:cs="宋体"/>
          <w:bCs/>
          <w:snapToGrid w:val="0"/>
        </w:rPr>
        <w:t>项所有投标人均应提供。</w:t>
      </w:r>
    </w:p>
    <w:p w14:paraId="35CE17EC">
      <w:pPr>
        <w:pStyle w:val="55"/>
        <w:keepNext/>
        <w:keepLines/>
        <w:spacing w:line="440" w:lineRule="exact"/>
        <w:ind w:firstLine="480"/>
        <w:jc w:val="both"/>
        <w:rPr>
          <w:rFonts w:ascii="宋体" w:hAnsi="宋体" w:cs="宋体"/>
          <w:b/>
          <w:kern w:val="2"/>
          <w:szCs w:val="24"/>
        </w:rPr>
      </w:pPr>
      <w:bookmarkStart w:id="173" w:name="_Toc20421"/>
      <w:bookmarkStart w:id="174" w:name="_Toc32016"/>
      <w:bookmarkStart w:id="175" w:name="_Toc15560"/>
      <w:bookmarkStart w:id="176" w:name="_Toc27903"/>
      <w:bookmarkStart w:id="177" w:name="_Toc27086"/>
      <w:r>
        <w:rPr>
          <w:rFonts w:hint="eastAsia" w:ascii="宋体" w:hAnsi="宋体" w:cs="宋体"/>
          <w:b/>
          <w:kern w:val="2"/>
          <w:szCs w:val="24"/>
        </w:rPr>
        <w:t>11 投标文件的编制依据</w:t>
      </w:r>
      <w:bookmarkEnd w:id="170"/>
      <w:bookmarkEnd w:id="171"/>
      <w:bookmarkEnd w:id="172"/>
      <w:bookmarkEnd w:id="173"/>
      <w:bookmarkEnd w:id="174"/>
      <w:bookmarkEnd w:id="175"/>
      <w:bookmarkEnd w:id="176"/>
      <w:bookmarkEnd w:id="177"/>
    </w:p>
    <w:p w14:paraId="3E78980B">
      <w:pPr>
        <w:adjustRightInd w:val="0"/>
        <w:snapToGrid w:val="0"/>
        <w:spacing w:line="440" w:lineRule="exact"/>
        <w:ind w:firstLine="420" w:firstLineChars="175"/>
      </w:pPr>
      <w:r>
        <w:rPr>
          <w:rFonts w:hint="eastAsia"/>
        </w:rPr>
        <w:t>11.1</w:t>
      </w:r>
      <w:r>
        <w:rPr>
          <w:rFonts w:hint="eastAsia"/>
          <w:color w:val="auto"/>
        </w:rPr>
        <w:t>招标</w:t>
      </w:r>
      <w:r>
        <w:rPr>
          <w:rFonts w:hint="eastAsia"/>
          <w:color w:val="auto"/>
          <w:lang w:eastAsia="zh-CN"/>
        </w:rPr>
        <w:t>人</w:t>
      </w:r>
      <w:r>
        <w:rPr>
          <w:rFonts w:hint="eastAsia"/>
          <w:color w:val="auto"/>
        </w:rPr>
        <w:t>提供的</w:t>
      </w:r>
      <w:r>
        <w:rPr>
          <w:rFonts w:hint="eastAsia"/>
          <w:color w:val="auto"/>
          <w:lang w:eastAsia="zh-CN"/>
        </w:rPr>
        <w:t>基础</w:t>
      </w:r>
      <w:r>
        <w:rPr>
          <w:rFonts w:hint="eastAsia"/>
          <w:color w:val="auto"/>
        </w:rPr>
        <w:t>文件等资料</w:t>
      </w:r>
      <w:r>
        <w:rPr>
          <w:rFonts w:hint="eastAsia"/>
        </w:rPr>
        <w:t>；</w:t>
      </w:r>
    </w:p>
    <w:p w14:paraId="336DB9A2">
      <w:pPr>
        <w:adjustRightInd w:val="0"/>
        <w:snapToGrid w:val="0"/>
        <w:spacing w:line="440" w:lineRule="exact"/>
        <w:ind w:firstLine="420" w:firstLineChars="175"/>
      </w:pPr>
      <w:r>
        <w:rPr>
          <w:rFonts w:hint="eastAsia"/>
        </w:rPr>
        <w:t>11.2本招标文件；</w:t>
      </w:r>
    </w:p>
    <w:p w14:paraId="13775B50">
      <w:pPr>
        <w:adjustRightInd w:val="0"/>
        <w:snapToGrid w:val="0"/>
        <w:spacing w:line="440" w:lineRule="exact"/>
        <w:ind w:firstLine="420" w:firstLineChars="175"/>
        <w:rPr>
          <w:highlight w:val="none"/>
        </w:rPr>
      </w:pPr>
      <w:r>
        <w:rPr>
          <w:rFonts w:hint="eastAsia"/>
          <w:highlight w:val="none"/>
        </w:rPr>
        <w:t>11.3国家及地方现行有效的有关设计规范、标准、规定等。</w:t>
      </w:r>
    </w:p>
    <w:p w14:paraId="64F6CF45">
      <w:pPr>
        <w:pStyle w:val="55"/>
        <w:keepNext/>
        <w:keepLines/>
        <w:spacing w:line="440" w:lineRule="exact"/>
        <w:ind w:firstLine="480"/>
        <w:jc w:val="both"/>
        <w:rPr>
          <w:rFonts w:ascii="宋体" w:hAnsi="宋体" w:cs="宋体"/>
          <w:b/>
          <w:kern w:val="2"/>
          <w:szCs w:val="24"/>
        </w:rPr>
      </w:pPr>
      <w:bookmarkStart w:id="178" w:name="_Toc12971"/>
      <w:bookmarkStart w:id="179" w:name="_Toc11515"/>
      <w:bookmarkStart w:id="180" w:name="_Toc8409"/>
      <w:bookmarkStart w:id="181" w:name="_Toc9765"/>
      <w:bookmarkStart w:id="182" w:name="_Toc26268"/>
      <w:bookmarkStart w:id="183" w:name="_Toc3510"/>
      <w:bookmarkStart w:id="184" w:name="_Toc27343"/>
      <w:bookmarkStart w:id="185" w:name="_Toc1515"/>
      <w:bookmarkStart w:id="186" w:name="_Toc104711075"/>
      <w:bookmarkStart w:id="187" w:name="_Toc106418820"/>
      <w:bookmarkStart w:id="188" w:name="_Toc31438"/>
      <w:r>
        <w:rPr>
          <w:rFonts w:hint="eastAsia" w:ascii="宋体" w:hAnsi="宋体" w:cs="宋体"/>
          <w:b/>
          <w:kern w:val="2"/>
          <w:szCs w:val="24"/>
        </w:rPr>
        <w:t xml:space="preserve">12 </w:t>
      </w:r>
      <w:bookmarkEnd w:id="178"/>
      <w:bookmarkStart w:id="189" w:name="_Hlt88627590"/>
      <w:bookmarkEnd w:id="189"/>
      <w:r>
        <w:rPr>
          <w:rFonts w:hint="eastAsia" w:ascii="宋体" w:hAnsi="宋体" w:cs="宋体"/>
          <w:b/>
          <w:kern w:val="2"/>
          <w:szCs w:val="24"/>
        </w:rPr>
        <w:t>电子投标</w:t>
      </w:r>
      <w:bookmarkEnd w:id="179"/>
      <w:bookmarkEnd w:id="180"/>
      <w:bookmarkEnd w:id="181"/>
      <w:bookmarkEnd w:id="182"/>
      <w:bookmarkEnd w:id="183"/>
      <w:bookmarkEnd w:id="184"/>
      <w:bookmarkEnd w:id="185"/>
    </w:p>
    <w:p w14:paraId="6B7A87A5">
      <w:pPr>
        <w:wordWrap w:val="0"/>
        <w:adjustRightInd w:val="0"/>
        <w:snapToGrid w:val="0"/>
        <w:spacing w:line="420" w:lineRule="exact"/>
        <w:ind w:firstLine="480" w:firstLineChars="200"/>
        <w:rPr>
          <w:bCs/>
          <w:snapToGrid w:val="0"/>
        </w:rPr>
      </w:pPr>
      <w:r>
        <w:rPr>
          <w:rFonts w:hint="eastAsia"/>
          <w:bCs/>
          <w:snapToGrid w:val="0"/>
        </w:rPr>
        <w:t>12.1在建设工程交易系统上传加盖了电子印章的投标文件</w:t>
      </w:r>
      <w:r>
        <w:rPr>
          <w:rFonts w:hint="eastAsia"/>
          <w:bCs/>
          <w:snapToGrid w:val="0"/>
          <w:lang w:eastAsia="zh-CN"/>
        </w:rPr>
        <w:t>，</w:t>
      </w:r>
      <w:r>
        <w:rPr>
          <w:rFonts w:hint="eastAsia"/>
          <w:bCs/>
          <w:snapToGrid w:val="0"/>
        </w:rPr>
        <w:t>录入相关信息及标书页码信息（页码起始从封面开始）</w:t>
      </w:r>
      <w:r>
        <w:rPr>
          <w:rFonts w:hint="eastAsia"/>
          <w:bCs/>
          <w:snapToGrid w:val="0"/>
          <w:lang w:eastAsia="zh-CN"/>
        </w:rPr>
        <w:t>，并</w:t>
      </w:r>
      <w:r>
        <w:rPr>
          <w:rFonts w:hint="eastAsia"/>
          <w:bCs/>
          <w:snapToGrid w:val="0"/>
        </w:rPr>
        <w:t>提交投标标书。提交标书为已加密投标文件。具体操作投标人可登录全国公共资源交易平台（广东省·韶关市）（https://ygp.gdzwfw.gov.cn/ggzy-portal/#/440200/index），在【服务指南】栏目中下载《韶关市公共资源建设工程交易系统-投标人操作指南》。本项目评标采用全流程电子化进行招标投标（投标人应根据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由于投标人原因导致未按投标截止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56B2AF43">
      <w:pPr>
        <w:pStyle w:val="195"/>
        <w:spacing w:line="400" w:lineRule="exact"/>
        <w:ind w:firstLine="480" w:firstLineChars="200"/>
        <w:textAlignment w:val="baseline"/>
        <w:rPr>
          <w:bCs/>
          <w:snapToGrid w:val="0"/>
        </w:rPr>
      </w:pPr>
      <w:bookmarkStart w:id="190" w:name="_Hlt127590288"/>
      <w:bookmarkEnd w:id="190"/>
      <w:r>
        <w:rPr>
          <w:rFonts w:hint="eastAsia"/>
          <w:bCs/>
          <w:snapToGrid w:val="0"/>
        </w:rPr>
        <w:t>12.2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1FFA93F4">
      <w:pPr>
        <w:pStyle w:val="56"/>
        <w:spacing w:line="400" w:lineRule="exact"/>
        <w:ind w:firstLine="480" w:firstLineChars="200"/>
        <w:rPr>
          <w:rFonts w:hAnsi="宋体" w:cs="宋体"/>
          <w:snapToGrid w:val="0"/>
          <w:kern w:val="0"/>
          <w:szCs w:val="24"/>
        </w:rPr>
      </w:pPr>
      <w:r>
        <w:rPr>
          <w:rFonts w:hint="eastAsia" w:hAnsi="宋体" w:cs="宋体"/>
          <w:bCs/>
          <w:snapToGrid w:val="0"/>
          <w:kern w:val="0"/>
          <w:szCs w:val="24"/>
        </w:rPr>
        <w:t>12.3</w:t>
      </w:r>
      <w:r>
        <w:rPr>
          <w:rFonts w:hint="eastAsia" w:hAnsi="宋体" w:cs="宋体"/>
          <w:szCs w:val="24"/>
        </w:rPr>
        <w:t>投标人必须在规定的截止时间前使用交易系统完成缴纳投标保</w:t>
      </w:r>
      <w:r>
        <w:rPr>
          <w:rFonts w:hint="eastAsia" w:hAnsi="宋体" w:cs="宋体"/>
          <w:szCs w:val="24"/>
          <w:lang w:eastAsia="zh-CN"/>
        </w:rPr>
        <w:t>证金</w:t>
      </w:r>
      <w:r>
        <w:rPr>
          <w:rFonts w:hint="eastAsia" w:hAnsi="宋体" w:cs="宋体"/>
          <w:szCs w:val="24"/>
        </w:rPr>
        <w:t>和全流程电子投标，只有满足以上所有条件，方为有效投标。</w:t>
      </w:r>
      <w:r>
        <w:rPr>
          <w:rFonts w:hint="eastAsia" w:hAnsi="宋体" w:cs="宋体"/>
          <w:snapToGrid w:val="0"/>
          <w:kern w:val="0"/>
          <w:szCs w:val="24"/>
        </w:rPr>
        <w:t>在投标文件提交截止时</w:t>
      </w:r>
      <w:r>
        <w:rPr>
          <w:rFonts w:hint="eastAsia" w:hAnsi="宋体" w:cs="宋体"/>
          <w:snapToGrid w:val="0"/>
          <w:kern w:val="0"/>
          <w:szCs w:val="24"/>
          <w:lang w:eastAsia="zh-CN"/>
        </w:rPr>
        <w:t>间之</w:t>
      </w:r>
      <w:r>
        <w:rPr>
          <w:rFonts w:hint="eastAsia" w:hAnsi="宋体" w:cs="宋体"/>
          <w:snapToGrid w:val="0"/>
          <w:kern w:val="0"/>
          <w:szCs w:val="24"/>
        </w:rPr>
        <w:t>前，投标人</w:t>
      </w:r>
      <w:r>
        <w:rPr>
          <w:rFonts w:hint="eastAsia" w:hAnsi="宋体" w:cs="宋体"/>
          <w:bCs/>
          <w:snapToGrid w:val="0"/>
          <w:szCs w:val="24"/>
        </w:rPr>
        <w:t>通过交易平台</w:t>
      </w:r>
      <w:r>
        <w:rPr>
          <w:rFonts w:hint="eastAsia" w:hAnsi="宋体" w:cs="宋体"/>
          <w:snapToGrid w:val="0"/>
          <w:kern w:val="0"/>
          <w:szCs w:val="24"/>
        </w:rPr>
        <w:t>提交已加密投标文件。逾期提交的电子投标文件，</w:t>
      </w:r>
      <w:r>
        <w:rPr>
          <w:rFonts w:hint="eastAsia" w:hAnsi="宋体" w:cs="宋体"/>
          <w:bCs/>
          <w:snapToGrid w:val="0"/>
          <w:szCs w:val="24"/>
        </w:rPr>
        <w:t>交易平台</w:t>
      </w:r>
      <w:r>
        <w:rPr>
          <w:rFonts w:hint="eastAsia" w:hAnsi="宋体" w:cs="宋体"/>
          <w:snapToGrid w:val="0"/>
          <w:kern w:val="0"/>
          <w:szCs w:val="24"/>
        </w:rPr>
        <w:t>将予以拒收。</w:t>
      </w:r>
    </w:p>
    <w:p w14:paraId="6B0ABFB8">
      <w:pPr>
        <w:pStyle w:val="56"/>
        <w:spacing w:line="400" w:lineRule="exact"/>
        <w:ind w:firstLine="480" w:firstLineChars="200"/>
        <w:rPr>
          <w:rFonts w:hAnsi="宋体" w:cs="宋体"/>
          <w:snapToGrid w:val="0"/>
          <w:kern w:val="0"/>
          <w:szCs w:val="24"/>
        </w:rPr>
      </w:pPr>
      <w:r>
        <w:rPr>
          <w:rFonts w:hint="eastAsia" w:hAnsi="宋体" w:cs="宋体"/>
          <w:snapToGrid w:val="0"/>
          <w:kern w:val="0"/>
          <w:szCs w:val="24"/>
        </w:rPr>
        <w:t>12.4 出现下述情形之一，属于未成功提交投标文件，按无效投标处理：</w:t>
      </w:r>
    </w:p>
    <w:p w14:paraId="1669EC02">
      <w:pPr>
        <w:pStyle w:val="56"/>
        <w:spacing w:line="400" w:lineRule="exact"/>
        <w:ind w:firstLine="480" w:firstLineChars="200"/>
        <w:rPr>
          <w:rFonts w:hAnsi="宋体" w:cs="宋体"/>
          <w:snapToGrid w:val="0"/>
          <w:kern w:val="0"/>
          <w:szCs w:val="24"/>
        </w:rPr>
      </w:pPr>
      <w:r>
        <w:rPr>
          <w:rFonts w:hint="eastAsia" w:hAnsi="宋体" w:cs="宋体"/>
          <w:snapToGrid w:val="0"/>
          <w:kern w:val="0"/>
          <w:szCs w:val="24"/>
        </w:rPr>
        <w:t>（1）至提交投标文件截止时，投标文件未完整上传及提交标书；</w:t>
      </w:r>
    </w:p>
    <w:p w14:paraId="788FCD6F">
      <w:pPr>
        <w:pStyle w:val="56"/>
        <w:spacing w:line="400" w:lineRule="exact"/>
        <w:ind w:firstLine="480" w:firstLineChars="200"/>
        <w:rPr>
          <w:rFonts w:hAnsi="宋体" w:cs="宋体"/>
          <w:snapToGrid w:val="0"/>
          <w:kern w:val="0"/>
          <w:szCs w:val="24"/>
        </w:rPr>
      </w:pPr>
      <w:r>
        <w:rPr>
          <w:rFonts w:hint="eastAsia" w:hAnsi="宋体" w:cs="宋体"/>
          <w:snapToGrid w:val="0"/>
          <w:kern w:val="0"/>
          <w:szCs w:val="24"/>
        </w:rPr>
        <w:t>（2）解密失败且在规定时间内未重新提交投标文件的；</w:t>
      </w:r>
    </w:p>
    <w:p w14:paraId="3FC90AD1">
      <w:pPr>
        <w:pStyle w:val="56"/>
        <w:spacing w:line="400" w:lineRule="exact"/>
        <w:ind w:firstLine="480" w:firstLineChars="200"/>
        <w:rPr>
          <w:rFonts w:hAnsi="宋体" w:cs="宋体"/>
          <w:snapToGrid w:val="0"/>
          <w:kern w:val="0"/>
          <w:szCs w:val="24"/>
        </w:rPr>
      </w:pPr>
      <w:r>
        <w:rPr>
          <w:rFonts w:hint="eastAsia" w:hAnsi="宋体" w:cs="宋体"/>
          <w:snapToGrid w:val="0"/>
          <w:kern w:val="0"/>
          <w:szCs w:val="24"/>
        </w:rPr>
        <w:t>（3）投标文件损坏或格式不正确的。</w:t>
      </w:r>
    </w:p>
    <w:p w14:paraId="1EB0D88F">
      <w:pPr>
        <w:pStyle w:val="56"/>
        <w:spacing w:line="400" w:lineRule="exact"/>
        <w:ind w:firstLine="480" w:firstLineChars="200"/>
        <w:rPr>
          <w:rFonts w:hAnsi="宋体" w:cs="宋体"/>
          <w:b/>
          <w:szCs w:val="24"/>
        </w:rPr>
      </w:pPr>
      <w:r>
        <w:rPr>
          <w:rFonts w:hint="eastAsia" w:hAnsi="宋体" w:cs="宋体"/>
          <w:snapToGrid w:val="0"/>
          <w:kern w:val="0"/>
          <w:szCs w:val="24"/>
        </w:rPr>
        <w:t>12.5 投标人代表（指投标人法定代表人或其委托代理人）尚应递交以下的资料（如有）：招标文件要求提交的用于评审的证书、证件、证明原件（附</w:t>
      </w:r>
      <w:r>
        <w:rPr>
          <w:rFonts w:hint="eastAsia" w:hAnsi="宋体" w:cs="宋体"/>
          <w:snapToGrid w:val="0"/>
          <w:kern w:val="0"/>
          <w:szCs w:val="24"/>
          <w:lang w:eastAsia="zh-CN"/>
        </w:rPr>
        <w:t>一式两份</w:t>
      </w:r>
      <w:r>
        <w:rPr>
          <w:rFonts w:hint="eastAsia" w:hAnsi="宋体" w:cs="宋体"/>
          <w:snapToGrid w:val="0"/>
          <w:kern w:val="0"/>
          <w:szCs w:val="24"/>
        </w:rPr>
        <w:t>清单）。</w:t>
      </w:r>
    </w:p>
    <w:p w14:paraId="01709742">
      <w:pPr>
        <w:pStyle w:val="55"/>
        <w:keepNext/>
        <w:keepLines/>
        <w:spacing w:line="440" w:lineRule="exact"/>
        <w:ind w:firstLine="480"/>
        <w:jc w:val="both"/>
        <w:rPr>
          <w:rFonts w:ascii="宋体" w:hAnsi="宋体" w:cs="宋体"/>
          <w:b/>
          <w:kern w:val="2"/>
          <w:szCs w:val="24"/>
        </w:rPr>
      </w:pPr>
      <w:bookmarkStart w:id="191" w:name="_Toc19105"/>
      <w:bookmarkStart w:id="192" w:name="_Toc21326"/>
      <w:bookmarkStart w:id="193" w:name="_Toc15121"/>
      <w:bookmarkStart w:id="194" w:name="_Toc216"/>
      <w:bookmarkStart w:id="195" w:name="_Toc14766"/>
      <w:r>
        <w:rPr>
          <w:rFonts w:hint="eastAsia" w:ascii="宋体" w:hAnsi="宋体" w:cs="宋体"/>
          <w:b/>
          <w:kern w:val="2"/>
          <w:szCs w:val="24"/>
        </w:rPr>
        <w:t>13 投标有效期</w:t>
      </w:r>
      <w:bookmarkEnd w:id="133"/>
      <w:bookmarkEnd w:id="134"/>
      <w:bookmarkEnd w:id="186"/>
      <w:bookmarkEnd w:id="187"/>
      <w:bookmarkEnd w:id="188"/>
      <w:bookmarkEnd w:id="191"/>
      <w:bookmarkEnd w:id="192"/>
      <w:bookmarkEnd w:id="193"/>
      <w:bookmarkEnd w:id="194"/>
      <w:bookmarkEnd w:id="195"/>
      <w:bookmarkStart w:id="196" w:name="_Toc14083"/>
    </w:p>
    <w:p w14:paraId="57676005">
      <w:pPr>
        <w:pStyle w:val="56"/>
        <w:adjustRightInd w:val="0"/>
        <w:snapToGrid w:val="0"/>
        <w:spacing w:line="400" w:lineRule="exact"/>
        <w:ind w:firstLine="480" w:firstLineChars="200"/>
        <w:rPr>
          <w:rFonts w:hAnsi="宋体" w:cs="宋体"/>
          <w:b/>
          <w:szCs w:val="24"/>
        </w:rPr>
      </w:pPr>
      <w:r>
        <w:rPr>
          <w:rFonts w:hint="eastAsia" w:hAnsi="宋体" w:cs="宋体"/>
          <w:szCs w:val="24"/>
        </w:rPr>
        <w:t>本次招标投标有效期为</w:t>
      </w:r>
      <w:r>
        <w:rPr>
          <w:rFonts w:hint="eastAsia" w:hAnsi="宋体" w:cs="宋体"/>
          <w:b/>
          <w:bCs/>
          <w:szCs w:val="24"/>
          <w:u w:val="single"/>
        </w:rPr>
        <w:t xml:space="preserve"> 90 </w:t>
      </w:r>
      <w:r>
        <w:rPr>
          <w:rFonts w:hint="eastAsia" w:hAnsi="宋体" w:cs="宋体"/>
          <w:b/>
          <w:bCs/>
          <w:szCs w:val="24"/>
        </w:rPr>
        <w:t>个日历天</w:t>
      </w:r>
      <w:r>
        <w:rPr>
          <w:rFonts w:hint="eastAsia" w:hAnsi="宋体" w:cs="宋体"/>
          <w:szCs w:val="24"/>
        </w:rPr>
        <w:t>，自招标人或其授权的招标代理机构接收投标人递交的投标文件之日起计。在此期间，投标人不得撤销或修改其投标文件，否则其投标保证不予退还。</w:t>
      </w:r>
      <w:bookmarkEnd w:id="196"/>
      <w:bookmarkStart w:id="197" w:name="_Toc10083"/>
      <w:bookmarkStart w:id="198" w:name="_Toc25978"/>
      <w:bookmarkStart w:id="199" w:name="_Toc32344"/>
    </w:p>
    <w:p w14:paraId="33DB7DA1">
      <w:pPr>
        <w:pStyle w:val="55"/>
        <w:keepNext/>
        <w:keepLines/>
        <w:spacing w:line="440" w:lineRule="exact"/>
        <w:ind w:firstLine="480"/>
        <w:jc w:val="both"/>
        <w:rPr>
          <w:rFonts w:ascii="宋体" w:hAnsi="宋体" w:cs="宋体"/>
          <w:b/>
          <w:kern w:val="2"/>
          <w:szCs w:val="24"/>
        </w:rPr>
      </w:pPr>
      <w:bookmarkStart w:id="200" w:name="_Toc5555"/>
      <w:bookmarkStart w:id="201" w:name="_Toc19808"/>
      <w:bookmarkStart w:id="202" w:name="_Toc22751"/>
      <w:bookmarkStart w:id="203" w:name="_Toc25532"/>
      <w:bookmarkStart w:id="204" w:name="_Toc9138"/>
      <w:r>
        <w:rPr>
          <w:rFonts w:hint="eastAsia" w:ascii="宋体" w:hAnsi="宋体" w:cs="宋体"/>
          <w:b/>
          <w:kern w:val="2"/>
          <w:szCs w:val="24"/>
        </w:rPr>
        <w:t>14 开标</w:t>
      </w:r>
      <w:bookmarkEnd w:id="197"/>
      <w:bookmarkEnd w:id="198"/>
      <w:bookmarkEnd w:id="200"/>
      <w:bookmarkEnd w:id="201"/>
      <w:bookmarkEnd w:id="202"/>
      <w:bookmarkEnd w:id="203"/>
      <w:bookmarkEnd w:id="204"/>
    </w:p>
    <w:p w14:paraId="066F5851">
      <w:pPr>
        <w:pStyle w:val="76"/>
        <w:wordWrap w:val="0"/>
        <w:adjustRightInd w:val="0"/>
        <w:snapToGrid w:val="0"/>
        <w:spacing w:line="440" w:lineRule="exact"/>
        <w:ind w:firstLine="480"/>
        <w:jc w:val="left"/>
        <w:rPr>
          <w:rFonts w:ascii="宋体" w:hAnsi="宋体" w:cs="宋体"/>
          <w:snapToGrid w:val="0"/>
          <w:kern w:val="0"/>
          <w:sz w:val="24"/>
        </w:rPr>
      </w:pPr>
      <w:r>
        <w:rPr>
          <w:rFonts w:hint="eastAsia" w:ascii="宋体" w:hAnsi="宋体" w:cs="宋体"/>
          <w:b/>
          <w:bCs/>
          <w:snapToGrid w:val="0"/>
          <w:kern w:val="0"/>
          <w:sz w:val="24"/>
        </w:rPr>
        <w:t>14.1</w:t>
      </w:r>
      <w:r>
        <w:rPr>
          <w:rFonts w:hint="eastAsia" w:ascii="宋体" w:hAnsi="宋体" w:cs="宋体"/>
          <w:snapToGrid w:val="0"/>
          <w:kern w:val="0"/>
          <w:sz w:val="24"/>
        </w:rPr>
        <w:t xml:space="preserve"> 项目实行全流程电子化招标投标，招标人邀请所有正确获取招标文件、电子投标、缴纳投标保</w:t>
      </w:r>
      <w:r>
        <w:rPr>
          <w:rFonts w:hint="eastAsia" w:ascii="宋体" w:hAnsi="宋体" w:cs="宋体"/>
          <w:snapToGrid w:val="0"/>
          <w:kern w:val="0"/>
          <w:sz w:val="24"/>
          <w:lang w:eastAsia="zh-CN"/>
        </w:rPr>
        <w:t>证金</w:t>
      </w:r>
      <w:r>
        <w:rPr>
          <w:rFonts w:hint="eastAsia" w:ascii="宋体" w:hAnsi="宋体" w:cs="宋体"/>
          <w:snapToGrid w:val="0"/>
          <w:kern w:val="0"/>
          <w:sz w:val="24"/>
        </w:rPr>
        <w:t>的投标人参加开标，投标人可自主决定是否参加。投标人无须进行现场电子签到，可登录交易平台观看开标实况、提出异议或进行澄清、确认等操作，具体操作投标人可登录全国公共资源交易平台（广东省·韶关市）（https://ygp.gdzwfw.gov.cn/ggzy-portal/#/440200/index），在【服务指南】栏目中下载《韶关市公共资源建设工程交易系统-投标人操作指南》。</w:t>
      </w:r>
    </w:p>
    <w:p w14:paraId="789BD232">
      <w:pPr>
        <w:pStyle w:val="76"/>
        <w:wordWrap w:val="0"/>
        <w:adjustRightInd w:val="0"/>
        <w:snapToGrid w:val="0"/>
        <w:spacing w:line="440" w:lineRule="exact"/>
        <w:ind w:firstLine="480"/>
        <w:jc w:val="left"/>
        <w:rPr>
          <w:rFonts w:ascii="宋体" w:hAnsi="宋体" w:cs="宋体"/>
          <w:snapToGrid w:val="0"/>
          <w:kern w:val="0"/>
          <w:sz w:val="24"/>
        </w:rPr>
      </w:pPr>
      <w:r>
        <w:rPr>
          <w:rFonts w:hint="eastAsia" w:ascii="宋体" w:hAnsi="宋体" w:cs="宋体"/>
          <w:b/>
          <w:bCs/>
          <w:snapToGrid w:val="0"/>
          <w:kern w:val="0"/>
          <w:sz w:val="24"/>
        </w:rPr>
        <w:t>14.1.1</w:t>
      </w:r>
      <w:r>
        <w:rPr>
          <w:rFonts w:hint="eastAsia" w:ascii="宋体" w:hAnsi="宋体" w:cs="宋体"/>
          <w:snapToGrid w:val="0"/>
          <w:kern w:val="0"/>
          <w:sz w:val="24"/>
        </w:rPr>
        <w:t xml:space="preserve"> 开标时间和地点：见本章第二节“重要事项时间地点一览表”。</w:t>
      </w:r>
    </w:p>
    <w:p w14:paraId="0CDBBFE7">
      <w:pPr>
        <w:pStyle w:val="76"/>
        <w:wordWrap w:val="0"/>
        <w:adjustRightInd w:val="0"/>
        <w:snapToGrid w:val="0"/>
        <w:spacing w:line="420" w:lineRule="exact"/>
        <w:ind w:firstLine="480"/>
        <w:jc w:val="left"/>
        <w:rPr>
          <w:rFonts w:ascii="宋体" w:hAnsi="宋体" w:cs="宋体"/>
          <w:snapToGrid w:val="0"/>
          <w:kern w:val="0"/>
          <w:sz w:val="24"/>
        </w:rPr>
      </w:pPr>
      <w:r>
        <w:rPr>
          <w:rFonts w:hint="eastAsia" w:ascii="宋体" w:hAnsi="宋体" w:cs="宋体"/>
          <w:b/>
          <w:bCs/>
          <w:snapToGrid w:val="0"/>
          <w:kern w:val="0"/>
          <w:sz w:val="24"/>
        </w:rPr>
        <w:t>14.1.2</w:t>
      </w:r>
      <w:r>
        <w:rPr>
          <w:rFonts w:hint="eastAsia" w:ascii="宋体" w:hAnsi="宋体" w:cs="宋体"/>
          <w:snapToGrid w:val="0"/>
          <w:kern w:val="0"/>
          <w:sz w:val="24"/>
        </w:rPr>
        <w:t xml:space="preserve"> 开标前24小时，若建设工程交易系统显示缴纳投标保</w:t>
      </w:r>
      <w:r>
        <w:rPr>
          <w:rFonts w:hint="eastAsia" w:ascii="宋体" w:hAnsi="宋体" w:cs="宋体"/>
          <w:snapToGrid w:val="0"/>
          <w:kern w:val="0"/>
          <w:sz w:val="24"/>
          <w:lang w:eastAsia="zh-CN"/>
        </w:rPr>
        <w:t>证金</w:t>
      </w:r>
      <w:r>
        <w:rPr>
          <w:rFonts w:hint="eastAsia" w:ascii="宋体" w:hAnsi="宋体" w:cs="宋体"/>
          <w:snapToGrid w:val="0"/>
          <w:kern w:val="0"/>
          <w:sz w:val="24"/>
        </w:rPr>
        <w:t>（包括投标保证金、投标保证担保、投标保证保险）的投标人数量不足3个时，招标人将取消原定于次日召开的开标活动。投标人可在投标保</w:t>
      </w:r>
      <w:r>
        <w:rPr>
          <w:rFonts w:hint="eastAsia" w:ascii="宋体" w:hAnsi="宋体" w:cs="宋体"/>
          <w:snapToGrid w:val="0"/>
          <w:kern w:val="0"/>
          <w:sz w:val="24"/>
          <w:lang w:eastAsia="zh-CN"/>
        </w:rPr>
        <w:t>证金</w:t>
      </w:r>
      <w:r>
        <w:rPr>
          <w:rFonts w:hint="eastAsia" w:ascii="宋体" w:hAnsi="宋体" w:cs="宋体"/>
          <w:snapToGrid w:val="0"/>
          <w:kern w:val="0"/>
          <w:sz w:val="24"/>
        </w:rPr>
        <w:t>缴纳截止时间（见本章第二节“重要事项时间地点一览表”）至电子投标截止时间（见本章第二节“重要事项时间地点一览表”）期间登录</w:t>
      </w:r>
      <w:r>
        <w:rPr>
          <w:rFonts w:hint="eastAsia" w:ascii="宋体" w:hAnsi="宋体" w:cs="宋体"/>
          <w:bCs/>
          <w:snapToGrid w:val="0"/>
          <w:kern w:val="0"/>
          <w:sz w:val="24"/>
        </w:rPr>
        <w:t>全国公共资源交易平台（广东省·韶关市）（https://ygp.gdzwfw.gov.cn/ggzy-portal/#/440200/index）</w:t>
      </w:r>
      <w:r>
        <w:rPr>
          <w:rFonts w:hint="eastAsia" w:ascii="宋体" w:hAnsi="宋体" w:cs="宋体"/>
          <w:snapToGrid w:val="0"/>
          <w:kern w:val="0"/>
          <w:sz w:val="24"/>
        </w:rPr>
        <w:t>查询是否发布了取消开标活动的相关信息。</w:t>
      </w:r>
    </w:p>
    <w:p w14:paraId="655DBE6F">
      <w:pPr>
        <w:wordWrap w:val="0"/>
        <w:adjustRightInd w:val="0"/>
        <w:snapToGrid w:val="0"/>
        <w:spacing w:line="420" w:lineRule="exact"/>
        <w:rPr>
          <w:snapToGrid w:val="0"/>
        </w:rPr>
      </w:pPr>
      <w:r>
        <w:rPr>
          <w:rFonts w:hint="eastAsia"/>
          <w:snapToGrid w:val="0"/>
        </w:rPr>
        <w:t xml:space="preserve">    </w:t>
      </w:r>
      <w:r>
        <w:rPr>
          <w:rFonts w:hint="eastAsia"/>
          <w:b/>
          <w:bCs/>
          <w:snapToGrid w:val="0"/>
        </w:rPr>
        <w:t>14.2</w:t>
      </w:r>
      <w:r>
        <w:rPr>
          <w:rFonts w:hint="eastAsia"/>
          <w:snapToGrid w:val="0"/>
        </w:rPr>
        <w:t xml:space="preserve"> 开标程序</w:t>
      </w:r>
    </w:p>
    <w:p w14:paraId="585F8708">
      <w:pPr>
        <w:wordWrap w:val="0"/>
        <w:adjustRightInd w:val="0"/>
        <w:snapToGrid w:val="0"/>
        <w:spacing w:line="420" w:lineRule="exact"/>
        <w:ind w:firstLine="480" w:firstLineChars="200"/>
        <w:rPr>
          <w:snapToGrid w:val="0"/>
        </w:rPr>
      </w:pPr>
      <w:r>
        <w:rPr>
          <w:rFonts w:hint="eastAsia"/>
          <w:snapToGrid w:val="0"/>
        </w:rPr>
        <w:t>（1）主持人（招标人代表或招标人授权的招标代理机构人员）宣读开标纪律。</w:t>
      </w:r>
    </w:p>
    <w:p w14:paraId="63CC2E86">
      <w:pPr>
        <w:wordWrap w:val="0"/>
        <w:adjustRightInd w:val="0"/>
        <w:snapToGrid w:val="0"/>
        <w:spacing w:line="420" w:lineRule="exact"/>
        <w:ind w:firstLine="480" w:firstLineChars="200"/>
        <w:rPr>
          <w:snapToGrid w:val="0"/>
        </w:rPr>
      </w:pPr>
      <w:r>
        <w:rPr>
          <w:rFonts w:hint="eastAsia"/>
          <w:snapToGrid w:val="0"/>
        </w:rPr>
        <w:t>（2）主持人宣布唱标人、记录人、见证人、监督人等有关人员姓名。</w:t>
      </w:r>
    </w:p>
    <w:p w14:paraId="2B21A4BF">
      <w:pPr>
        <w:wordWrap w:val="0"/>
        <w:adjustRightInd w:val="0"/>
        <w:snapToGrid w:val="0"/>
        <w:spacing w:line="420" w:lineRule="exact"/>
        <w:ind w:firstLine="480" w:firstLineChars="200"/>
        <w:rPr>
          <w:snapToGrid w:val="0"/>
        </w:rPr>
      </w:pPr>
      <w:r>
        <w:rPr>
          <w:rFonts w:hint="eastAsia"/>
          <w:snapToGrid w:val="0"/>
        </w:rPr>
        <w:t>（3）唱标人公布在投标截止时间前进行电子投标的投标人数量和名称。</w:t>
      </w:r>
    </w:p>
    <w:p w14:paraId="44B9F39A">
      <w:pPr>
        <w:snapToGrid w:val="0"/>
        <w:spacing w:line="440" w:lineRule="exact"/>
        <w:ind w:firstLine="480" w:firstLineChars="200"/>
        <w:rPr>
          <w:snapToGrid w:val="0"/>
        </w:rPr>
      </w:pPr>
      <w:r>
        <w:rPr>
          <w:rFonts w:hint="eastAsia"/>
          <w:snapToGrid w:val="0"/>
        </w:rPr>
        <w:t>（4）招标代理机构在交易场所工作人员见证下，对投标人的电子投标信息进行解密，建设工程交易系统自动生成《投标保</w:t>
      </w:r>
      <w:r>
        <w:rPr>
          <w:rFonts w:hint="eastAsia"/>
          <w:snapToGrid w:val="0"/>
          <w:lang w:eastAsia="zh-CN"/>
        </w:rPr>
        <w:t>证金</w:t>
      </w:r>
      <w:r>
        <w:rPr>
          <w:rFonts w:hint="eastAsia"/>
          <w:snapToGrid w:val="0"/>
        </w:rPr>
        <w:t>缴纳情况表》和《开标一览表》。</w:t>
      </w:r>
    </w:p>
    <w:p w14:paraId="2CC327F9">
      <w:pPr>
        <w:snapToGrid w:val="0"/>
        <w:spacing w:line="440" w:lineRule="exact"/>
        <w:ind w:firstLine="482" w:firstLineChars="200"/>
        <w:rPr>
          <w:rStyle w:val="198"/>
          <w:b/>
          <w:bCs/>
        </w:rPr>
      </w:pPr>
      <w:r>
        <w:rPr>
          <w:rStyle w:val="198"/>
          <w:rFonts w:hint="eastAsia"/>
          <w:b/>
          <w:bCs/>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55E14ACE">
      <w:pPr>
        <w:wordWrap w:val="0"/>
        <w:adjustRightInd w:val="0"/>
        <w:snapToGrid w:val="0"/>
        <w:spacing w:line="420" w:lineRule="exact"/>
        <w:ind w:firstLine="480" w:firstLineChars="200"/>
      </w:pPr>
      <w:r>
        <w:rPr>
          <w:rFonts w:hint="eastAsia"/>
          <w:snapToGrid w:val="0"/>
        </w:rPr>
        <w:t>（5）主持人宣布有关注意事项后，宣布开标结束。</w:t>
      </w:r>
    </w:p>
    <w:p w14:paraId="3EFFA863">
      <w:pPr>
        <w:wordWrap w:val="0"/>
        <w:adjustRightInd w:val="0"/>
        <w:snapToGrid w:val="0"/>
        <w:spacing w:line="420" w:lineRule="exact"/>
        <w:ind w:firstLine="482" w:firstLineChars="200"/>
        <w:rPr>
          <w:snapToGrid w:val="0"/>
        </w:rPr>
      </w:pPr>
      <w:r>
        <w:rPr>
          <w:rFonts w:hint="eastAsia"/>
          <w:b/>
          <w:bCs/>
          <w:snapToGrid w:val="0"/>
        </w:rPr>
        <w:t>14.3</w:t>
      </w:r>
      <w:r>
        <w:rPr>
          <w:rFonts w:hint="eastAsia"/>
          <w:snapToGrid w:val="0"/>
        </w:rPr>
        <w:t xml:space="preserve"> 投标人对开标相关事项有异议的，必须在开标期间和开标现场提出，招标人或其授权的招标代理机构应当场作出答复，并记录在案。对开标事项的异议未在开标期间和开标现场提出的，招标人不予受理。</w:t>
      </w:r>
    </w:p>
    <w:p w14:paraId="70EBB8DA">
      <w:pPr>
        <w:wordWrap w:val="0"/>
        <w:adjustRightInd w:val="0"/>
        <w:snapToGrid w:val="0"/>
        <w:spacing w:line="420" w:lineRule="exact"/>
        <w:ind w:firstLine="482" w:firstLineChars="200"/>
      </w:pPr>
      <w:r>
        <w:rPr>
          <w:rFonts w:hint="eastAsia"/>
          <w:b/>
          <w:bCs/>
          <w:snapToGrid w:val="0"/>
        </w:rPr>
        <w:t>14.4</w:t>
      </w:r>
      <w:r>
        <w:rPr>
          <w:rFonts w:hint="eastAsia"/>
          <w:snapToGrid w:val="0"/>
        </w:rPr>
        <w:t xml:space="preserve"> 招标代理机构将相关评审资料原件（如有）、《开标一览表》以及其他有关资料移交评标委员会。</w:t>
      </w:r>
      <w:bookmarkStart w:id="205" w:name="_Hlt127093805"/>
      <w:bookmarkEnd w:id="205"/>
    </w:p>
    <w:p w14:paraId="1E1F69B3">
      <w:pPr>
        <w:pStyle w:val="55"/>
        <w:keepNext/>
        <w:keepLines/>
        <w:spacing w:line="440" w:lineRule="exact"/>
        <w:ind w:firstLine="480"/>
        <w:jc w:val="both"/>
        <w:rPr>
          <w:rFonts w:ascii="宋体" w:hAnsi="宋体" w:cs="宋体"/>
          <w:b/>
          <w:kern w:val="2"/>
          <w:szCs w:val="24"/>
        </w:rPr>
      </w:pPr>
      <w:bookmarkStart w:id="206" w:name="_Toc17995"/>
      <w:bookmarkStart w:id="207" w:name="_Toc22949"/>
      <w:bookmarkStart w:id="208" w:name="_Toc5001"/>
      <w:bookmarkStart w:id="209" w:name="_Toc25682"/>
      <w:bookmarkStart w:id="210" w:name="_Toc28134"/>
      <w:bookmarkStart w:id="211" w:name="_Toc17603"/>
      <w:bookmarkStart w:id="212" w:name="_Toc26761"/>
      <w:r>
        <w:rPr>
          <w:rFonts w:hint="eastAsia" w:ascii="宋体" w:hAnsi="宋体" w:cs="宋体"/>
          <w:b/>
          <w:kern w:val="2"/>
          <w:szCs w:val="24"/>
        </w:rPr>
        <w:t>15 电子投标及评标时突发补救方案</w:t>
      </w:r>
      <w:bookmarkEnd w:id="206"/>
      <w:bookmarkEnd w:id="207"/>
      <w:bookmarkEnd w:id="208"/>
      <w:bookmarkEnd w:id="209"/>
      <w:bookmarkEnd w:id="210"/>
      <w:bookmarkEnd w:id="211"/>
      <w:bookmarkEnd w:id="212"/>
    </w:p>
    <w:p w14:paraId="3626BE16">
      <w:pPr>
        <w:pStyle w:val="10"/>
        <w:spacing w:line="440" w:lineRule="exact"/>
        <w:ind w:firstLine="480" w:firstLineChars="200"/>
        <w:rPr>
          <w:bCs/>
        </w:rPr>
      </w:pPr>
      <w:r>
        <w:rPr>
          <w:rFonts w:hint="eastAsia"/>
          <w:bCs/>
        </w:rPr>
        <w:t>按照交易平台关于全流程电子化项目的相关指南进行操作。详见：全国公共资源交易平台（广东省·韶关市）（https://ygp.gdzwfw.gov.cn/ggzy-portal/#/440200/index）交易指引栏目发布的最新版操作指引。</w:t>
      </w:r>
    </w:p>
    <w:p w14:paraId="07572577">
      <w:pPr>
        <w:pStyle w:val="10"/>
        <w:spacing w:line="440" w:lineRule="exact"/>
        <w:ind w:firstLine="480" w:firstLineChars="200"/>
        <w:rPr>
          <w:bCs/>
        </w:rPr>
      </w:pPr>
      <w:r>
        <w:rPr>
          <w:rFonts w:hint="eastAsia"/>
          <w:bCs/>
        </w:rPr>
        <w:t>（1）投标文件解密失败的补救方案：</w:t>
      </w:r>
    </w:p>
    <w:p w14:paraId="3545070B">
      <w:pPr>
        <w:pStyle w:val="10"/>
        <w:spacing w:line="440" w:lineRule="exact"/>
        <w:ind w:firstLine="480" w:firstLineChars="200"/>
        <w:rPr>
          <w:bCs/>
        </w:rPr>
      </w:pPr>
      <w:r>
        <w:rPr>
          <w:rFonts w:hint="eastAsia"/>
          <w:bCs/>
        </w:rPr>
        <w:t>在规定时间内，因投标人之外原因</w:t>
      </w:r>
      <w:r>
        <w:rPr>
          <w:rFonts w:hint="eastAsia"/>
          <w:bCs/>
          <w:lang w:eastAsia="zh-CN"/>
        </w:rPr>
        <w:t>（</w:t>
      </w:r>
      <w:r>
        <w:rPr>
          <w:rFonts w:hint="eastAsia"/>
          <w:bCs/>
        </w:rPr>
        <w:t>指网络瘫痪、服务器损坏、交易系统故障短期无法恢复</w:t>
      </w:r>
      <w:r>
        <w:rPr>
          <w:rFonts w:hint="eastAsia"/>
          <w:bCs/>
          <w:lang w:eastAsia="zh-CN"/>
        </w:rPr>
        <w:t>）</w:t>
      </w:r>
      <w:r>
        <w:rPr>
          <w:rFonts w:hint="eastAsia"/>
          <w:bCs/>
        </w:rPr>
        <w:t>等导致的电子投标文件解密失败，在开标现场解密环节由代理授权后，解密失败</w:t>
      </w:r>
      <w:r>
        <w:rPr>
          <w:rFonts w:hint="eastAsia"/>
          <w:bCs/>
          <w:lang w:eastAsia="zh-CN"/>
        </w:rPr>
        <w:t>的投标人</w:t>
      </w:r>
      <w:r>
        <w:rPr>
          <w:rFonts w:hint="eastAsia"/>
          <w:bCs/>
        </w:rPr>
        <w:t>可在建设工程</w:t>
      </w:r>
      <w:r>
        <w:rPr>
          <w:rFonts w:hint="eastAsia"/>
          <w:bCs/>
          <w:lang w:eastAsia="zh-CN"/>
        </w:rPr>
        <w:t>交易系统</w:t>
      </w:r>
      <w:r>
        <w:rPr>
          <w:rFonts w:hint="eastAsia"/>
          <w:bCs/>
        </w:rPr>
        <w:t>规定时间（代理机构授权后30分钟内）内重新提交投标文件</w:t>
      </w:r>
      <w:r>
        <w:rPr>
          <w:rFonts w:hint="eastAsia"/>
          <w:bCs/>
          <w:lang w:eastAsia="zh-CN"/>
        </w:rPr>
        <w:t>，继续</w:t>
      </w:r>
      <w:r>
        <w:rPr>
          <w:rFonts w:hint="eastAsia"/>
          <w:bCs/>
        </w:rPr>
        <w:t>开标程序。</w:t>
      </w:r>
    </w:p>
    <w:p w14:paraId="342C0F68">
      <w:pPr>
        <w:pStyle w:val="10"/>
        <w:spacing w:line="440" w:lineRule="exact"/>
        <w:ind w:firstLine="480" w:firstLineChars="200"/>
        <w:rPr>
          <w:bCs/>
        </w:rPr>
      </w:pPr>
      <w:r>
        <w:rPr>
          <w:rFonts w:hint="eastAsia"/>
          <w:bCs/>
        </w:rPr>
        <w:t>（2）评标时突发情况的补救方案：</w:t>
      </w:r>
    </w:p>
    <w:p w14:paraId="1957DD87">
      <w:pPr>
        <w:pStyle w:val="10"/>
        <w:spacing w:line="440" w:lineRule="exact"/>
        <w:ind w:firstLine="480" w:firstLineChars="200"/>
        <w:rPr>
          <w:bCs/>
        </w:rPr>
      </w:pPr>
      <w:r>
        <w:rPr>
          <w:rFonts w:hint="eastAsia"/>
          <w:bCs/>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5ADA483A">
      <w:pPr>
        <w:pStyle w:val="10"/>
        <w:spacing w:line="440" w:lineRule="exact"/>
        <w:ind w:firstLine="480" w:firstLineChars="200"/>
      </w:pPr>
      <w:r>
        <w:rPr>
          <w:rFonts w:hint="eastAsia"/>
          <w:bCs/>
        </w:rPr>
        <w:t>（3）除发生上述情况外，开标评标均以投标人通过交易平台网上递交的电子投标文件为准。</w:t>
      </w:r>
    </w:p>
    <w:p w14:paraId="0311BE27">
      <w:pPr>
        <w:pStyle w:val="55"/>
        <w:keepNext/>
        <w:keepLines/>
        <w:spacing w:line="440" w:lineRule="exact"/>
        <w:ind w:firstLine="480"/>
        <w:jc w:val="both"/>
        <w:rPr>
          <w:rFonts w:ascii="宋体" w:hAnsi="宋体" w:cs="宋体"/>
          <w:b/>
          <w:kern w:val="2"/>
          <w:szCs w:val="24"/>
        </w:rPr>
      </w:pPr>
      <w:bookmarkStart w:id="213" w:name="_Toc17629"/>
      <w:bookmarkStart w:id="214" w:name="_Toc31636"/>
      <w:bookmarkStart w:id="215" w:name="_Toc1830"/>
      <w:bookmarkStart w:id="216" w:name="_Toc4788"/>
      <w:bookmarkStart w:id="217" w:name="_Toc8410"/>
      <w:bookmarkStart w:id="218" w:name="_Toc27123"/>
      <w:r>
        <w:rPr>
          <w:rFonts w:hint="eastAsia" w:ascii="宋体" w:hAnsi="宋体" w:cs="宋体"/>
          <w:b/>
          <w:kern w:val="2"/>
          <w:szCs w:val="24"/>
        </w:rPr>
        <w:t>16 评标</w:t>
      </w:r>
      <w:bookmarkEnd w:id="199"/>
      <w:bookmarkEnd w:id="213"/>
      <w:bookmarkEnd w:id="214"/>
      <w:bookmarkEnd w:id="215"/>
      <w:bookmarkEnd w:id="216"/>
      <w:bookmarkEnd w:id="217"/>
      <w:bookmarkEnd w:id="218"/>
    </w:p>
    <w:p w14:paraId="5AB892EB">
      <w:pPr>
        <w:wordWrap w:val="0"/>
        <w:adjustRightInd w:val="0"/>
        <w:snapToGrid w:val="0"/>
        <w:spacing w:line="440" w:lineRule="exact"/>
        <w:ind w:firstLine="480" w:firstLineChars="200"/>
        <w:rPr>
          <w:snapToGrid w:val="0"/>
        </w:rPr>
      </w:pPr>
      <w:r>
        <w:rPr>
          <w:rFonts w:hint="eastAsia"/>
          <w:snapToGrid w:val="0"/>
        </w:rPr>
        <w:t>评标分为初步评审和详细评审两个阶段，由评标委员会在有关部门的监督下，严格按照本招标文件指定的评标方法，对投标人的投标文件进行评审。</w:t>
      </w:r>
    </w:p>
    <w:p w14:paraId="75E9166A">
      <w:pPr>
        <w:wordWrap w:val="0"/>
        <w:adjustRightInd w:val="0"/>
        <w:snapToGrid w:val="0"/>
        <w:spacing w:line="440" w:lineRule="exact"/>
        <w:ind w:firstLine="482" w:firstLineChars="200"/>
        <w:rPr>
          <w:bCs/>
          <w:snapToGrid w:val="0"/>
        </w:rPr>
      </w:pPr>
      <w:r>
        <w:rPr>
          <w:rFonts w:hint="eastAsia"/>
          <w:b/>
          <w:bCs/>
          <w:snapToGrid w:val="0"/>
        </w:rPr>
        <w:t>16.1</w:t>
      </w:r>
      <w:r>
        <w:rPr>
          <w:rFonts w:hint="eastAsia"/>
          <w:bCs/>
          <w:snapToGrid w:val="0"/>
        </w:rPr>
        <w:t xml:space="preserve"> 评标委员会</w:t>
      </w:r>
    </w:p>
    <w:p w14:paraId="0A0DD793">
      <w:pPr>
        <w:wordWrap w:val="0"/>
        <w:adjustRightInd w:val="0"/>
        <w:snapToGrid w:val="0"/>
        <w:spacing w:line="440" w:lineRule="exact"/>
        <w:ind w:firstLine="480"/>
        <w:rPr>
          <w:snapToGrid w:val="0"/>
        </w:rPr>
      </w:pPr>
      <w:r>
        <w:rPr>
          <w:rFonts w:hint="eastAsia"/>
          <w:b/>
          <w:bCs/>
          <w:snapToGrid w:val="0"/>
        </w:rPr>
        <w:t>16.1.1</w:t>
      </w:r>
      <w:r>
        <w:rPr>
          <w:rFonts w:hint="eastAsia"/>
          <w:snapToGrid w:val="0"/>
        </w:rPr>
        <w:t xml:space="preserve"> 评标委员会由</w:t>
      </w:r>
      <w:r>
        <w:rPr>
          <w:rFonts w:hint="eastAsia"/>
          <w:snapToGrid w:val="0"/>
          <w:u w:val="single"/>
        </w:rPr>
        <w:t xml:space="preserve"> 5 </w:t>
      </w:r>
      <w:r>
        <w:rPr>
          <w:rFonts w:hint="eastAsia"/>
          <w:snapToGrid w:val="0"/>
        </w:rPr>
        <w:t>人组成，其中招标人代表</w:t>
      </w:r>
      <w:r>
        <w:rPr>
          <w:rFonts w:hint="eastAsia"/>
          <w:snapToGrid w:val="0"/>
          <w:u w:val="single"/>
        </w:rPr>
        <w:t xml:space="preserve"> 0 </w:t>
      </w:r>
      <w:r>
        <w:rPr>
          <w:rFonts w:hint="eastAsia"/>
          <w:snapToGrid w:val="0"/>
        </w:rPr>
        <w:t>人，专家</w:t>
      </w:r>
      <w:r>
        <w:rPr>
          <w:rFonts w:hint="eastAsia"/>
          <w:snapToGrid w:val="0"/>
          <w:u w:val="single"/>
        </w:rPr>
        <w:t xml:space="preserve"> 5 </w:t>
      </w:r>
      <w:r>
        <w:rPr>
          <w:rFonts w:hint="eastAsia"/>
          <w:snapToGrid w:val="0"/>
        </w:rPr>
        <w:t>人。专家从广东省综合评标评审专家库-韶关市区域中随机抽取，其中技术类专家</w:t>
      </w:r>
      <w:r>
        <w:rPr>
          <w:rFonts w:hint="eastAsia"/>
          <w:snapToGrid w:val="0"/>
          <w:u w:val="single"/>
        </w:rPr>
        <w:t xml:space="preserve"> 3 </w:t>
      </w:r>
      <w:r>
        <w:rPr>
          <w:rFonts w:hint="eastAsia"/>
          <w:snapToGrid w:val="0"/>
        </w:rPr>
        <w:t>人，经济类专家</w:t>
      </w:r>
      <w:r>
        <w:rPr>
          <w:rFonts w:hint="eastAsia"/>
          <w:snapToGrid w:val="0"/>
          <w:u w:val="single"/>
        </w:rPr>
        <w:t xml:space="preserve"> 2 </w:t>
      </w:r>
      <w:r>
        <w:rPr>
          <w:rFonts w:hint="eastAsia"/>
          <w:snapToGrid w:val="0"/>
        </w:rPr>
        <w:t>人。评标委员会设负责人，由评标委员会成员推举产生。评标委员会负责人与评标委员会的其他成员有同等的表决权。</w:t>
      </w:r>
    </w:p>
    <w:p w14:paraId="5013C7A4">
      <w:pPr>
        <w:wordWrap w:val="0"/>
        <w:adjustRightInd w:val="0"/>
        <w:snapToGrid w:val="0"/>
        <w:spacing w:line="440" w:lineRule="exact"/>
        <w:ind w:firstLine="560"/>
        <w:rPr>
          <w:snapToGrid w:val="0"/>
        </w:rPr>
      </w:pPr>
      <w:r>
        <w:rPr>
          <w:rFonts w:hint="eastAsia"/>
          <w:b/>
          <w:bCs/>
          <w:snapToGrid w:val="0"/>
        </w:rPr>
        <w:t>16.1.2</w:t>
      </w:r>
      <w:r>
        <w:rPr>
          <w:rFonts w:hint="eastAsia"/>
          <w:snapToGrid w:val="0"/>
        </w:rPr>
        <w:t xml:space="preserve"> 评标委员会应认真、公正、诚实、廉洁地履行职责。有下列情形之一的，不得担任评标委员会成员：</w:t>
      </w:r>
    </w:p>
    <w:p w14:paraId="21DEC2FC">
      <w:pPr>
        <w:wordWrap w:val="0"/>
        <w:adjustRightInd w:val="0"/>
        <w:snapToGrid w:val="0"/>
        <w:spacing w:line="440" w:lineRule="exact"/>
        <w:ind w:firstLine="560"/>
        <w:rPr>
          <w:snapToGrid w:val="0"/>
        </w:rPr>
      </w:pPr>
      <w:r>
        <w:rPr>
          <w:rFonts w:hint="eastAsia"/>
          <w:snapToGrid w:val="0"/>
        </w:rPr>
        <w:t>（1）投标人或投标人主要负责人的近亲属；</w:t>
      </w:r>
    </w:p>
    <w:p w14:paraId="79EB004E">
      <w:pPr>
        <w:wordWrap w:val="0"/>
        <w:adjustRightInd w:val="0"/>
        <w:snapToGrid w:val="0"/>
        <w:spacing w:line="440" w:lineRule="exact"/>
        <w:ind w:firstLine="560"/>
        <w:rPr>
          <w:snapToGrid w:val="0"/>
        </w:rPr>
      </w:pPr>
      <w:r>
        <w:rPr>
          <w:rFonts w:hint="eastAsia"/>
          <w:snapToGrid w:val="0"/>
        </w:rPr>
        <w:t>（2）项目主管部门或者行政监督部门的人员；</w:t>
      </w:r>
    </w:p>
    <w:p w14:paraId="4777AA78">
      <w:pPr>
        <w:wordWrap w:val="0"/>
        <w:adjustRightInd w:val="0"/>
        <w:snapToGrid w:val="0"/>
        <w:spacing w:line="440" w:lineRule="exact"/>
        <w:ind w:firstLine="560"/>
        <w:rPr>
          <w:snapToGrid w:val="0"/>
        </w:rPr>
      </w:pPr>
      <w:r>
        <w:rPr>
          <w:rFonts w:hint="eastAsia"/>
          <w:snapToGrid w:val="0"/>
        </w:rPr>
        <w:t>（3）与投标人有经济利益关系，可能影响对投标公正评审的；</w:t>
      </w:r>
    </w:p>
    <w:p w14:paraId="54D39A47">
      <w:pPr>
        <w:wordWrap w:val="0"/>
        <w:adjustRightInd w:val="0"/>
        <w:snapToGrid w:val="0"/>
        <w:spacing w:line="440" w:lineRule="exact"/>
        <w:ind w:firstLine="560"/>
        <w:rPr>
          <w:snapToGrid w:val="0"/>
        </w:rPr>
      </w:pPr>
      <w:r>
        <w:rPr>
          <w:rFonts w:hint="eastAsia"/>
          <w:snapToGrid w:val="0"/>
        </w:rPr>
        <w:t>（4）曾因在招标、评标以及其他与招标投标有关活动中从事违法行为而受过行政处罚或刑事处罚的。</w:t>
      </w:r>
    </w:p>
    <w:p w14:paraId="54D28A15">
      <w:pPr>
        <w:wordWrap w:val="0"/>
        <w:adjustRightInd w:val="0"/>
        <w:snapToGrid w:val="0"/>
        <w:spacing w:line="440" w:lineRule="exact"/>
        <w:ind w:firstLine="480" w:firstLineChars="200"/>
        <w:rPr>
          <w:snapToGrid w:val="0"/>
        </w:rPr>
      </w:pPr>
      <w:r>
        <w:rPr>
          <w:rFonts w:hint="eastAsia"/>
          <w:snapToGrid w:val="0"/>
        </w:rPr>
        <w:t>评标委员会成员有以上情形之一的，应主动提出回避。</w:t>
      </w:r>
    </w:p>
    <w:p w14:paraId="2C081DDF">
      <w:pPr>
        <w:wordWrap w:val="0"/>
        <w:adjustRightInd w:val="0"/>
        <w:snapToGrid w:val="0"/>
        <w:spacing w:line="440" w:lineRule="exact"/>
        <w:ind w:firstLine="482" w:firstLineChars="200"/>
        <w:rPr>
          <w:snapToGrid w:val="0"/>
        </w:rPr>
      </w:pPr>
      <w:r>
        <w:rPr>
          <w:rFonts w:hint="eastAsia"/>
          <w:b/>
          <w:bCs/>
          <w:snapToGrid w:val="0"/>
        </w:rPr>
        <w:t>16.1.3</w:t>
      </w:r>
      <w:r>
        <w:rPr>
          <w:rFonts w:hint="eastAsia"/>
          <w:snapToGrid w:val="0"/>
        </w:rPr>
        <w:t xml:space="preserve"> 评标全过程实行封闭式管理，在公布前，禁止评标委员会成员以任何方式私下接触投标人。</w:t>
      </w:r>
    </w:p>
    <w:p w14:paraId="4E6ED079">
      <w:pPr>
        <w:wordWrap w:val="0"/>
        <w:adjustRightInd w:val="0"/>
        <w:snapToGrid w:val="0"/>
        <w:spacing w:line="440" w:lineRule="exact"/>
        <w:ind w:firstLine="482" w:firstLineChars="200"/>
        <w:rPr>
          <w:snapToGrid w:val="0"/>
        </w:rPr>
      </w:pPr>
      <w:r>
        <w:rPr>
          <w:rFonts w:hint="eastAsia"/>
          <w:b/>
          <w:bCs/>
          <w:snapToGrid w:val="0"/>
        </w:rPr>
        <w:t>16.1.4</w:t>
      </w:r>
      <w:r>
        <w:rPr>
          <w:rFonts w:hint="eastAsia"/>
          <w:snapToGrid w:val="0"/>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0C409158">
      <w:pPr>
        <w:wordWrap w:val="0"/>
        <w:adjustRightInd w:val="0"/>
        <w:snapToGrid w:val="0"/>
        <w:spacing w:line="440" w:lineRule="exact"/>
        <w:ind w:firstLine="562"/>
        <w:rPr>
          <w:snapToGrid w:val="0"/>
        </w:rPr>
      </w:pPr>
      <w:r>
        <w:rPr>
          <w:rFonts w:hint="eastAsia"/>
          <w:b/>
          <w:bCs/>
          <w:snapToGrid w:val="0"/>
        </w:rPr>
        <w:t>16.1.5</w:t>
      </w:r>
      <w:r>
        <w:rPr>
          <w:rFonts w:hint="eastAsia"/>
          <w:snapToGrid w:val="0"/>
        </w:rPr>
        <w:t xml:space="preserve"> 在任何评标环节中，当评标委员会就某项定性的评审结论不统一、需要</w:t>
      </w:r>
      <w:r>
        <w:rPr>
          <w:rFonts w:hint="eastAsia"/>
          <w:snapToGrid w:val="0"/>
          <w:lang w:eastAsia="zh-CN"/>
        </w:rPr>
        <w:t>作出</w:t>
      </w:r>
      <w:r>
        <w:rPr>
          <w:rFonts w:hint="eastAsia"/>
          <w:snapToGrid w:val="0"/>
        </w:rPr>
        <w:t>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24149937">
      <w:pPr>
        <w:wordWrap w:val="0"/>
        <w:adjustRightInd w:val="0"/>
        <w:snapToGrid w:val="0"/>
        <w:spacing w:line="440" w:lineRule="exact"/>
        <w:ind w:firstLine="420"/>
        <w:rPr>
          <w:bCs/>
          <w:snapToGrid w:val="0"/>
        </w:rPr>
      </w:pPr>
      <w:r>
        <w:rPr>
          <w:rFonts w:hint="eastAsia"/>
          <w:b/>
          <w:bCs/>
          <w:snapToGrid w:val="0"/>
        </w:rPr>
        <w:t>16.2</w:t>
      </w:r>
      <w:r>
        <w:rPr>
          <w:rFonts w:hint="eastAsia"/>
          <w:bCs/>
          <w:snapToGrid w:val="0"/>
        </w:rPr>
        <w:t xml:space="preserve"> 评标方法</w:t>
      </w:r>
    </w:p>
    <w:p w14:paraId="454687F4">
      <w:pPr>
        <w:wordWrap w:val="0"/>
        <w:adjustRightInd w:val="0"/>
        <w:snapToGrid w:val="0"/>
        <w:spacing w:line="440" w:lineRule="exact"/>
        <w:ind w:firstLine="420"/>
        <w:rPr>
          <w:snapToGrid w:val="0"/>
        </w:rPr>
      </w:pPr>
      <w:r>
        <w:rPr>
          <w:rFonts w:hint="eastAsia"/>
          <w:snapToGrid w:val="0"/>
        </w:rPr>
        <w:t>根据有关</w:t>
      </w:r>
      <w:r>
        <w:rPr>
          <w:rFonts w:hint="eastAsia"/>
          <w:snapToGrid w:val="0"/>
          <w:lang w:eastAsia="zh-CN"/>
        </w:rPr>
        <w:t>法律法规</w:t>
      </w:r>
      <w:r>
        <w:rPr>
          <w:rFonts w:hint="eastAsia"/>
          <w:snapToGrid w:val="0"/>
        </w:rPr>
        <w:t>的相关规定，结合本招标项目资金来源和规模特点，本次招标采用“综合评估法”进行评标。</w:t>
      </w:r>
    </w:p>
    <w:p w14:paraId="3DDA8597">
      <w:pPr>
        <w:wordWrap w:val="0"/>
        <w:adjustRightInd w:val="0"/>
        <w:snapToGrid w:val="0"/>
        <w:spacing w:line="440" w:lineRule="exact"/>
        <w:ind w:firstLine="482" w:firstLineChars="200"/>
        <w:rPr>
          <w:b/>
          <w:bCs/>
          <w:snapToGrid w:val="0"/>
        </w:rPr>
      </w:pPr>
      <w:r>
        <w:rPr>
          <w:rFonts w:hint="eastAsia"/>
          <w:b/>
          <w:bCs/>
          <w:snapToGrid w:val="0"/>
        </w:rPr>
        <w:t>16.3</w:t>
      </w:r>
      <w:r>
        <w:rPr>
          <w:rFonts w:hint="eastAsia"/>
          <w:bCs/>
          <w:snapToGrid w:val="0"/>
        </w:rPr>
        <w:t xml:space="preserve"> 评审范围：</w:t>
      </w:r>
      <w:r>
        <w:rPr>
          <w:rFonts w:hint="eastAsia" w:ascii="Times New Roman"/>
          <w:snapToGrid w:val="0"/>
        </w:rPr>
        <w:t>评标委员会应对所有投标人的投标文件进行</w:t>
      </w:r>
      <w:r>
        <w:rPr>
          <w:rFonts w:hint="eastAsia" w:ascii="Times New Roman"/>
          <w:snapToGrid w:val="0"/>
          <w:lang w:eastAsia="zh-CN"/>
        </w:rPr>
        <w:t>评审。</w:t>
      </w:r>
    </w:p>
    <w:p w14:paraId="0343C58E">
      <w:pPr>
        <w:wordWrap w:val="0"/>
        <w:adjustRightInd w:val="0"/>
        <w:snapToGrid w:val="0"/>
        <w:spacing w:line="440" w:lineRule="exact"/>
        <w:ind w:firstLine="482" w:firstLineChars="200"/>
        <w:rPr>
          <w:snapToGrid w:val="0"/>
        </w:rPr>
      </w:pPr>
      <w:r>
        <w:rPr>
          <w:rFonts w:hint="eastAsia"/>
          <w:b/>
          <w:bCs/>
          <w:snapToGrid w:val="0"/>
        </w:rPr>
        <w:t>16.4</w:t>
      </w:r>
      <w:r>
        <w:rPr>
          <w:rFonts w:hint="eastAsia"/>
          <w:snapToGrid w:val="0"/>
        </w:rPr>
        <w:t xml:space="preserve"> 初步评审阶段</w:t>
      </w:r>
    </w:p>
    <w:p w14:paraId="59FE87F0">
      <w:pPr>
        <w:wordWrap w:val="0"/>
        <w:adjustRightInd w:val="0"/>
        <w:snapToGrid w:val="0"/>
        <w:spacing w:line="440" w:lineRule="exact"/>
        <w:ind w:firstLine="480" w:firstLineChars="200"/>
        <w:rPr>
          <w:snapToGrid w:val="0"/>
        </w:rPr>
      </w:pPr>
      <w:r>
        <w:rPr>
          <w:rFonts w:hint="eastAsia"/>
          <w:snapToGrid w:val="0"/>
        </w:rPr>
        <w:t>初步评审阶段分为资格评审、形式评审和响应性评审三个环节。</w:t>
      </w:r>
    </w:p>
    <w:p w14:paraId="14B1FA9A">
      <w:pPr>
        <w:wordWrap w:val="0"/>
        <w:adjustRightInd w:val="0"/>
        <w:snapToGrid w:val="0"/>
        <w:spacing w:line="440" w:lineRule="exact"/>
        <w:ind w:firstLine="482" w:firstLineChars="200"/>
        <w:rPr>
          <w:snapToGrid w:val="0"/>
        </w:rPr>
      </w:pPr>
      <w:r>
        <w:rPr>
          <w:rFonts w:hint="eastAsia"/>
          <w:b/>
          <w:bCs/>
          <w:snapToGrid w:val="0"/>
        </w:rPr>
        <w:t>16.4.1</w:t>
      </w:r>
      <w:r>
        <w:rPr>
          <w:rFonts w:hint="eastAsia"/>
          <w:snapToGrid w:val="0"/>
        </w:rPr>
        <w:t xml:space="preserve"> 资格评审环节</w:t>
      </w:r>
    </w:p>
    <w:p w14:paraId="0AE7AC75">
      <w:pPr>
        <w:wordWrap w:val="0"/>
        <w:adjustRightInd w:val="0"/>
        <w:snapToGrid w:val="0"/>
        <w:spacing w:line="440" w:lineRule="exact"/>
        <w:ind w:firstLine="480" w:firstLineChars="200"/>
        <w:rPr>
          <w:snapToGrid w:val="0"/>
        </w:rPr>
      </w:pPr>
      <w:r>
        <w:rPr>
          <w:rFonts w:hint="eastAsia"/>
          <w:snapToGrid w:val="0"/>
        </w:rPr>
        <w:t>资格评审事项包括：</w:t>
      </w:r>
    </w:p>
    <w:p w14:paraId="74CFB50E">
      <w:pPr>
        <w:numPr>
          <w:ilvl w:val="0"/>
          <w:numId w:val="4"/>
        </w:numPr>
        <w:wordWrap w:val="0"/>
        <w:adjustRightInd w:val="0"/>
        <w:snapToGrid w:val="0"/>
        <w:spacing w:line="440" w:lineRule="exact"/>
        <w:ind w:firstLine="480" w:firstLineChars="200"/>
        <w:rPr>
          <w:snapToGrid w:val="0"/>
        </w:rPr>
      </w:pPr>
      <w:r>
        <w:rPr>
          <w:rFonts w:hint="eastAsia"/>
          <w:snapToGrid w:val="0"/>
        </w:rPr>
        <w:t>投标人是否符合本章第三节第</w:t>
      </w:r>
      <w:r>
        <w:rPr>
          <w:rFonts w:hint="eastAsia"/>
          <w:b/>
          <w:bCs/>
          <w:snapToGrid w:val="0"/>
        </w:rPr>
        <w:t>4.4</w:t>
      </w:r>
      <w:r>
        <w:rPr>
          <w:rFonts w:hint="eastAsia"/>
          <w:snapToGrid w:val="0"/>
        </w:rPr>
        <w:t>条“禁止投标条款”规定。</w:t>
      </w:r>
    </w:p>
    <w:p w14:paraId="5F61CEE6">
      <w:pPr>
        <w:numPr>
          <w:ilvl w:val="0"/>
          <w:numId w:val="4"/>
        </w:numPr>
        <w:wordWrap w:val="0"/>
        <w:adjustRightInd w:val="0"/>
        <w:snapToGrid w:val="0"/>
        <w:spacing w:line="440" w:lineRule="exact"/>
        <w:ind w:firstLine="480" w:firstLineChars="200"/>
        <w:rPr>
          <w:snapToGrid w:val="0"/>
        </w:rPr>
      </w:pPr>
      <w:r>
        <w:rPr>
          <w:rFonts w:hint="eastAsia"/>
          <w:snapToGrid w:val="0"/>
        </w:rPr>
        <w:t>投标人名称是否与营业执照、资质证书一致。</w:t>
      </w:r>
    </w:p>
    <w:p w14:paraId="464B2E49">
      <w:pPr>
        <w:wordWrap w:val="0"/>
        <w:adjustRightInd w:val="0"/>
        <w:snapToGrid w:val="0"/>
        <w:spacing w:line="440" w:lineRule="exact"/>
        <w:ind w:firstLine="480" w:firstLineChars="200"/>
        <w:rPr>
          <w:snapToGrid w:val="0"/>
        </w:rPr>
      </w:pPr>
      <w:r>
        <w:rPr>
          <w:rFonts w:hint="eastAsia"/>
          <w:snapToGrid w:val="0"/>
        </w:rPr>
        <w:t>（3）投标人的资质是否符合招标文件规定；其营业执照、资质证书是否合法、有效。</w:t>
      </w:r>
    </w:p>
    <w:p w14:paraId="4D3B9377">
      <w:pPr>
        <w:wordWrap w:val="0"/>
        <w:adjustRightInd w:val="0"/>
        <w:snapToGrid w:val="0"/>
        <w:spacing w:line="440" w:lineRule="exact"/>
        <w:ind w:firstLine="480" w:firstLineChars="200"/>
        <w:rPr>
          <w:snapToGrid w:val="0"/>
        </w:rPr>
      </w:pPr>
      <w:r>
        <w:rPr>
          <w:rFonts w:hint="eastAsia"/>
          <w:snapToGrid w:val="0"/>
        </w:rPr>
        <w:t xml:space="preserve">（4）拟派项目设计负责人的条件是否符合招标文件规定；拟派项目设计负责人的各类证书、证件、证明是否合法、有效、准确。 </w:t>
      </w:r>
    </w:p>
    <w:p w14:paraId="01951A1F">
      <w:pPr>
        <w:wordWrap w:val="0"/>
        <w:adjustRightInd w:val="0"/>
        <w:snapToGrid w:val="0"/>
        <w:spacing w:line="440" w:lineRule="exact"/>
        <w:ind w:firstLine="480" w:firstLineChars="200"/>
        <w:rPr>
          <w:snapToGrid w:val="0"/>
        </w:rPr>
      </w:pPr>
      <w:r>
        <w:rPr>
          <w:rFonts w:hint="eastAsia"/>
          <w:snapToGrid w:val="0"/>
        </w:rPr>
        <w:t>（5）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5017BB3A">
      <w:pPr>
        <w:wordWrap w:val="0"/>
        <w:adjustRightInd w:val="0"/>
        <w:snapToGrid w:val="0"/>
        <w:spacing w:line="440" w:lineRule="exact"/>
        <w:ind w:firstLine="480" w:firstLineChars="200"/>
        <w:rPr>
          <w:b/>
          <w:bCs/>
          <w:snapToGrid w:val="0"/>
          <w:highlight w:val="none"/>
        </w:rPr>
      </w:pPr>
      <w:r>
        <w:rPr>
          <w:rFonts w:hint="eastAsia"/>
          <w:snapToGrid w:val="0"/>
        </w:rPr>
        <w:t>（6）投标人为外省企业的，是否按规定在“</w:t>
      </w:r>
      <w:r>
        <w:rPr>
          <w:rFonts w:hint="eastAsia"/>
          <w:snapToGrid w:val="0"/>
          <w:highlight w:val="none"/>
        </w:rPr>
        <w:t>进粤企业和人员诚信信息登记平台”录入企业有关信息并通过数据规范检查。</w:t>
      </w:r>
    </w:p>
    <w:p w14:paraId="3976811B">
      <w:pPr>
        <w:wordWrap w:val="0"/>
        <w:adjustRightInd w:val="0"/>
        <w:snapToGrid w:val="0"/>
        <w:spacing w:line="440" w:lineRule="exact"/>
        <w:ind w:firstLine="482" w:firstLineChars="200"/>
        <w:rPr>
          <w:snapToGrid w:val="0"/>
          <w:highlight w:val="none"/>
        </w:rPr>
      </w:pPr>
      <w:r>
        <w:rPr>
          <w:rFonts w:hint="eastAsia"/>
          <w:b/>
          <w:bCs/>
          <w:snapToGrid w:val="0"/>
          <w:highlight w:val="none"/>
        </w:rPr>
        <w:t>16.4.2</w:t>
      </w:r>
      <w:r>
        <w:rPr>
          <w:rFonts w:hint="eastAsia"/>
          <w:snapToGrid w:val="0"/>
          <w:highlight w:val="none"/>
        </w:rPr>
        <w:t xml:space="preserve"> 形式评审环节</w:t>
      </w:r>
    </w:p>
    <w:p w14:paraId="1243B05E">
      <w:pPr>
        <w:wordWrap w:val="0"/>
        <w:adjustRightInd w:val="0"/>
        <w:snapToGrid w:val="0"/>
        <w:spacing w:line="440" w:lineRule="exact"/>
        <w:ind w:firstLine="480" w:firstLineChars="200"/>
        <w:rPr>
          <w:snapToGrid w:val="0"/>
          <w:highlight w:val="none"/>
        </w:rPr>
      </w:pPr>
      <w:r>
        <w:rPr>
          <w:rFonts w:hint="eastAsia"/>
          <w:snapToGrid w:val="0"/>
          <w:highlight w:val="none"/>
        </w:rPr>
        <w:t>形式评审事项包括：</w:t>
      </w:r>
    </w:p>
    <w:p w14:paraId="49D1CB88">
      <w:pPr>
        <w:wordWrap w:val="0"/>
        <w:adjustRightInd w:val="0"/>
        <w:snapToGrid w:val="0"/>
        <w:spacing w:line="440" w:lineRule="exact"/>
        <w:ind w:firstLine="480" w:firstLineChars="200"/>
        <w:rPr>
          <w:snapToGrid w:val="0"/>
          <w:highlight w:val="none"/>
        </w:rPr>
      </w:pPr>
      <w:r>
        <w:rPr>
          <w:rFonts w:hint="eastAsia"/>
          <w:snapToGrid w:val="0"/>
          <w:highlight w:val="none"/>
        </w:rPr>
        <w:t>（1）投标文件的分册组成是否符合招标文件规定。</w:t>
      </w:r>
    </w:p>
    <w:p w14:paraId="107A01E4">
      <w:pPr>
        <w:wordWrap w:val="0"/>
        <w:adjustRightInd w:val="0"/>
        <w:snapToGrid w:val="0"/>
        <w:spacing w:line="440" w:lineRule="exact"/>
        <w:ind w:firstLine="480" w:firstLineChars="200"/>
        <w:rPr>
          <w:snapToGrid w:val="0"/>
          <w:highlight w:val="none"/>
        </w:rPr>
      </w:pPr>
      <w:r>
        <w:rPr>
          <w:rFonts w:hint="eastAsia"/>
          <w:snapToGrid w:val="0"/>
          <w:highlight w:val="none"/>
        </w:rPr>
        <w:t>（2）本节第</w:t>
      </w:r>
      <w:r>
        <w:rPr>
          <w:rFonts w:hint="eastAsia"/>
          <w:b/>
          <w:bCs/>
          <w:snapToGrid w:val="0"/>
          <w:highlight w:val="none"/>
        </w:rPr>
        <w:t>10.2.2</w:t>
      </w:r>
      <w:r>
        <w:rPr>
          <w:rFonts w:hint="eastAsia"/>
          <w:snapToGrid w:val="0"/>
          <w:highlight w:val="none"/>
        </w:rPr>
        <w:t>目、第</w:t>
      </w:r>
      <w:r>
        <w:rPr>
          <w:rFonts w:hint="eastAsia"/>
          <w:b/>
          <w:bCs/>
          <w:snapToGrid w:val="0"/>
          <w:highlight w:val="none"/>
        </w:rPr>
        <w:t>10.3.2</w:t>
      </w:r>
      <w:r>
        <w:rPr>
          <w:rFonts w:hint="eastAsia"/>
          <w:snapToGrid w:val="0"/>
          <w:highlight w:val="none"/>
        </w:rPr>
        <w:t>目中规定的“所有投标人均应提供”的组成内容（包括该组成内容的所附资料）是否完整、齐全。</w:t>
      </w:r>
    </w:p>
    <w:p w14:paraId="33A7475E">
      <w:pPr>
        <w:wordWrap w:val="0"/>
        <w:adjustRightInd w:val="0"/>
        <w:snapToGrid w:val="0"/>
        <w:spacing w:line="440" w:lineRule="exact"/>
        <w:ind w:firstLine="480" w:firstLineChars="200"/>
        <w:rPr>
          <w:snapToGrid w:val="0"/>
          <w:highlight w:val="none"/>
        </w:rPr>
      </w:pPr>
      <w:r>
        <w:rPr>
          <w:rFonts w:hint="eastAsia"/>
          <w:snapToGrid w:val="0"/>
          <w:highlight w:val="none"/>
        </w:rPr>
        <w:t>（3）各分册是否按招标文件规定签字、盖章。</w:t>
      </w:r>
    </w:p>
    <w:p w14:paraId="3369BC30">
      <w:pPr>
        <w:wordWrap w:val="0"/>
        <w:adjustRightInd w:val="0"/>
        <w:snapToGrid w:val="0"/>
        <w:spacing w:line="440" w:lineRule="exact"/>
        <w:ind w:firstLine="482" w:firstLineChars="200"/>
        <w:rPr>
          <w:snapToGrid w:val="0"/>
          <w:highlight w:val="none"/>
        </w:rPr>
      </w:pPr>
      <w:r>
        <w:rPr>
          <w:rFonts w:hint="eastAsia"/>
          <w:b/>
          <w:bCs/>
          <w:snapToGrid w:val="0"/>
          <w:highlight w:val="none"/>
        </w:rPr>
        <w:t>16.4.3</w:t>
      </w:r>
      <w:r>
        <w:rPr>
          <w:rFonts w:hint="eastAsia"/>
          <w:snapToGrid w:val="0"/>
          <w:highlight w:val="none"/>
        </w:rPr>
        <w:t xml:space="preserve"> 响应性评审环节</w:t>
      </w:r>
    </w:p>
    <w:p w14:paraId="7A654B82">
      <w:pPr>
        <w:wordWrap w:val="0"/>
        <w:adjustRightInd w:val="0"/>
        <w:snapToGrid w:val="0"/>
        <w:spacing w:line="440" w:lineRule="exact"/>
        <w:ind w:firstLine="480" w:firstLineChars="200"/>
        <w:rPr>
          <w:snapToGrid w:val="0"/>
          <w:highlight w:val="none"/>
        </w:rPr>
      </w:pPr>
      <w:r>
        <w:rPr>
          <w:rFonts w:hint="eastAsia"/>
          <w:snapToGrid w:val="0"/>
          <w:highlight w:val="none"/>
        </w:rPr>
        <w:t>响应性评审事项包括：</w:t>
      </w:r>
    </w:p>
    <w:p w14:paraId="1B0EC4C6">
      <w:pPr>
        <w:wordWrap w:val="0"/>
        <w:adjustRightInd w:val="0"/>
        <w:snapToGrid w:val="0"/>
        <w:spacing w:line="440" w:lineRule="exact"/>
        <w:ind w:firstLine="480" w:firstLineChars="200"/>
        <w:rPr>
          <w:snapToGrid w:val="0"/>
          <w:highlight w:val="none"/>
        </w:rPr>
      </w:pPr>
      <w:r>
        <w:rPr>
          <w:rFonts w:hint="eastAsia"/>
          <w:snapToGrid w:val="0"/>
          <w:highlight w:val="none"/>
        </w:rPr>
        <w:t>（1）投标有效期、工期等是否响应招标文件实质性要求；是否擅自修改、遗漏《投标函</w:t>
      </w:r>
      <w:r>
        <w:rPr>
          <w:rFonts w:hint="eastAsia"/>
          <w:snapToGrid w:val="0"/>
          <w:highlight w:val="none"/>
          <w:lang w:eastAsia="zh-CN"/>
        </w:rPr>
        <w:t>》和</w:t>
      </w:r>
      <w:r>
        <w:rPr>
          <w:rFonts w:hint="eastAsia"/>
          <w:snapToGrid w:val="0"/>
          <w:highlight w:val="none"/>
        </w:rPr>
        <w:t>《各项承诺一览表》的实质性内容。</w:t>
      </w:r>
    </w:p>
    <w:p w14:paraId="209F8DDD">
      <w:pPr>
        <w:wordWrap w:val="0"/>
        <w:adjustRightInd w:val="0"/>
        <w:snapToGrid w:val="0"/>
        <w:spacing w:line="440" w:lineRule="exact"/>
        <w:ind w:firstLine="480" w:firstLineChars="200"/>
        <w:rPr>
          <w:snapToGrid w:val="0"/>
          <w:highlight w:val="none"/>
        </w:rPr>
      </w:pPr>
      <w:r>
        <w:rPr>
          <w:rFonts w:hint="eastAsia"/>
          <w:snapToGrid w:val="0"/>
          <w:highlight w:val="none"/>
        </w:rPr>
        <w:t>（2）投标总价是否唯一；投标总价是否超出最高投标总价限价。</w:t>
      </w:r>
    </w:p>
    <w:p w14:paraId="24121806">
      <w:pPr>
        <w:wordWrap w:val="0"/>
        <w:adjustRightInd w:val="0"/>
        <w:snapToGrid w:val="0"/>
        <w:spacing w:line="440" w:lineRule="exact"/>
        <w:ind w:firstLine="480" w:firstLineChars="200"/>
        <w:rPr>
          <w:b/>
          <w:bCs/>
          <w:snapToGrid w:val="0"/>
          <w:highlight w:val="none"/>
        </w:rPr>
      </w:pPr>
      <w:r>
        <w:rPr>
          <w:rFonts w:hint="eastAsia"/>
          <w:snapToGrid w:val="0"/>
          <w:highlight w:val="none"/>
        </w:rPr>
        <w:t>（3）技术标书的质量、保障措施是否符合国家和省市现行有关规范、规定、标准，是否能实现</w:t>
      </w:r>
      <w:r>
        <w:rPr>
          <w:rFonts w:hint="eastAsia"/>
          <w:snapToGrid w:val="0"/>
          <w:highlight w:val="none"/>
          <w:lang w:val="en-US" w:eastAsia="zh-CN"/>
        </w:rPr>
        <w:t>设计</w:t>
      </w:r>
      <w:r>
        <w:rPr>
          <w:rFonts w:hint="eastAsia"/>
          <w:snapToGrid w:val="0"/>
          <w:highlight w:val="none"/>
        </w:rPr>
        <w:t xml:space="preserve">质量、进度管理目标。 </w:t>
      </w:r>
    </w:p>
    <w:p w14:paraId="6530759E">
      <w:pPr>
        <w:wordWrap w:val="0"/>
        <w:adjustRightInd w:val="0"/>
        <w:snapToGrid w:val="0"/>
        <w:spacing w:line="440" w:lineRule="exact"/>
        <w:ind w:firstLine="562"/>
        <w:rPr>
          <w:snapToGrid w:val="0"/>
        </w:rPr>
      </w:pPr>
      <w:r>
        <w:rPr>
          <w:rFonts w:hint="eastAsia"/>
          <w:b/>
          <w:bCs/>
          <w:snapToGrid w:val="0"/>
        </w:rPr>
        <w:t>16.4.4</w:t>
      </w:r>
      <w:r>
        <w:rPr>
          <w:rFonts w:hint="eastAsia"/>
          <w:snapToGrid w:val="0"/>
        </w:rPr>
        <w:t xml:space="preserve"> 否决投标说明</w:t>
      </w:r>
    </w:p>
    <w:p w14:paraId="0F1D2DA1">
      <w:pPr>
        <w:wordWrap w:val="0"/>
        <w:adjustRightInd w:val="0"/>
        <w:snapToGrid w:val="0"/>
        <w:spacing w:line="440" w:lineRule="exact"/>
        <w:ind w:firstLine="562"/>
        <w:rPr>
          <w:snapToGrid w:val="0"/>
        </w:rPr>
      </w:pPr>
      <w:r>
        <w:rPr>
          <w:rFonts w:hint="eastAsia"/>
          <w:snapToGrid w:val="0"/>
        </w:rPr>
        <w:t>初步评审阶段各个环节否决投标的全部条件，在本章第四节“否决投标条件”第</w:t>
      </w:r>
      <w:r>
        <w:rPr>
          <w:rFonts w:hint="eastAsia"/>
          <w:b/>
          <w:bCs/>
          <w:snapToGrid w:val="0"/>
        </w:rPr>
        <w:t>1</w:t>
      </w:r>
      <w:r>
        <w:rPr>
          <w:rFonts w:hint="eastAsia"/>
          <w:snapToGrid w:val="0"/>
        </w:rPr>
        <w:t>条至第</w:t>
      </w:r>
      <w:r>
        <w:rPr>
          <w:rFonts w:hint="eastAsia"/>
          <w:b/>
          <w:bCs/>
          <w:snapToGrid w:val="0"/>
        </w:rPr>
        <w:t>4</w:t>
      </w:r>
      <w:r>
        <w:rPr>
          <w:rFonts w:hint="eastAsia"/>
          <w:snapToGrid w:val="0"/>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6D6C3D4C">
      <w:pPr>
        <w:wordWrap w:val="0"/>
        <w:adjustRightInd w:val="0"/>
        <w:snapToGrid w:val="0"/>
        <w:spacing w:line="440" w:lineRule="exact"/>
        <w:rPr>
          <w:snapToGrid w:val="0"/>
        </w:rPr>
      </w:pPr>
      <w:r>
        <w:rPr>
          <w:rFonts w:hint="eastAsia"/>
          <w:b/>
          <w:bCs/>
          <w:snapToGrid w:val="0"/>
        </w:rPr>
        <w:t xml:space="preserve">    16.5</w:t>
      </w:r>
      <w:r>
        <w:rPr>
          <w:rFonts w:hint="eastAsia"/>
          <w:snapToGrid w:val="0"/>
        </w:rPr>
        <w:t xml:space="preserve"> 详细评审阶段</w:t>
      </w:r>
    </w:p>
    <w:p w14:paraId="6C787535">
      <w:pPr>
        <w:wordWrap w:val="0"/>
        <w:adjustRightInd w:val="0"/>
        <w:snapToGrid w:val="0"/>
        <w:spacing w:line="440" w:lineRule="exact"/>
        <w:rPr>
          <w:snapToGrid w:val="0"/>
        </w:rPr>
      </w:pPr>
      <w:r>
        <w:rPr>
          <w:rFonts w:hint="eastAsia"/>
          <w:b/>
          <w:bCs/>
          <w:snapToGrid w:val="0"/>
        </w:rPr>
        <w:t xml:space="preserve">    16.5.1</w:t>
      </w:r>
      <w:r>
        <w:rPr>
          <w:rFonts w:hint="eastAsia"/>
          <w:bCs/>
          <w:snapToGrid w:val="0"/>
        </w:rPr>
        <w:t xml:space="preserve"> “综合评估法”评审程序</w:t>
      </w:r>
    </w:p>
    <w:p w14:paraId="643561F8">
      <w:pPr>
        <w:wordWrap w:val="0"/>
        <w:adjustRightInd w:val="0"/>
        <w:snapToGrid w:val="0"/>
        <w:spacing w:line="420" w:lineRule="exact"/>
        <w:ind w:firstLine="480" w:firstLineChars="200"/>
        <w:rPr>
          <w:snapToGrid w:val="0"/>
        </w:rPr>
      </w:pPr>
      <w:r>
        <w:rPr>
          <w:rFonts w:hint="eastAsia"/>
          <w:snapToGrid w:val="0"/>
        </w:rPr>
        <w:t>评审内容分为商务技术和投标报价两大部分，综合得分满分为100分。其中，商务部分满分为</w:t>
      </w:r>
      <w:r>
        <w:rPr>
          <w:rFonts w:hint="eastAsia"/>
          <w:snapToGrid w:val="0"/>
          <w:u w:val="single"/>
        </w:rPr>
        <w:t>50</w:t>
      </w:r>
      <w:r>
        <w:rPr>
          <w:rFonts w:hint="eastAsia"/>
          <w:snapToGrid w:val="0"/>
        </w:rPr>
        <w:t>分，技术部分满分为</w:t>
      </w:r>
      <w:r>
        <w:rPr>
          <w:rFonts w:hint="eastAsia"/>
          <w:snapToGrid w:val="0"/>
          <w:u w:val="single"/>
        </w:rPr>
        <w:t>30</w:t>
      </w:r>
      <w:r>
        <w:rPr>
          <w:rFonts w:hint="eastAsia"/>
          <w:snapToGrid w:val="0"/>
        </w:rPr>
        <w:t>分，投标报价部分满分为</w:t>
      </w:r>
      <w:r>
        <w:rPr>
          <w:rFonts w:hint="eastAsia"/>
          <w:snapToGrid w:val="0"/>
          <w:u w:val="single"/>
        </w:rPr>
        <w:t>20</w:t>
      </w:r>
      <w:r>
        <w:rPr>
          <w:rFonts w:hint="eastAsia"/>
          <w:snapToGrid w:val="0"/>
          <w:u w:val="single"/>
          <w:lang w:eastAsia="zh-CN"/>
        </w:rPr>
        <w:t>分。</w:t>
      </w:r>
    </w:p>
    <w:p w14:paraId="6EFC60B3">
      <w:pPr>
        <w:wordWrap w:val="0"/>
        <w:adjustRightInd w:val="0"/>
        <w:snapToGrid w:val="0"/>
        <w:spacing w:line="440" w:lineRule="exact"/>
        <w:ind w:firstLine="480"/>
        <w:rPr>
          <w:snapToGrid w:val="0"/>
        </w:rPr>
      </w:pPr>
      <w:r>
        <w:rPr>
          <w:rFonts w:hint="eastAsia"/>
          <w:snapToGrid w:val="0"/>
        </w:rPr>
        <w:t>除特别注明外，综合得分以及商务、技术、投标报价得分的中间过程计算值和最终值，均按“四舍五入”原则精确到两位小数。</w:t>
      </w:r>
    </w:p>
    <w:p w14:paraId="6316ABA9">
      <w:pPr>
        <w:numPr>
          <w:ilvl w:val="0"/>
          <w:numId w:val="5"/>
        </w:numPr>
        <w:wordWrap w:val="0"/>
        <w:adjustRightInd w:val="0"/>
        <w:snapToGrid w:val="0"/>
        <w:spacing w:line="440" w:lineRule="exact"/>
        <w:ind w:firstLine="480" w:firstLineChars="200"/>
        <w:rPr>
          <w:snapToGrid w:val="0"/>
        </w:rPr>
      </w:pPr>
      <w:r>
        <w:rPr>
          <w:rFonts w:hint="eastAsia"/>
          <w:snapToGrid w:val="0"/>
        </w:rPr>
        <w:t>商务技术得分M1</w:t>
      </w:r>
    </w:p>
    <w:p w14:paraId="77C45D2A">
      <w:pPr>
        <w:wordWrap w:val="0"/>
        <w:adjustRightInd w:val="0"/>
        <w:snapToGrid w:val="0"/>
        <w:spacing w:line="440" w:lineRule="exact"/>
        <w:ind w:firstLine="480" w:firstLineChars="200"/>
        <w:rPr>
          <w:snapToGrid w:val="0"/>
        </w:rPr>
      </w:pPr>
      <w:r>
        <w:rPr>
          <w:rFonts w:hint="eastAsia"/>
          <w:snapToGrid w:val="0"/>
        </w:rPr>
        <w:t>评标委员会按照《综合评分表》商务部分指定的评分标准对各评分因素进行打分。各评分因素得分之和即为某投标人的商务得分M1。</w:t>
      </w:r>
    </w:p>
    <w:p w14:paraId="43370E3E">
      <w:pPr>
        <w:wordWrap w:val="0"/>
        <w:adjustRightInd w:val="0"/>
        <w:snapToGrid w:val="0"/>
        <w:spacing w:line="440" w:lineRule="exact"/>
        <w:ind w:firstLine="480" w:firstLineChars="200"/>
        <w:rPr>
          <w:snapToGrid w:val="0"/>
        </w:rPr>
      </w:pPr>
      <w:r>
        <w:rPr>
          <w:rFonts w:hint="eastAsia"/>
          <w:snapToGrid w:val="0"/>
        </w:rPr>
        <w:t>（2）技术得分M2</w:t>
      </w:r>
    </w:p>
    <w:p w14:paraId="322A2F46">
      <w:pPr>
        <w:wordWrap w:val="0"/>
        <w:adjustRightInd w:val="0"/>
        <w:snapToGrid w:val="0"/>
        <w:spacing w:line="440" w:lineRule="exact"/>
        <w:ind w:firstLine="480" w:firstLineChars="200"/>
        <w:rPr>
          <w:snapToGrid w:val="0"/>
        </w:rPr>
      </w:pPr>
      <w:r>
        <w:rPr>
          <w:rFonts w:hint="eastAsia"/>
          <w:snapToGrid w:val="0"/>
        </w:rPr>
        <w:t>评标委员会各成员独立按照《综合评分表》技术部分指定的评分标准对各评分因素进行打分，累加后得出技术评分。将评标委员会所有成员的技术评分去掉一个最高分和一个最低分后，取算术平均值，即为某投标人的技术得分M2。</w:t>
      </w:r>
    </w:p>
    <w:p w14:paraId="1764669A">
      <w:pPr>
        <w:wordWrap w:val="0"/>
        <w:adjustRightInd w:val="0"/>
        <w:snapToGrid w:val="0"/>
        <w:spacing w:line="440" w:lineRule="exact"/>
        <w:ind w:firstLine="480" w:firstLineChars="200"/>
        <w:rPr>
          <w:snapToGrid w:val="0"/>
        </w:rPr>
      </w:pPr>
      <w:r>
        <w:rPr>
          <w:rFonts w:hint="eastAsia"/>
          <w:snapToGrid w:val="0"/>
        </w:rPr>
        <w:t>（3）投标报价得分M3</w:t>
      </w:r>
    </w:p>
    <w:p w14:paraId="01C0D114">
      <w:pPr>
        <w:wordWrap w:val="0"/>
        <w:adjustRightInd w:val="0"/>
        <w:snapToGrid w:val="0"/>
        <w:spacing w:line="440" w:lineRule="exact"/>
        <w:ind w:firstLine="480" w:firstLineChars="200"/>
        <w:rPr>
          <w:snapToGrid w:val="0"/>
        </w:rPr>
      </w:pPr>
      <w:r>
        <w:rPr>
          <w:rFonts w:hint="eastAsia"/>
          <w:snapToGrid w:val="0"/>
          <w:lang w:eastAsia="zh-CN"/>
        </w:rPr>
        <w:t>a.</w:t>
      </w:r>
      <w:r>
        <w:rPr>
          <w:rFonts w:hint="eastAsia"/>
          <w:snapToGrid w:val="0"/>
        </w:rPr>
        <w:t>评标委员会按照《综合评分表》投标报价部分指定的方法计算评标基准价D。</w:t>
      </w:r>
    </w:p>
    <w:p w14:paraId="5D21A968">
      <w:pPr>
        <w:wordWrap w:val="0"/>
        <w:adjustRightInd w:val="0"/>
        <w:snapToGrid w:val="0"/>
        <w:spacing w:line="440" w:lineRule="exact"/>
        <w:ind w:firstLine="480" w:firstLineChars="200"/>
        <w:rPr>
          <w:snapToGrid w:val="0"/>
        </w:rPr>
      </w:pPr>
      <w:r>
        <w:rPr>
          <w:rFonts w:hint="eastAsia"/>
          <w:snapToGrid w:val="0"/>
          <w:lang w:eastAsia="zh-CN"/>
        </w:rPr>
        <w:t>b.</w:t>
      </w:r>
      <w:r>
        <w:rPr>
          <w:rFonts w:hint="eastAsia"/>
          <w:snapToGrid w:val="0"/>
        </w:rPr>
        <w:t>采用内插法计算某投标人的投标报价得分M3，即当投标人的投标总价等于评标基准价时得20分，每高于评标基准价一个百分点扣0.5分，每低于评标基准价一个百分点扣0.2分，扣完为止。公式如下：</w:t>
      </w:r>
    </w:p>
    <w:p w14:paraId="6F6CDD03">
      <w:pPr>
        <w:wordWrap w:val="0"/>
        <w:adjustRightInd w:val="0"/>
        <w:snapToGrid w:val="0"/>
        <w:spacing w:line="440" w:lineRule="exact"/>
        <w:ind w:firstLine="480" w:firstLineChars="200"/>
        <w:jc w:val="center"/>
        <w:rPr>
          <w:snapToGrid w:val="0"/>
        </w:rPr>
      </w:pPr>
      <w:r>
        <w:rPr>
          <w:rFonts w:hint="eastAsia"/>
          <w:snapToGrid w:val="0"/>
        </w:rPr>
        <w:t>M3</w:t>
      </w:r>
      <w:r>
        <w:rPr>
          <w:rFonts w:hint="eastAsia"/>
          <w:snapToGrid w:val="0"/>
          <w:lang w:eastAsia="zh-CN"/>
        </w:rPr>
        <w:t>=</w:t>
      </w:r>
      <w:r>
        <w:rPr>
          <w:rFonts w:hint="eastAsia"/>
          <w:snapToGrid w:val="0"/>
        </w:rPr>
        <w:t>20</w:t>
      </w:r>
      <w:r>
        <w:rPr>
          <w:rFonts w:hint="eastAsia"/>
          <w:snapToGrid w:val="0"/>
          <w:lang w:eastAsia="zh-CN"/>
        </w:rPr>
        <w:t>-(</w:t>
      </w:r>
      <w:r>
        <w:rPr>
          <w:rFonts w:hint="eastAsia"/>
          <w:snapToGrid w:val="0"/>
        </w:rPr>
        <w:t>| Di</w:t>
      </w:r>
      <w:r>
        <w:rPr>
          <w:rFonts w:hint="eastAsia"/>
          <w:snapToGrid w:val="0"/>
          <w:lang w:eastAsia="zh-CN"/>
        </w:rPr>
        <w:t>-</w:t>
      </w:r>
      <w:r>
        <w:rPr>
          <w:rFonts w:hint="eastAsia"/>
          <w:snapToGrid w:val="0"/>
        </w:rPr>
        <w:t>D | ÷D</w:t>
      </w:r>
      <w:r>
        <w:rPr>
          <w:rFonts w:hint="eastAsia"/>
          <w:snapToGrid w:val="0"/>
          <w:lang w:eastAsia="zh-CN"/>
        </w:rPr>
        <w:t>)</w:t>
      </w:r>
      <w:r>
        <w:rPr>
          <w:rFonts w:hint="eastAsia"/>
          <w:snapToGrid w:val="0"/>
        </w:rPr>
        <w:t>×100×E</w:t>
      </w:r>
    </w:p>
    <w:p w14:paraId="3E67B1F4">
      <w:pPr>
        <w:wordWrap w:val="0"/>
        <w:adjustRightInd w:val="0"/>
        <w:snapToGrid w:val="0"/>
        <w:spacing w:line="440" w:lineRule="exact"/>
        <w:ind w:firstLine="480" w:firstLineChars="200"/>
        <w:rPr>
          <w:snapToGrid w:val="0"/>
        </w:rPr>
      </w:pPr>
      <w:r>
        <w:rPr>
          <w:rFonts w:hint="eastAsia"/>
          <w:snapToGrid w:val="0"/>
        </w:rPr>
        <w:t>式中：D为评标基准价；Di为某投标人的投标总价；E为扣分因子，当Di＞D时，E＝0.5；当Di＜D时，E＝0.2。</w:t>
      </w:r>
    </w:p>
    <w:p w14:paraId="2B22ACD7">
      <w:pPr>
        <w:numPr>
          <w:ilvl w:val="0"/>
          <w:numId w:val="4"/>
        </w:numPr>
        <w:wordWrap w:val="0"/>
        <w:adjustRightInd w:val="0"/>
        <w:snapToGrid w:val="0"/>
        <w:spacing w:line="440" w:lineRule="exact"/>
        <w:ind w:firstLine="480" w:firstLineChars="200"/>
        <w:rPr>
          <w:snapToGrid w:val="0"/>
        </w:rPr>
      </w:pPr>
      <w:r>
        <w:rPr>
          <w:rFonts w:hint="eastAsia"/>
          <w:snapToGrid w:val="0"/>
        </w:rPr>
        <w:t>综合得分</w:t>
      </w:r>
    </w:p>
    <w:p w14:paraId="6C4D8DB8">
      <w:pPr>
        <w:wordWrap w:val="0"/>
        <w:adjustRightInd w:val="0"/>
        <w:snapToGrid w:val="0"/>
        <w:spacing w:line="440" w:lineRule="exact"/>
        <w:ind w:left="480" w:leftChars="200"/>
        <w:rPr>
          <w:snapToGrid w:val="0"/>
        </w:rPr>
      </w:pPr>
      <w:r>
        <w:rPr>
          <w:rFonts w:hint="eastAsia"/>
          <w:snapToGrid w:val="0"/>
        </w:rPr>
        <w:t>综合得分换算为百分制，满分100分，公式如下：</w:t>
      </w:r>
    </w:p>
    <w:p w14:paraId="7642AEF9">
      <w:pPr>
        <w:wordWrap w:val="0"/>
        <w:adjustRightInd w:val="0"/>
        <w:snapToGrid w:val="0"/>
        <w:spacing w:line="440" w:lineRule="exact"/>
        <w:ind w:left="480" w:leftChars="200" w:firstLine="480" w:firstLineChars="200"/>
        <w:rPr>
          <w:snapToGrid w:val="0"/>
        </w:rPr>
      </w:pPr>
      <w:r>
        <w:rPr>
          <w:rFonts w:hint="eastAsia"/>
          <w:snapToGrid w:val="0"/>
        </w:rPr>
        <w:t>综合得分＝M1＋M2＋M3</w:t>
      </w:r>
    </w:p>
    <w:p w14:paraId="773F6C48">
      <w:pPr>
        <w:wordWrap w:val="0"/>
        <w:adjustRightInd w:val="0"/>
        <w:snapToGrid w:val="0"/>
        <w:spacing w:line="440" w:lineRule="exact"/>
        <w:ind w:firstLine="480" w:firstLineChars="200"/>
        <w:rPr>
          <w:snapToGrid w:val="0"/>
        </w:rPr>
      </w:pPr>
      <w:r>
        <w:rPr>
          <w:rFonts w:hint="eastAsia"/>
          <w:snapToGrid w:val="0"/>
        </w:rPr>
        <w:t>式中：M1为某投标人的商务得分，M2为某投标人的技术得分，M3为投标报价得分。</w:t>
      </w:r>
    </w:p>
    <w:p w14:paraId="572A00AA">
      <w:pPr>
        <w:spacing w:line="400" w:lineRule="exact"/>
        <w:ind w:firstLine="361" w:firstLineChars="150"/>
        <w:rPr>
          <w:b/>
          <w:bCs/>
        </w:rPr>
      </w:pPr>
      <w:bookmarkStart w:id="219" w:name="_Toc464768778"/>
      <w:r>
        <w:rPr>
          <w:rFonts w:hint="eastAsia"/>
          <w:b/>
          <w:bCs/>
        </w:rPr>
        <w:t>（4）评标委员会根据招标文件规定的评分细则，对招标文件中的各评审因素进行评审、比较、打分，将得分前5名不排序（按企业统一社会信用代码后4位由大到小排位）的投标人作为定标候选人推荐给招标人，并对每个定标候选人的优势、风险等评审情况进行说明。当投标人综合总得分相同时，以报价低</w:t>
      </w:r>
      <w:r>
        <w:rPr>
          <w:rFonts w:hint="eastAsia"/>
          <w:b/>
          <w:bCs/>
          <w:lang w:eastAsia="zh-CN"/>
        </w:rPr>
        <w:t>者为</w:t>
      </w:r>
      <w:r>
        <w:rPr>
          <w:rFonts w:hint="eastAsia"/>
          <w:b/>
          <w:bCs/>
        </w:rPr>
        <w:t>前；当投标人综合总得分相同且报价相同时，由评标委员会投票确定排前。</w:t>
      </w:r>
    </w:p>
    <w:p w14:paraId="01685300">
      <w:pPr>
        <w:spacing w:line="400" w:lineRule="exact"/>
        <w:ind w:firstLine="602" w:firstLineChars="250"/>
        <w:rPr>
          <w:b/>
          <w:bCs/>
        </w:rPr>
      </w:pPr>
      <w:r>
        <w:rPr>
          <w:rFonts w:hint="eastAsia"/>
          <w:b/>
          <w:bCs/>
        </w:rPr>
        <w:t>定标候选人得分只作为评标委员会的推荐依据，不作为定标委员会对中标候选人排序的依据。当有效投标人数量不足5名但满足法定要求时，所有通过评审的有效投标人均应作为定标候选人。</w:t>
      </w:r>
    </w:p>
    <w:p w14:paraId="1A44E74B">
      <w:pPr>
        <w:spacing w:line="400" w:lineRule="exact"/>
        <w:ind w:firstLine="361" w:firstLineChars="150"/>
        <w:rPr>
          <w:b/>
          <w:bCs/>
        </w:rPr>
      </w:pPr>
      <w:r>
        <w:rPr>
          <w:rFonts w:hint="eastAsia"/>
          <w:b/>
          <w:bCs/>
        </w:rPr>
        <w:t>注：编写评标报告时，定标候选人不排序，按企业统一社会信用代码后4位大小排位，如统一社会信用代码后4位出现字母情况的，字母以“0”进行代替大小排位，如出现后4位大小一致的，则随机排位。</w:t>
      </w:r>
    </w:p>
    <w:p w14:paraId="6069D5E0">
      <w:pPr>
        <w:wordWrap w:val="0"/>
        <w:adjustRightInd w:val="0"/>
        <w:snapToGrid w:val="0"/>
        <w:spacing w:line="440" w:lineRule="exact"/>
        <w:ind w:firstLine="420" w:firstLineChars="200"/>
        <w:jc w:val="center"/>
        <w:rPr>
          <w:b/>
          <w:bCs/>
        </w:rPr>
      </w:pPr>
      <w:r>
        <w:rPr>
          <w:rFonts w:hint="eastAsia"/>
          <w:snapToGrid w:val="0"/>
          <w:sz w:val="21"/>
          <w:szCs w:val="21"/>
        </w:rPr>
        <w:br w:type="page"/>
      </w:r>
      <w:bookmarkEnd w:id="219"/>
      <w:bookmarkStart w:id="220" w:name="_Hlt69669771"/>
      <w:bookmarkEnd w:id="220"/>
      <w:bookmarkStart w:id="221" w:name="_Toc14036"/>
      <w:bookmarkStart w:id="222" w:name="_Hlt69698713"/>
      <w:bookmarkStart w:id="223" w:name="_Hlt69698765"/>
      <w:r>
        <w:rPr>
          <w:rFonts w:hint="eastAsia"/>
          <w:b/>
          <w:bCs/>
        </w:rPr>
        <w:t>综合评分表</w:t>
      </w:r>
    </w:p>
    <w:tbl>
      <w:tblPr>
        <w:tblStyle w:val="31"/>
        <w:tblW w:w="10326" w:type="dxa"/>
        <w:jc w:val="center"/>
        <w:tblLayout w:type="fixed"/>
        <w:tblCellMar>
          <w:top w:w="0" w:type="dxa"/>
          <w:left w:w="108" w:type="dxa"/>
          <w:bottom w:w="0" w:type="dxa"/>
          <w:right w:w="108" w:type="dxa"/>
        </w:tblCellMar>
      </w:tblPr>
      <w:tblGrid>
        <w:gridCol w:w="816"/>
        <w:gridCol w:w="960"/>
        <w:gridCol w:w="4170"/>
        <w:gridCol w:w="4380"/>
      </w:tblGrid>
      <w:tr w14:paraId="24759ED8">
        <w:tblPrEx>
          <w:tblCellMar>
            <w:top w:w="0" w:type="dxa"/>
            <w:left w:w="108" w:type="dxa"/>
            <w:bottom w:w="0" w:type="dxa"/>
            <w:right w:w="108" w:type="dxa"/>
          </w:tblCellMar>
        </w:tblPrEx>
        <w:trPr>
          <w:trHeight w:val="801" w:hRule="atLeast"/>
          <w:jc w:val="center"/>
        </w:trPr>
        <w:tc>
          <w:tcPr>
            <w:tcW w:w="10326" w:type="dxa"/>
            <w:gridSpan w:val="4"/>
            <w:tcBorders>
              <w:top w:val="single" w:color="auto" w:sz="4" w:space="0"/>
              <w:left w:val="single" w:color="auto" w:sz="4" w:space="0"/>
              <w:bottom w:val="single" w:color="auto" w:sz="4" w:space="0"/>
              <w:right w:val="single" w:color="auto" w:sz="4" w:space="0"/>
            </w:tcBorders>
            <w:shd w:val="clear" w:color="auto" w:fill="D7D7D7"/>
            <w:vAlign w:val="bottom"/>
          </w:tcPr>
          <w:p w14:paraId="573EEF77">
            <w:pPr>
              <w:pStyle w:val="11"/>
              <w:wordWrap w:val="0"/>
              <w:autoSpaceDE w:val="0"/>
              <w:adjustRightInd w:val="0"/>
              <w:snapToGrid w:val="0"/>
              <w:spacing w:line="360" w:lineRule="auto"/>
            </w:pPr>
            <w:r>
              <w:rPr>
                <w:rFonts w:hint="eastAsia"/>
                <w:b/>
                <w:bCs/>
              </w:rPr>
              <w:t>商务部分</w:t>
            </w:r>
            <w:r>
              <w:rPr>
                <w:rFonts w:hint="eastAsia"/>
                <w:b/>
                <w:bCs/>
                <w:snapToGrid w:val="0"/>
              </w:rPr>
              <w:t>M</w:t>
            </w:r>
            <w:r>
              <w:rPr>
                <w:rFonts w:hint="eastAsia"/>
                <w:b/>
                <w:bCs/>
                <w:snapToGrid w:val="0"/>
                <w:vertAlign w:val="subscript"/>
              </w:rPr>
              <w:t>1</w:t>
            </w:r>
            <w:r>
              <w:rPr>
                <w:rFonts w:hint="eastAsia"/>
                <w:b/>
                <w:bCs/>
              </w:rPr>
              <w:t>，满分：50分。</w:t>
            </w:r>
          </w:p>
        </w:tc>
      </w:tr>
      <w:tr w14:paraId="181BCB17">
        <w:tblPrEx>
          <w:tblCellMar>
            <w:top w:w="0" w:type="dxa"/>
            <w:left w:w="108" w:type="dxa"/>
            <w:bottom w:w="0" w:type="dxa"/>
            <w:right w:w="108" w:type="dxa"/>
          </w:tblCellMar>
        </w:tblPrEx>
        <w:trPr>
          <w:trHeight w:val="475" w:hRule="atLeast"/>
          <w:jc w:val="center"/>
        </w:trPr>
        <w:tc>
          <w:tcPr>
            <w:tcW w:w="1776" w:type="dxa"/>
            <w:gridSpan w:val="2"/>
            <w:tcBorders>
              <w:top w:val="single" w:color="auto" w:sz="4" w:space="0"/>
              <w:left w:val="single" w:color="auto" w:sz="4" w:space="0"/>
              <w:bottom w:val="single" w:color="auto" w:sz="4" w:space="0"/>
              <w:right w:val="single" w:color="auto" w:sz="4" w:space="0"/>
            </w:tcBorders>
            <w:vAlign w:val="center"/>
          </w:tcPr>
          <w:p w14:paraId="4F5B8C8D">
            <w:pPr>
              <w:spacing w:line="360" w:lineRule="auto"/>
              <w:jc w:val="center"/>
            </w:pPr>
            <w:r>
              <w:rPr>
                <w:rFonts w:hint="eastAsia"/>
              </w:rPr>
              <w:t>评分因素</w:t>
            </w:r>
          </w:p>
        </w:tc>
        <w:tc>
          <w:tcPr>
            <w:tcW w:w="4170" w:type="dxa"/>
            <w:tcBorders>
              <w:top w:val="single" w:color="auto" w:sz="4" w:space="0"/>
              <w:left w:val="nil"/>
              <w:bottom w:val="single" w:color="auto" w:sz="4" w:space="0"/>
              <w:right w:val="single" w:color="auto" w:sz="4" w:space="0"/>
            </w:tcBorders>
            <w:vAlign w:val="center"/>
          </w:tcPr>
          <w:p w14:paraId="062BCD06">
            <w:pPr>
              <w:spacing w:line="360" w:lineRule="auto"/>
              <w:jc w:val="center"/>
            </w:pPr>
            <w:r>
              <w:rPr>
                <w:rFonts w:hint="eastAsia"/>
              </w:rPr>
              <w:t>评分标准</w:t>
            </w:r>
          </w:p>
        </w:tc>
        <w:tc>
          <w:tcPr>
            <w:tcW w:w="4380" w:type="dxa"/>
            <w:tcBorders>
              <w:top w:val="single" w:color="auto" w:sz="4" w:space="0"/>
              <w:left w:val="nil"/>
              <w:bottom w:val="single" w:color="auto" w:sz="4" w:space="0"/>
              <w:right w:val="single" w:color="auto" w:sz="4" w:space="0"/>
            </w:tcBorders>
            <w:vAlign w:val="center"/>
          </w:tcPr>
          <w:p w14:paraId="596523D0">
            <w:pPr>
              <w:spacing w:line="360" w:lineRule="auto"/>
              <w:jc w:val="center"/>
            </w:pPr>
            <w:r>
              <w:rPr>
                <w:rFonts w:hint="eastAsia"/>
              </w:rPr>
              <w:t>备注</w:t>
            </w:r>
          </w:p>
        </w:tc>
      </w:tr>
      <w:tr w14:paraId="25CB6229">
        <w:tblPrEx>
          <w:tblCellMar>
            <w:top w:w="0" w:type="dxa"/>
            <w:left w:w="108" w:type="dxa"/>
            <w:bottom w:w="0" w:type="dxa"/>
            <w:right w:w="108" w:type="dxa"/>
          </w:tblCellMar>
        </w:tblPrEx>
        <w:trPr>
          <w:trHeight w:val="3701" w:hRule="atLeast"/>
          <w:jc w:val="center"/>
        </w:trPr>
        <w:tc>
          <w:tcPr>
            <w:tcW w:w="816" w:type="dxa"/>
            <w:vMerge w:val="restart"/>
            <w:tcBorders>
              <w:left w:val="single" w:color="auto" w:sz="4" w:space="0"/>
              <w:right w:val="single" w:color="auto" w:sz="4" w:space="0"/>
            </w:tcBorders>
            <w:vAlign w:val="center"/>
          </w:tcPr>
          <w:p w14:paraId="7D4AF3BD">
            <w:pPr>
              <w:spacing w:line="360" w:lineRule="auto"/>
            </w:pPr>
            <w:r>
              <w:rPr>
                <w:rFonts w:hint="eastAsia"/>
              </w:rPr>
              <w:t>商务部分（50分）</w:t>
            </w:r>
          </w:p>
        </w:tc>
        <w:tc>
          <w:tcPr>
            <w:tcW w:w="960" w:type="dxa"/>
            <w:tcBorders>
              <w:top w:val="single" w:color="auto" w:sz="4" w:space="0"/>
              <w:left w:val="nil"/>
              <w:right w:val="single" w:color="auto" w:sz="4" w:space="0"/>
            </w:tcBorders>
            <w:vAlign w:val="center"/>
          </w:tcPr>
          <w:p w14:paraId="3F759751">
            <w:pPr>
              <w:spacing w:line="360" w:lineRule="auto"/>
            </w:pPr>
            <w:r>
              <w:rPr>
                <w:rFonts w:hint="eastAsia"/>
              </w:rPr>
              <w:t>企业业绩（12分）</w:t>
            </w:r>
            <w:r>
              <w:rPr>
                <w:snapToGrid w:val="0"/>
                <w:color w:val="000000"/>
                <w:sz w:val="21"/>
                <w:szCs w:val="21"/>
              </w:rPr>
              <w:t>（组成联合体投标的由联合体</w:t>
            </w:r>
            <w:r>
              <w:rPr>
                <w:rFonts w:hint="eastAsia"/>
                <w:snapToGrid w:val="0"/>
                <w:color w:val="000000"/>
                <w:sz w:val="21"/>
                <w:szCs w:val="21"/>
              </w:rPr>
              <w:t>任意一方</w:t>
            </w:r>
            <w:r>
              <w:rPr>
                <w:snapToGrid w:val="0"/>
                <w:color w:val="000000"/>
                <w:sz w:val="21"/>
                <w:szCs w:val="21"/>
              </w:rPr>
              <w:t>提供）</w:t>
            </w:r>
          </w:p>
        </w:tc>
        <w:tc>
          <w:tcPr>
            <w:tcW w:w="4170" w:type="dxa"/>
            <w:tcBorders>
              <w:top w:val="single" w:color="auto" w:sz="4" w:space="0"/>
              <w:left w:val="nil"/>
              <w:bottom w:val="single" w:color="auto" w:sz="4" w:space="0"/>
              <w:right w:val="single" w:color="auto" w:sz="4" w:space="0"/>
            </w:tcBorders>
            <w:vAlign w:val="center"/>
          </w:tcPr>
          <w:p w14:paraId="1D3AC96E">
            <w:pPr>
              <w:spacing w:line="360" w:lineRule="auto"/>
            </w:pPr>
            <w:r>
              <w:rPr>
                <w:rFonts w:hint="eastAsia"/>
              </w:rPr>
              <w:t>投标人近年来（2021年1月1日至今）业绩情况：</w:t>
            </w:r>
          </w:p>
          <w:p w14:paraId="734E53FB">
            <w:pPr>
              <w:spacing w:line="360" w:lineRule="auto"/>
            </w:pPr>
            <w:r>
              <w:rPr>
                <w:rFonts w:hint="eastAsia"/>
              </w:rPr>
              <w:t>1.</w:t>
            </w:r>
            <w:r>
              <w:rPr>
                <w:rFonts w:hint="eastAsia"/>
                <w:u w:val="single"/>
              </w:rPr>
              <w:t>承接</w:t>
            </w:r>
            <w:r>
              <w:rPr>
                <w:rFonts w:hint="eastAsia"/>
              </w:rPr>
              <w:t>过类似项目设计业绩的，每个得3分；</w:t>
            </w:r>
          </w:p>
          <w:p w14:paraId="1EF8A7EA">
            <w:pPr>
              <w:spacing w:line="360" w:lineRule="auto"/>
            </w:pPr>
            <w:r>
              <w:rPr>
                <w:rFonts w:hint="eastAsia"/>
              </w:rPr>
              <w:t>2.</w:t>
            </w:r>
            <w:r>
              <w:rPr>
                <w:rFonts w:hint="eastAsia"/>
                <w:u w:val="single"/>
              </w:rPr>
              <w:t>未承接</w:t>
            </w:r>
            <w:r>
              <w:rPr>
                <w:rFonts w:hint="eastAsia"/>
              </w:rPr>
              <w:t>过类似项目设计业绩的，不予计分；</w:t>
            </w:r>
          </w:p>
          <w:p w14:paraId="444E8CDB">
            <w:pPr>
              <w:spacing w:line="360" w:lineRule="auto"/>
            </w:pPr>
            <w:r>
              <w:rPr>
                <w:rFonts w:hint="eastAsia"/>
              </w:rPr>
              <w:t>3.本项最高得12分。</w:t>
            </w:r>
          </w:p>
        </w:tc>
        <w:tc>
          <w:tcPr>
            <w:tcW w:w="4380" w:type="dxa"/>
            <w:tcBorders>
              <w:top w:val="single" w:color="auto" w:sz="4" w:space="0"/>
              <w:left w:val="nil"/>
              <w:bottom w:val="single" w:color="auto" w:sz="4" w:space="0"/>
              <w:right w:val="single" w:color="auto" w:sz="4" w:space="0"/>
            </w:tcBorders>
            <w:vAlign w:val="center"/>
          </w:tcPr>
          <w:p w14:paraId="147E8707">
            <w:pPr>
              <w:spacing w:line="360" w:lineRule="auto"/>
            </w:pPr>
            <w:r>
              <w:rPr>
                <w:rFonts w:hint="eastAsia"/>
                <w:u w:val="single"/>
              </w:rPr>
              <w:t>1.类似项目指：</w:t>
            </w:r>
            <w:r>
              <w:rPr>
                <w:rFonts w:hint="eastAsia"/>
                <w:highlight w:val="none"/>
                <w:u w:val="single"/>
              </w:rPr>
              <w:t>古城/老城/历史文化街区项目设计或城市更新项目</w:t>
            </w:r>
            <w:r>
              <w:rPr>
                <w:rFonts w:hint="eastAsia"/>
                <w:u w:val="single"/>
              </w:rPr>
              <w:t>设计业绩（含设计，勘察设计，勘察设计施工总承包项目）。</w:t>
            </w:r>
          </w:p>
          <w:p w14:paraId="550EC65F">
            <w:pPr>
              <w:spacing w:line="360" w:lineRule="auto"/>
            </w:pPr>
            <w:r>
              <w:rPr>
                <w:rFonts w:hint="eastAsia"/>
              </w:rPr>
              <w:t>2.需附有关业绩（仅限于以设计单位身份参建的项目）合同协议书关键页扫描件。</w:t>
            </w:r>
          </w:p>
          <w:p w14:paraId="32DD1882">
            <w:pPr>
              <w:spacing w:line="360" w:lineRule="auto"/>
            </w:pPr>
            <w:r>
              <w:rPr>
                <w:rFonts w:hint="eastAsia"/>
              </w:rPr>
              <w:t>3.时间以合同签订时间为准。</w:t>
            </w:r>
          </w:p>
          <w:p w14:paraId="6701FF94">
            <w:pPr>
              <w:spacing w:line="360" w:lineRule="auto"/>
            </w:pPr>
            <w:r>
              <w:rPr>
                <w:rFonts w:hint="eastAsia"/>
              </w:rPr>
              <w:t>4.任一业绩有以下情形之一的，该业绩视为无效，不予计分：</w:t>
            </w:r>
          </w:p>
          <w:p w14:paraId="52B6AE20">
            <w:pPr>
              <w:spacing w:line="360" w:lineRule="auto"/>
            </w:pPr>
            <w:r>
              <w:rPr>
                <w:rFonts w:hint="eastAsia"/>
              </w:rPr>
              <w:t>①业绩不属于指定类别的；</w:t>
            </w:r>
          </w:p>
          <w:p w14:paraId="4542E7E7">
            <w:pPr>
              <w:spacing w:line="360" w:lineRule="auto"/>
              <w:rPr>
                <w:rFonts w:hint="eastAsia" w:eastAsia="宋体"/>
                <w:lang w:eastAsia="zh-CN"/>
              </w:rPr>
            </w:pPr>
            <w:r>
              <w:rPr>
                <w:rFonts w:hint="eastAsia"/>
              </w:rPr>
              <w:t>②业绩时间不符合要求的</w:t>
            </w:r>
            <w:r>
              <w:rPr>
                <w:rFonts w:hint="eastAsia"/>
                <w:lang w:eastAsia="zh-CN"/>
              </w:rPr>
              <w:t>；</w:t>
            </w:r>
          </w:p>
          <w:p w14:paraId="32C7606F">
            <w:pPr>
              <w:spacing w:line="360" w:lineRule="auto"/>
              <w:rPr>
                <w:rFonts w:hint="eastAsia" w:eastAsia="宋体"/>
                <w:lang w:eastAsia="zh-CN"/>
              </w:rPr>
            </w:pPr>
            <w:r>
              <w:rPr>
                <w:rFonts w:hint="eastAsia"/>
              </w:rPr>
              <w:t>③不是以指定身份参建的</w:t>
            </w:r>
            <w:r>
              <w:rPr>
                <w:rFonts w:hint="eastAsia"/>
                <w:lang w:eastAsia="zh-CN"/>
              </w:rPr>
              <w:t>。</w:t>
            </w:r>
          </w:p>
        </w:tc>
      </w:tr>
      <w:tr w14:paraId="65F47460">
        <w:tblPrEx>
          <w:tblCellMar>
            <w:top w:w="0" w:type="dxa"/>
            <w:left w:w="108" w:type="dxa"/>
            <w:bottom w:w="0" w:type="dxa"/>
            <w:right w:w="108" w:type="dxa"/>
          </w:tblCellMar>
        </w:tblPrEx>
        <w:trPr>
          <w:trHeight w:val="635" w:hRule="atLeast"/>
          <w:jc w:val="center"/>
        </w:trPr>
        <w:tc>
          <w:tcPr>
            <w:tcW w:w="816" w:type="dxa"/>
            <w:vMerge w:val="continue"/>
            <w:tcBorders>
              <w:top w:val="nil"/>
              <w:left w:val="single" w:color="auto" w:sz="4" w:space="0"/>
              <w:bottom w:val="nil"/>
              <w:right w:val="single" w:color="auto" w:sz="4" w:space="0"/>
            </w:tcBorders>
            <w:vAlign w:val="center"/>
          </w:tcPr>
          <w:p w14:paraId="06817E96">
            <w:pPr>
              <w:spacing w:line="360" w:lineRule="auto"/>
            </w:pPr>
          </w:p>
        </w:tc>
        <w:tc>
          <w:tcPr>
            <w:tcW w:w="960" w:type="dxa"/>
            <w:tcBorders>
              <w:top w:val="single" w:color="auto" w:sz="4" w:space="0"/>
              <w:left w:val="nil"/>
              <w:right w:val="single" w:color="auto" w:sz="4" w:space="0"/>
            </w:tcBorders>
            <w:vAlign w:val="center"/>
          </w:tcPr>
          <w:p w14:paraId="30E2031B">
            <w:pPr>
              <w:spacing w:line="360" w:lineRule="auto"/>
              <w:rPr>
                <w:highlight w:val="yellow"/>
              </w:rPr>
            </w:pPr>
            <w:r>
              <w:rPr>
                <w:rFonts w:hint="eastAsia"/>
              </w:rPr>
              <w:t>获奖情况（</w:t>
            </w:r>
            <w:r>
              <w:t>8</w:t>
            </w:r>
            <w:r>
              <w:rPr>
                <w:rFonts w:hint="eastAsia"/>
              </w:rPr>
              <w:t>分）（组成联合体投标的由联合体任意一方提供）</w:t>
            </w:r>
          </w:p>
        </w:tc>
        <w:tc>
          <w:tcPr>
            <w:tcW w:w="4170" w:type="dxa"/>
            <w:tcBorders>
              <w:top w:val="single" w:color="auto" w:sz="4" w:space="0"/>
              <w:left w:val="nil"/>
              <w:bottom w:val="single" w:color="auto" w:sz="4" w:space="0"/>
              <w:right w:val="single" w:color="auto" w:sz="4" w:space="0"/>
            </w:tcBorders>
            <w:vAlign w:val="center"/>
          </w:tcPr>
          <w:p w14:paraId="699DE8A4">
            <w:pPr>
              <w:spacing w:line="360" w:lineRule="auto"/>
            </w:pPr>
            <w:r>
              <w:rPr>
                <w:rFonts w:hint="eastAsia"/>
              </w:rPr>
              <w:t>投标人近年来（2021年1月1日至今），承接过的</w:t>
            </w:r>
            <w:r>
              <w:rPr>
                <w:rFonts w:hint="eastAsia"/>
                <w:u w:val="single"/>
              </w:rPr>
              <w:t>设计相关业绩</w:t>
            </w:r>
            <w:r>
              <w:rPr>
                <w:rFonts w:hint="eastAsia"/>
              </w:rPr>
              <w:t>获得奖项情况：</w:t>
            </w:r>
          </w:p>
          <w:p w14:paraId="69F2C081">
            <w:pPr>
              <w:spacing w:line="360" w:lineRule="auto"/>
            </w:pPr>
            <w:r>
              <w:rPr>
                <w:rFonts w:hint="eastAsia"/>
              </w:rPr>
              <w:t>1.获得国家级奖项的，每个得3分；</w:t>
            </w:r>
          </w:p>
          <w:p w14:paraId="20D00868">
            <w:pPr>
              <w:spacing w:line="360" w:lineRule="auto"/>
            </w:pPr>
            <w:r>
              <w:rPr>
                <w:rFonts w:hint="eastAsia"/>
              </w:rPr>
              <w:t>2.获得省级奖项的，每个得2分；</w:t>
            </w:r>
          </w:p>
          <w:p w14:paraId="67DF34B4">
            <w:pPr>
              <w:spacing w:line="360" w:lineRule="auto"/>
            </w:pPr>
            <w:r>
              <w:rPr>
                <w:rFonts w:hint="eastAsia"/>
              </w:rPr>
              <w:t>3.获得地市级奖项，每个得1分；</w:t>
            </w:r>
          </w:p>
          <w:p w14:paraId="78F5BCB2">
            <w:pPr>
              <w:spacing w:line="360" w:lineRule="auto"/>
            </w:pPr>
            <w:r>
              <w:rPr>
                <w:rFonts w:hint="eastAsia"/>
              </w:rPr>
              <w:t>4.以上奖项均未获得的，不予计分；</w:t>
            </w:r>
          </w:p>
          <w:p w14:paraId="0654FAAB">
            <w:pPr>
              <w:spacing w:line="360" w:lineRule="auto"/>
            </w:pPr>
            <w:r>
              <w:rPr>
                <w:rFonts w:hint="eastAsia"/>
              </w:rPr>
              <w:t>5.本项最高得8分。</w:t>
            </w:r>
          </w:p>
        </w:tc>
        <w:tc>
          <w:tcPr>
            <w:tcW w:w="4380" w:type="dxa"/>
            <w:tcBorders>
              <w:top w:val="single" w:color="auto" w:sz="4" w:space="0"/>
              <w:left w:val="nil"/>
              <w:bottom w:val="single" w:color="auto" w:sz="4" w:space="0"/>
              <w:right w:val="single" w:color="auto" w:sz="4" w:space="0"/>
            </w:tcBorders>
            <w:vAlign w:val="center"/>
          </w:tcPr>
          <w:p w14:paraId="05212B4C">
            <w:pPr>
              <w:spacing w:line="360" w:lineRule="auto"/>
            </w:pPr>
            <w:r>
              <w:rPr>
                <w:rFonts w:hint="eastAsia"/>
              </w:rPr>
              <w:t>1.投标人可以提交多个等级奖项供评审，但同一项目只按最高获奖等级计分，不同项目的省级或以上、地市级奖项可累加计分。</w:t>
            </w:r>
          </w:p>
          <w:p w14:paraId="6486A66C">
            <w:pPr>
              <w:spacing w:line="360" w:lineRule="auto"/>
            </w:pPr>
            <w:r>
              <w:rPr>
                <w:rFonts w:hint="eastAsia"/>
              </w:rPr>
              <w:t>2.需附有关奖项证明扫描件。</w:t>
            </w:r>
          </w:p>
          <w:p w14:paraId="1CAB76B2">
            <w:pPr>
              <w:spacing w:line="360" w:lineRule="auto"/>
            </w:pPr>
            <w:r>
              <w:rPr>
                <w:rFonts w:hint="eastAsia"/>
              </w:rPr>
              <w:t>3.颁发机构限定以下范围：</w:t>
            </w:r>
          </w:p>
          <w:p w14:paraId="78F54EFF">
            <w:pPr>
              <w:spacing w:line="360" w:lineRule="auto"/>
            </w:pPr>
            <w:r>
              <w:rPr>
                <w:rFonts w:hint="eastAsia"/>
              </w:rPr>
              <w:t>①国家级奖项：国务院、住建部、中国建筑业协会、国家级勘察设计行业协会、勘察设计协会或勘察设计</w:t>
            </w:r>
            <w:r>
              <w:rPr>
                <w:rFonts w:hint="eastAsia"/>
                <w:lang w:eastAsia="zh-CN"/>
              </w:rPr>
              <w:t>行业协会</w:t>
            </w:r>
            <w:r>
              <w:rPr>
                <w:rFonts w:hint="eastAsia"/>
              </w:rPr>
              <w:t>、中</w:t>
            </w:r>
            <w:r>
              <w:t>国风景园林学会</w:t>
            </w:r>
            <w:r>
              <w:rPr>
                <w:rFonts w:hint="eastAsia"/>
              </w:rPr>
              <w:t>；</w:t>
            </w:r>
          </w:p>
          <w:p w14:paraId="75E47FA6">
            <w:pPr>
              <w:spacing w:line="360" w:lineRule="auto"/>
            </w:pPr>
            <w:r>
              <w:rPr>
                <w:rFonts w:hint="eastAsia"/>
              </w:rPr>
              <w:t>②省级奖项：省级人民政府、省级住建部门、省级建筑业协会、省级勘察设计行业协会、勘察设计协会或勘察设计</w:t>
            </w:r>
            <w:r>
              <w:rPr>
                <w:rFonts w:hint="eastAsia"/>
                <w:lang w:eastAsia="zh-CN"/>
              </w:rPr>
              <w:t>行业协会、</w:t>
            </w:r>
            <w:r>
              <w:rPr>
                <w:rFonts w:hint="eastAsia"/>
                <w:lang w:val="en-US" w:eastAsia="zh-CN"/>
              </w:rPr>
              <w:t>省级</w:t>
            </w:r>
            <w:r>
              <w:t>风景园林学会</w:t>
            </w:r>
            <w:r>
              <w:rPr>
                <w:rFonts w:hint="eastAsia"/>
              </w:rPr>
              <w:t>；</w:t>
            </w:r>
          </w:p>
          <w:p w14:paraId="5A01FC9D">
            <w:pPr>
              <w:spacing w:line="360" w:lineRule="auto"/>
            </w:pPr>
            <w:r>
              <w:rPr>
                <w:rFonts w:hint="eastAsia"/>
              </w:rPr>
              <w:t>③地市级奖项：地市级人民政府、地市级住建部门、地市级建筑协会、地市级勘察设计行业协会、勘察设计协会或勘察设计</w:t>
            </w:r>
            <w:r>
              <w:rPr>
                <w:rFonts w:hint="eastAsia"/>
                <w:lang w:eastAsia="zh-CN"/>
              </w:rPr>
              <w:t>行业协会、</w:t>
            </w:r>
            <w:r>
              <w:rPr>
                <w:rFonts w:hint="eastAsia"/>
                <w:lang w:val="en-US" w:eastAsia="zh-CN"/>
              </w:rPr>
              <w:t>市级</w:t>
            </w:r>
            <w:r>
              <w:t>风景园林学会</w:t>
            </w:r>
            <w:r>
              <w:rPr>
                <w:rFonts w:hint="eastAsia"/>
              </w:rPr>
              <w:t>。</w:t>
            </w:r>
          </w:p>
          <w:p w14:paraId="1944EFE0">
            <w:pPr>
              <w:spacing w:line="360" w:lineRule="auto"/>
            </w:pPr>
            <w:r>
              <w:rPr>
                <w:rFonts w:hint="eastAsia"/>
              </w:rPr>
              <w:t>4.获奖时间以奖项证明的落款日期为准。</w:t>
            </w:r>
          </w:p>
          <w:p w14:paraId="04B319E1">
            <w:pPr>
              <w:spacing w:line="360" w:lineRule="auto"/>
            </w:pPr>
            <w:r>
              <w:rPr>
                <w:rFonts w:hint="eastAsia"/>
              </w:rPr>
              <w:t>5.不符合评分标准和备注规定的，不予计分。</w:t>
            </w:r>
          </w:p>
        </w:tc>
      </w:tr>
      <w:tr w14:paraId="5547ABB7">
        <w:tblPrEx>
          <w:tblCellMar>
            <w:top w:w="0" w:type="dxa"/>
            <w:left w:w="108" w:type="dxa"/>
            <w:bottom w:w="0" w:type="dxa"/>
            <w:right w:w="108" w:type="dxa"/>
          </w:tblCellMar>
        </w:tblPrEx>
        <w:trPr>
          <w:trHeight w:val="403" w:hRule="atLeast"/>
          <w:jc w:val="center"/>
        </w:trPr>
        <w:tc>
          <w:tcPr>
            <w:tcW w:w="816" w:type="dxa"/>
            <w:vMerge w:val="continue"/>
            <w:tcBorders>
              <w:top w:val="nil"/>
              <w:left w:val="single" w:color="auto" w:sz="4" w:space="0"/>
              <w:bottom w:val="nil"/>
              <w:right w:val="single" w:color="auto" w:sz="4" w:space="0"/>
            </w:tcBorders>
            <w:vAlign w:val="center"/>
          </w:tcPr>
          <w:p w14:paraId="6E216415">
            <w:pPr>
              <w:spacing w:line="360" w:lineRule="auto"/>
            </w:pPr>
          </w:p>
        </w:tc>
        <w:tc>
          <w:tcPr>
            <w:tcW w:w="960" w:type="dxa"/>
            <w:tcBorders>
              <w:top w:val="single" w:color="auto" w:sz="4" w:space="0"/>
              <w:left w:val="nil"/>
              <w:bottom w:val="single" w:color="auto" w:sz="4" w:space="0"/>
              <w:right w:val="single" w:color="auto" w:sz="4" w:space="0"/>
            </w:tcBorders>
            <w:vAlign w:val="center"/>
          </w:tcPr>
          <w:p w14:paraId="12097856">
            <w:pPr>
              <w:spacing w:line="360" w:lineRule="auto"/>
              <w:textAlignment w:val="baseline"/>
            </w:pPr>
            <w:r>
              <w:rPr>
                <w:rFonts w:hint="eastAsia"/>
              </w:rPr>
              <w:t>企业</w:t>
            </w:r>
          </w:p>
          <w:p w14:paraId="105A34B7">
            <w:pPr>
              <w:spacing w:line="360" w:lineRule="auto"/>
              <w:textAlignment w:val="baseline"/>
            </w:pPr>
            <w:r>
              <w:rPr>
                <w:rFonts w:hint="eastAsia"/>
              </w:rPr>
              <w:t>财务状况（</w:t>
            </w:r>
            <w:r>
              <w:t>10</w:t>
            </w:r>
            <w:r>
              <w:rPr>
                <w:rFonts w:hint="eastAsia"/>
              </w:rPr>
              <w:t>分）</w:t>
            </w:r>
            <w:r>
              <w:rPr>
                <w:snapToGrid w:val="0"/>
                <w:color w:val="000000"/>
                <w:sz w:val="21"/>
                <w:szCs w:val="21"/>
              </w:rPr>
              <w:t>（组成联合体投标的由联合体</w:t>
            </w:r>
            <w:r>
              <w:rPr>
                <w:rFonts w:hint="eastAsia"/>
                <w:snapToGrid w:val="0"/>
                <w:color w:val="000000"/>
                <w:sz w:val="21"/>
                <w:szCs w:val="21"/>
              </w:rPr>
              <w:t>任意一方</w:t>
            </w:r>
            <w:r>
              <w:rPr>
                <w:snapToGrid w:val="0"/>
                <w:color w:val="000000"/>
                <w:sz w:val="21"/>
                <w:szCs w:val="21"/>
              </w:rPr>
              <w:t>提供）</w:t>
            </w:r>
          </w:p>
        </w:tc>
        <w:tc>
          <w:tcPr>
            <w:tcW w:w="4170" w:type="dxa"/>
            <w:tcBorders>
              <w:top w:val="single" w:color="auto" w:sz="4" w:space="0"/>
              <w:left w:val="nil"/>
              <w:bottom w:val="single" w:color="auto" w:sz="4" w:space="0"/>
              <w:right w:val="single" w:color="auto" w:sz="4" w:space="0"/>
            </w:tcBorders>
            <w:vAlign w:val="center"/>
          </w:tcPr>
          <w:p w14:paraId="611D6EE5">
            <w:pPr>
              <w:pStyle w:val="11"/>
              <w:wordWrap w:val="0"/>
              <w:adjustRightInd w:val="0"/>
              <w:snapToGrid w:val="0"/>
              <w:spacing w:after="0" w:line="400" w:lineRule="exact"/>
              <w:rPr>
                <w:rFonts w:hint="eastAsia"/>
                <w:snapToGrid w:val="0"/>
              </w:rPr>
            </w:pPr>
            <w:r>
              <w:rPr>
                <w:rFonts w:hint="eastAsia"/>
                <w:snapToGrid w:val="0"/>
                <w:lang w:eastAsia="zh-CN"/>
              </w:rPr>
              <w:t>1.</w:t>
            </w:r>
            <w:r>
              <w:rPr>
                <w:rFonts w:hint="eastAsia"/>
                <w:snapToGrid w:val="0"/>
              </w:rPr>
              <w:t>提供投标人基本账户在本项目招标公告发布之日起出现过不少于250万元存款余额资金流水证明的，得6分。本小项最高得6分。</w:t>
            </w:r>
          </w:p>
          <w:p w14:paraId="4CC43CA7">
            <w:pPr>
              <w:pStyle w:val="11"/>
              <w:wordWrap w:val="0"/>
              <w:adjustRightInd w:val="0"/>
              <w:snapToGrid w:val="0"/>
              <w:spacing w:after="0" w:line="400" w:lineRule="exact"/>
              <w:rPr>
                <w:rFonts w:hint="eastAsia"/>
                <w:snapToGrid w:val="0"/>
              </w:rPr>
            </w:pPr>
            <w:r>
              <w:rPr>
                <w:rFonts w:hint="eastAsia"/>
                <w:snapToGrid w:val="0"/>
              </w:rPr>
              <w:t>2. 投标人至投标截止时间止，获得税务机关纳税评级评定为“A级纳税人”称号情况：</w:t>
            </w:r>
          </w:p>
          <w:p w14:paraId="4E240C44">
            <w:pPr>
              <w:pStyle w:val="11"/>
              <w:wordWrap w:val="0"/>
              <w:adjustRightInd w:val="0"/>
              <w:snapToGrid w:val="0"/>
              <w:spacing w:after="0" w:line="400" w:lineRule="exact"/>
              <w:rPr>
                <w:rFonts w:hint="eastAsia"/>
                <w:snapToGrid w:val="0"/>
              </w:rPr>
            </w:pPr>
            <w:r>
              <w:rPr>
                <w:rFonts w:hint="eastAsia"/>
                <w:snapToGrid w:val="0"/>
              </w:rPr>
              <w:t>（1）1年（即2024年度至2025年度期间）获得税务机关纳税评级为A级得1分；</w:t>
            </w:r>
          </w:p>
          <w:p w14:paraId="5503642E">
            <w:pPr>
              <w:pStyle w:val="11"/>
              <w:wordWrap w:val="0"/>
              <w:adjustRightInd w:val="0"/>
              <w:snapToGrid w:val="0"/>
              <w:spacing w:after="0" w:line="400" w:lineRule="exact"/>
              <w:rPr>
                <w:rFonts w:hint="eastAsia"/>
                <w:snapToGrid w:val="0"/>
              </w:rPr>
            </w:pPr>
            <w:r>
              <w:rPr>
                <w:rFonts w:hint="eastAsia"/>
                <w:snapToGrid w:val="0"/>
              </w:rPr>
              <w:t>（2）连续2年（即2024年度至2025年度期间）获得税务机关纳税评级为A级得4分；</w:t>
            </w:r>
          </w:p>
          <w:p w14:paraId="4ABBCAA9">
            <w:pPr>
              <w:pStyle w:val="11"/>
              <w:wordWrap w:val="0"/>
              <w:adjustRightInd w:val="0"/>
              <w:snapToGrid w:val="0"/>
              <w:spacing w:after="0" w:line="400" w:lineRule="exact"/>
              <w:rPr>
                <w:rFonts w:hint="eastAsia"/>
                <w:snapToGrid w:val="0"/>
              </w:rPr>
            </w:pPr>
            <w:r>
              <w:rPr>
                <w:rFonts w:hint="eastAsia"/>
                <w:snapToGrid w:val="0"/>
              </w:rPr>
              <w:t>（3）本小项最高得4分。</w:t>
            </w:r>
          </w:p>
          <w:p w14:paraId="7612EAFA">
            <w:pPr>
              <w:pStyle w:val="11"/>
              <w:wordWrap w:val="0"/>
              <w:adjustRightInd w:val="0"/>
              <w:snapToGrid w:val="0"/>
              <w:spacing w:after="0" w:line="400" w:lineRule="exact"/>
              <w:rPr>
                <w:snapToGrid w:val="0"/>
              </w:rPr>
            </w:pPr>
            <w:r>
              <w:rPr>
                <w:rFonts w:hint="eastAsia"/>
                <w:snapToGrid w:val="0"/>
              </w:rPr>
              <w:t>注：本项最高得10分。</w:t>
            </w:r>
          </w:p>
          <w:p w14:paraId="2A6A2A99">
            <w:pPr>
              <w:pStyle w:val="11"/>
              <w:wordWrap w:val="0"/>
              <w:adjustRightInd w:val="0"/>
              <w:snapToGrid w:val="0"/>
              <w:spacing w:after="0" w:line="400" w:lineRule="exact"/>
              <w:rPr>
                <w:snapToGrid w:val="0"/>
              </w:rPr>
            </w:pPr>
          </w:p>
        </w:tc>
        <w:tc>
          <w:tcPr>
            <w:tcW w:w="4380" w:type="dxa"/>
            <w:tcBorders>
              <w:top w:val="single" w:color="auto" w:sz="4" w:space="0"/>
              <w:left w:val="nil"/>
              <w:bottom w:val="single" w:color="auto" w:sz="4" w:space="0"/>
              <w:right w:val="single" w:color="auto" w:sz="4" w:space="0"/>
            </w:tcBorders>
            <w:vAlign w:val="center"/>
          </w:tcPr>
          <w:p w14:paraId="483C2F1D">
            <w:pPr>
              <w:spacing w:line="360" w:lineRule="auto"/>
              <w:textAlignment w:val="baseline"/>
              <w:rPr>
                <w:kern w:val="2"/>
              </w:rPr>
            </w:pPr>
          </w:p>
          <w:p w14:paraId="45F0F57D">
            <w:pPr>
              <w:spacing w:line="360" w:lineRule="auto"/>
              <w:textAlignment w:val="baseline"/>
              <w:rPr>
                <w:kern w:val="2"/>
              </w:rPr>
            </w:pPr>
            <w:r>
              <w:rPr>
                <w:rFonts w:hint="eastAsia"/>
                <w:kern w:val="2"/>
                <w:lang w:val="en-US" w:eastAsia="zh-CN"/>
              </w:rPr>
              <w:t>1.</w:t>
            </w:r>
            <w:r>
              <w:rPr>
                <w:rFonts w:hint="eastAsia"/>
                <w:kern w:val="2"/>
              </w:rPr>
              <w:t>存款余额资金流水证明有以下情形之一的，视为无效，不予计分：</w:t>
            </w:r>
          </w:p>
          <w:p w14:paraId="4806A84F">
            <w:pPr>
              <w:spacing w:line="360" w:lineRule="auto"/>
              <w:textAlignment w:val="baseline"/>
              <w:rPr>
                <w:kern w:val="2"/>
              </w:rPr>
            </w:pPr>
            <w:r>
              <w:rPr>
                <w:rFonts w:hint="eastAsia"/>
                <w:kern w:val="2"/>
              </w:rPr>
              <w:t>①存款账户不是基本账户的；</w:t>
            </w:r>
          </w:p>
          <w:p w14:paraId="4273A7C1">
            <w:pPr>
              <w:spacing w:line="360" w:lineRule="auto"/>
              <w:textAlignment w:val="baseline"/>
              <w:rPr>
                <w:kern w:val="2"/>
              </w:rPr>
            </w:pPr>
            <w:r>
              <w:rPr>
                <w:rFonts w:hint="eastAsia"/>
                <w:kern w:val="2"/>
              </w:rPr>
              <w:t>②存款时间不符合要求的；</w:t>
            </w:r>
          </w:p>
          <w:p w14:paraId="576D3A54">
            <w:pPr>
              <w:spacing w:line="360" w:lineRule="auto"/>
              <w:textAlignment w:val="baseline"/>
              <w:rPr>
                <w:kern w:val="2"/>
              </w:rPr>
            </w:pPr>
            <w:r>
              <w:rPr>
                <w:rFonts w:hint="eastAsia"/>
                <w:kern w:val="2"/>
              </w:rPr>
              <w:t>③存款额度不符合要求的。</w:t>
            </w:r>
          </w:p>
          <w:p w14:paraId="69F774C5">
            <w:pPr>
              <w:spacing w:line="360" w:lineRule="auto"/>
              <w:textAlignment w:val="baseline"/>
              <w:rPr>
                <w:kern w:val="2"/>
              </w:rPr>
            </w:pPr>
            <w:r>
              <w:rPr>
                <w:rFonts w:hint="eastAsia"/>
                <w:kern w:val="2"/>
                <w:lang w:val="en-US" w:eastAsia="zh-CN"/>
              </w:rPr>
              <w:t>2.</w:t>
            </w:r>
            <w:r>
              <w:rPr>
                <w:kern w:val="2"/>
              </w:rPr>
              <w:t>须提供投标人纳税信用A级证书扫描件并加盖投标人公章，否则不得分。</w:t>
            </w:r>
          </w:p>
        </w:tc>
      </w:tr>
      <w:tr w14:paraId="3D759994">
        <w:tblPrEx>
          <w:tblCellMar>
            <w:top w:w="0" w:type="dxa"/>
            <w:left w:w="108" w:type="dxa"/>
            <w:bottom w:w="0" w:type="dxa"/>
            <w:right w:w="108" w:type="dxa"/>
          </w:tblCellMar>
        </w:tblPrEx>
        <w:trPr>
          <w:trHeight w:val="403" w:hRule="atLeast"/>
          <w:jc w:val="center"/>
        </w:trPr>
        <w:tc>
          <w:tcPr>
            <w:tcW w:w="816" w:type="dxa"/>
            <w:vMerge w:val="continue"/>
            <w:tcBorders>
              <w:top w:val="nil"/>
              <w:left w:val="single" w:color="auto" w:sz="4" w:space="0"/>
              <w:bottom w:val="nil"/>
              <w:right w:val="single" w:color="auto" w:sz="4" w:space="0"/>
            </w:tcBorders>
            <w:vAlign w:val="center"/>
          </w:tcPr>
          <w:p w14:paraId="393B1EF2">
            <w:pPr>
              <w:spacing w:line="360" w:lineRule="auto"/>
            </w:pPr>
          </w:p>
        </w:tc>
        <w:tc>
          <w:tcPr>
            <w:tcW w:w="960" w:type="dxa"/>
            <w:tcBorders>
              <w:top w:val="single" w:color="auto" w:sz="4" w:space="0"/>
              <w:left w:val="nil"/>
              <w:bottom w:val="single" w:color="auto" w:sz="4" w:space="0"/>
              <w:right w:val="single" w:color="auto" w:sz="4" w:space="0"/>
            </w:tcBorders>
            <w:vAlign w:val="center"/>
          </w:tcPr>
          <w:p w14:paraId="2C1EF91D">
            <w:pPr>
              <w:spacing w:line="360" w:lineRule="auto"/>
              <w:textAlignment w:val="baseline"/>
              <w:rPr>
                <w:rFonts w:hint="eastAsia"/>
              </w:rPr>
            </w:pPr>
          </w:p>
        </w:tc>
        <w:tc>
          <w:tcPr>
            <w:tcW w:w="4170" w:type="dxa"/>
            <w:tcBorders>
              <w:top w:val="single" w:color="auto" w:sz="4" w:space="0"/>
              <w:left w:val="nil"/>
              <w:bottom w:val="single" w:color="auto" w:sz="4" w:space="0"/>
              <w:right w:val="single" w:color="auto" w:sz="4" w:space="0"/>
            </w:tcBorders>
            <w:vAlign w:val="center"/>
          </w:tcPr>
          <w:p w14:paraId="3B47A726">
            <w:pPr>
              <w:pStyle w:val="11"/>
              <w:wordWrap w:val="0"/>
              <w:adjustRightInd w:val="0"/>
              <w:snapToGrid w:val="0"/>
              <w:spacing w:after="0" w:line="400" w:lineRule="exact"/>
              <w:rPr>
                <w:rFonts w:hint="eastAsia"/>
                <w:snapToGrid w:val="0"/>
              </w:rPr>
            </w:pPr>
          </w:p>
        </w:tc>
        <w:tc>
          <w:tcPr>
            <w:tcW w:w="4380" w:type="dxa"/>
            <w:tcBorders>
              <w:top w:val="single" w:color="auto" w:sz="4" w:space="0"/>
              <w:left w:val="nil"/>
              <w:bottom w:val="single" w:color="auto" w:sz="4" w:space="0"/>
              <w:right w:val="single" w:color="auto" w:sz="4" w:space="0"/>
            </w:tcBorders>
            <w:vAlign w:val="center"/>
          </w:tcPr>
          <w:p w14:paraId="46E43FEF">
            <w:pPr>
              <w:spacing w:line="360" w:lineRule="auto"/>
              <w:textAlignment w:val="baseline"/>
              <w:rPr>
                <w:rFonts w:hint="eastAsia"/>
                <w:kern w:val="2"/>
              </w:rPr>
            </w:pPr>
          </w:p>
        </w:tc>
      </w:tr>
      <w:tr w14:paraId="7392DF74">
        <w:tblPrEx>
          <w:tblCellMar>
            <w:top w:w="0" w:type="dxa"/>
            <w:left w:w="108" w:type="dxa"/>
            <w:bottom w:w="0" w:type="dxa"/>
            <w:right w:w="108" w:type="dxa"/>
          </w:tblCellMar>
        </w:tblPrEx>
        <w:trPr>
          <w:trHeight w:val="403" w:hRule="atLeast"/>
          <w:jc w:val="center"/>
        </w:trPr>
        <w:tc>
          <w:tcPr>
            <w:tcW w:w="816" w:type="dxa"/>
            <w:vMerge w:val="continue"/>
            <w:tcBorders>
              <w:top w:val="nil"/>
              <w:left w:val="single" w:color="auto" w:sz="4" w:space="0"/>
              <w:bottom w:val="nil"/>
              <w:right w:val="single" w:color="auto" w:sz="4" w:space="0"/>
            </w:tcBorders>
            <w:vAlign w:val="center"/>
          </w:tcPr>
          <w:p w14:paraId="399378E0">
            <w:pPr>
              <w:spacing w:line="360" w:lineRule="auto"/>
            </w:pPr>
          </w:p>
        </w:tc>
        <w:tc>
          <w:tcPr>
            <w:tcW w:w="960" w:type="dxa"/>
            <w:tcBorders>
              <w:top w:val="single" w:color="auto" w:sz="4" w:space="0"/>
              <w:left w:val="nil"/>
              <w:bottom w:val="single" w:color="auto" w:sz="4" w:space="0"/>
              <w:right w:val="single" w:color="auto" w:sz="4" w:space="0"/>
            </w:tcBorders>
            <w:vAlign w:val="center"/>
          </w:tcPr>
          <w:p w14:paraId="69910AB4">
            <w:pPr>
              <w:spacing w:line="360" w:lineRule="auto"/>
              <w:textAlignment w:val="baseline"/>
              <w:rPr>
                <w:color w:val="FF0000"/>
              </w:rPr>
            </w:pPr>
            <w:r>
              <w:rPr>
                <w:rFonts w:hint="eastAsia"/>
              </w:rPr>
              <w:t>企业信用（6分）</w:t>
            </w:r>
            <w:r>
              <w:rPr>
                <w:snapToGrid w:val="0"/>
                <w:color w:val="000000"/>
                <w:sz w:val="21"/>
                <w:szCs w:val="21"/>
              </w:rPr>
              <w:t>（组成联合体投标的由联合体</w:t>
            </w:r>
            <w:r>
              <w:rPr>
                <w:rFonts w:hint="eastAsia"/>
                <w:snapToGrid w:val="0"/>
                <w:color w:val="000000"/>
                <w:sz w:val="21"/>
                <w:szCs w:val="21"/>
              </w:rPr>
              <w:t>任意一方</w:t>
            </w:r>
            <w:r>
              <w:rPr>
                <w:snapToGrid w:val="0"/>
                <w:color w:val="000000"/>
                <w:sz w:val="21"/>
                <w:szCs w:val="21"/>
              </w:rPr>
              <w:t>提供）</w:t>
            </w:r>
          </w:p>
        </w:tc>
        <w:tc>
          <w:tcPr>
            <w:tcW w:w="4170" w:type="dxa"/>
            <w:tcBorders>
              <w:top w:val="single" w:color="auto" w:sz="4" w:space="0"/>
              <w:left w:val="nil"/>
              <w:bottom w:val="single" w:color="auto" w:sz="4" w:space="0"/>
              <w:right w:val="single" w:color="auto" w:sz="4" w:space="0"/>
            </w:tcBorders>
            <w:vAlign w:val="center"/>
          </w:tcPr>
          <w:p w14:paraId="7C5499B7">
            <w:pPr>
              <w:pStyle w:val="11"/>
              <w:wordWrap w:val="0"/>
              <w:adjustRightInd w:val="0"/>
              <w:snapToGrid w:val="0"/>
              <w:spacing w:after="0" w:line="400" w:lineRule="exact"/>
              <w:rPr>
                <w:snapToGrid w:val="0"/>
              </w:rPr>
            </w:pPr>
            <w:bookmarkStart w:id="224" w:name="OLE_LINK28"/>
            <w:bookmarkStart w:id="225" w:name="OLE_LINK29"/>
            <w:r>
              <w:rPr>
                <w:rFonts w:hint="eastAsia"/>
                <w:snapToGrid w:val="0"/>
                <w:lang w:val="en-US" w:eastAsia="zh-CN"/>
              </w:rPr>
              <w:t>1.</w:t>
            </w:r>
            <w:r>
              <w:rPr>
                <w:rFonts w:hint="eastAsia"/>
                <w:snapToGrid w:val="0"/>
              </w:rPr>
              <w:t>投标人具备：质量管理体系认证、职业健康安全管理体系认证、环境管理体系认证，每获得1项认证得2分。</w:t>
            </w:r>
            <w:bookmarkEnd w:id="224"/>
            <w:bookmarkEnd w:id="225"/>
          </w:p>
          <w:p w14:paraId="549A0B1F">
            <w:pPr>
              <w:pStyle w:val="11"/>
              <w:wordWrap w:val="0"/>
              <w:adjustRightInd w:val="0"/>
              <w:snapToGrid w:val="0"/>
              <w:spacing w:after="0" w:line="400" w:lineRule="exact"/>
              <w:rPr>
                <w:rFonts w:hint="eastAsia" w:eastAsia="宋体"/>
                <w:snapToGrid w:val="0"/>
                <w:lang w:eastAsia="zh-CN"/>
              </w:rPr>
            </w:pPr>
            <w:r>
              <w:rPr>
                <w:rFonts w:hint="eastAsia"/>
                <w:snapToGrid w:val="0"/>
              </w:rPr>
              <w:t>2.</w:t>
            </w:r>
            <w:r>
              <w:rPr>
                <w:rFonts w:hint="eastAsia"/>
              </w:rPr>
              <w:t>本项最高得6分</w:t>
            </w:r>
            <w:r>
              <w:rPr>
                <w:rFonts w:hint="eastAsia"/>
                <w:lang w:eastAsia="zh-CN"/>
              </w:rPr>
              <w:t>。</w:t>
            </w:r>
          </w:p>
        </w:tc>
        <w:tc>
          <w:tcPr>
            <w:tcW w:w="4380" w:type="dxa"/>
            <w:tcBorders>
              <w:top w:val="single" w:color="auto" w:sz="4" w:space="0"/>
              <w:left w:val="nil"/>
              <w:bottom w:val="single" w:color="auto" w:sz="4" w:space="0"/>
              <w:right w:val="single" w:color="auto" w:sz="4" w:space="0"/>
            </w:tcBorders>
            <w:vAlign w:val="center"/>
          </w:tcPr>
          <w:p w14:paraId="34A99807">
            <w:pPr>
              <w:pStyle w:val="11"/>
              <w:widowControl w:val="0"/>
              <w:spacing w:after="0" w:line="380" w:lineRule="exact"/>
              <w:rPr>
                <w:kern w:val="2"/>
              </w:rPr>
            </w:pPr>
            <w:r>
              <w:rPr>
                <w:rFonts w:hint="eastAsia"/>
                <w:kern w:val="2"/>
              </w:rPr>
              <w:t>1.须提供有效期内的认证证书彩色扫描件及在全国认证认可信息公共服务平台（网址：http://cx.cnca.cn/CertECloud/index/index/page）查询结果截图并加盖投标人公章，不提供不得分。</w:t>
            </w:r>
          </w:p>
          <w:p w14:paraId="693A105E">
            <w:pPr>
              <w:spacing w:line="360" w:lineRule="auto"/>
              <w:textAlignment w:val="baseline"/>
              <w:rPr>
                <w:color w:val="FF0000"/>
              </w:rPr>
            </w:pPr>
            <w:r>
              <w:rPr>
                <w:rFonts w:hint="eastAsia"/>
                <w:kern w:val="2"/>
              </w:rPr>
              <w:t>2.不符合评分标准和备注规定的，不予计分。</w:t>
            </w:r>
          </w:p>
        </w:tc>
      </w:tr>
      <w:tr w14:paraId="56F678A5">
        <w:tblPrEx>
          <w:tblCellMar>
            <w:top w:w="0" w:type="dxa"/>
            <w:left w:w="108" w:type="dxa"/>
            <w:bottom w:w="0" w:type="dxa"/>
            <w:right w:w="108" w:type="dxa"/>
          </w:tblCellMar>
        </w:tblPrEx>
        <w:trPr>
          <w:jc w:val="center"/>
        </w:trPr>
        <w:tc>
          <w:tcPr>
            <w:tcW w:w="816" w:type="dxa"/>
            <w:vMerge w:val="continue"/>
            <w:tcBorders>
              <w:top w:val="nil"/>
              <w:left w:val="single" w:color="auto" w:sz="4" w:space="0"/>
              <w:bottom w:val="nil"/>
              <w:right w:val="single" w:color="auto" w:sz="4" w:space="0"/>
            </w:tcBorders>
            <w:vAlign w:val="center"/>
          </w:tcPr>
          <w:p w14:paraId="64936843">
            <w:pPr>
              <w:spacing w:line="360" w:lineRule="auto"/>
            </w:pPr>
          </w:p>
        </w:tc>
        <w:tc>
          <w:tcPr>
            <w:tcW w:w="960" w:type="dxa"/>
            <w:tcBorders>
              <w:top w:val="single" w:color="auto" w:sz="4" w:space="0"/>
              <w:left w:val="nil"/>
              <w:bottom w:val="single" w:color="auto" w:sz="4" w:space="0"/>
              <w:right w:val="single" w:color="auto" w:sz="4" w:space="0"/>
            </w:tcBorders>
            <w:vAlign w:val="center"/>
          </w:tcPr>
          <w:p w14:paraId="0613CD9A">
            <w:pPr>
              <w:spacing w:line="360" w:lineRule="auto"/>
              <w:textAlignment w:val="baseline"/>
              <w:rPr>
                <w:sz w:val="24"/>
                <w:szCs w:val="24"/>
              </w:rPr>
            </w:pPr>
            <w:r>
              <w:rPr>
                <w:rFonts w:hint="eastAsia"/>
                <w:sz w:val="24"/>
                <w:szCs w:val="24"/>
              </w:rPr>
              <w:t>本项目</w:t>
            </w:r>
            <w:r>
              <w:rPr>
                <w:rFonts w:hint="eastAsia"/>
                <w:sz w:val="24"/>
                <w:szCs w:val="24"/>
                <w:lang w:val="en-US" w:eastAsia="zh-CN"/>
              </w:rPr>
              <w:t>团队</w:t>
            </w:r>
            <w:r>
              <w:rPr>
                <w:rFonts w:hint="eastAsia"/>
                <w:sz w:val="24"/>
                <w:szCs w:val="24"/>
                <w:lang w:eastAsia="zh-CN"/>
              </w:rPr>
              <w:t>人</w:t>
            </w:r>
            <w:r>
              <w:rPr>
                <w:rFonts w:hint="eastAsia"/>
                <w:sz w:val="24"/>
                <w:szCs w:val="24"/>
              </w:rPr>
              <w:t>员综合素质（14分）</w:t>
            </w:r>
            <w:r>
              <w:rPr>
                <w:snapToGrid w:val="0"/>
                <w:color w:val="000000"/>
                <w:sz w:val="24"/>
                <w:szCs w:val="24"/>
              </w:rPr>
              <w:t>（组成联合体投标的由联合体</w:t>
            </w:r>
            <w:r>
              <w:rPr>
                <w:rFonts w:hint="eastAsia"/>
                <w:snapToGrid w:val="0"/>
                <w:color w:val="000000"/>
                <w:sz w:val="24"/>
                <w:szCs w:val="24"/>
              </w:rPr>
              <w:t>任意一方</w:t>
            </w:r>
            <w:r>
              <w:rPr>
                <w:snapToGrid w:val="0"/>
                <w:color w:val="000000"/>
                <w:sz w:val="24"/>
                <w:szCs w:val="24"/>
              </w:rPr>
              <w:t>提供）</w:t>
            </w:r>
          </w:p>
        </w:tc>
        <w:tc>
          <w:tcPr>
            <w:tcW w:w="4170" w:type="dxa"/>
            <w:tcBorders>
              <w:top w:val="single" w:color="auto" w:sz="4" w:space="0"/>
              <w:left w:val="nil"/>
              <w:bottom w:val="single" w:color="auto" w:sz="4" w:space="0"/>
              <w:right w:val="single" w:color="auto" w:sz="4" w:space="0"/>
            </w:tcBorders>
            <w:vAlign w:val="center"/>
          </w:tcPr>
          <w:p w14:paraId="40C338B4">
            <w:pPr>
              <w:spacing w:line="360" w:lineRule="auto"/>
              <w:textAlignment w:val="baseline"/>
              <w:rPr>
                <w:sz w:val="24"/>
                <w:szCs w:val="24"/>
              </w:rPr>
            </w:pPr>
            <w:r>
              <w:rPr>
                <w:rFonts w:hint="eastAsia"/>
                <w:sz w:val="24"/>
                <w:szCs w:val="24"/>
              </w:rPr>
              <w:t>各专业设计负责人或</w:t>
            </w:r>
            <w:r>
              <w:rPr>
                <w:rFonts w:hint="eastAsia"/>
                <w:sz w:val="24"/>
                <w:szCs w:val="24"/>
                <w:lang w:val="en-US" w:eastAsia="zh-CN"/>
              </w:rPr>
              <w:t>团队</w:t>
            </w:r>
            <w:r>
              <w:rPr>
                <w:rFonts w:hint="eastAsia"/>
                <w:sz w:val="24"/>
                <w:szCs w:val="24"/>
                <w:lang w:eastAsia="zh-CN"/>
              </w:rPr>
              <w:t>人</w:t>
            </w:r>
            <w:r>
              <w:rPr>
                <w:rFonts w:hint="eastAsia"/>
                <w:sz w:val="24"/>
                <w:szCs w:val="24"/>
              </w:rPr>
              <w:t>员：</w:t>
            </w:r>
          </w:p>
          <w:p w14:paraId="1C632E3B">
            <w:pPr>
              <w:spacing w:line="360" w:lineRule="auto"/>
              <w:textAlignment w:val="baseline"/>
              <w:rPr>
                <w:sz w:val="24"/>
                <w:szCs w:val="24"/>
              </w:rPr>
            </w:pPr>
            <w:r>
              <w:rPr>
                <w:rFonts w:hint="eastAsia"/>
                <w:sz w:val="24"/>
                <w:szCs w:val="24"/>
              </w:rPr>
              <w:t>1.建筑专业负责人</w:t>
            </w:r>
            <w:r>
              <w:rPr>
                <w:rFonts w:hint="eastAsia"/>
                <w:sz w:val="24"/>
                <w:szCs w:val="24"/>
                <w:lang w:val="zh-CN"/>
              </w:rPr>
              <w:t>（跟项目设计负责人不能同一个人）</w:t>
            </w:r>
            <w:r>
              <w:rPr>
                <w:rFonts w:hint="eastAsia"/>
                <w:sz w:val="24"/>
                <w:szCs w:val="24"/>
              </w:rPr>
              <w:t>具有一级注册建筑工程师及高级工程师职称；</w:t>
            </w:r>
          </w:p>
          <w:p w14:paraId="23F142EF">
            <w:pPr>
              <w:spacing w:line="360" w:lineRule="auto"/>
              <w:textAlignment w:val="baseline"/>
              <w:rPr>
                <w:sz w:val="24"/>
                <w:szCs w:val="24"/>
              </w:rPr>
            </w:pPr>
            <w:r>
              <w:rPr>
                <w:rFonts w:hint="eastAsia"/>
                <w:sz w:val="24"/>
                <w:szCs w:val="24"/>
              </w:rPr>
              <w:t>2.规划专业负责人具有</w:t>
            </w:r>
            <w:r>
              <w:rPr>
                <w:sz w:val="24"/>
                <w:szCs w:val="24"/>
              </w:rPr>
              <w:t>注册城乡规划师</w:t>
            </w:r>
            <w:r>
              <w:rPr>
                <w:rFonts w:hint="eastAsia"/>
                <w:sz w:val="24"/>
                <w:szCs w:val="24"/>
              </w:rPr>
              <w:t>及高级工程师职称；</w:t>
            </w:r>
          </w:p>
          <w:p w14:paraId="79A198D2">
            <w:pPr>
              <w:spacing w:line="360" w:lineRule="auto"/>
              <w:textAlignment w:val="baseline"/>
              <w:rPr>
                <w:sz w:val="24"/>
                <w:szCs w:val="24"/>
              </w:rPr>
            </w:pPr>
            <w:r>
              <w:rPr>
                <w:rFonts w:hint="eastAsia"/>
                <w:sz w:val="24"/>
                <w:szCs w:val="24"/>
              </w:rPr>
              <w:t>3.给排水专业负责人具有注册公用设备（给水排水）及高级工程师职称；</w:t>
            </w:r>
          </w:p>
          <w:p w14:paraId="4770B3DD">
            <w:pPr>
              <w:spacing w:line="360" w:lineRule="auto"/>
              <w:textAlignment w:val="baseline"/>
              <w:rPr>
                <w:sz w:val="24"/>
                <w:szCs w:val="24"/>
              </w:rPr>
            </w:pPr>
            <w:r>
              <w:rPr>
                <w:rFonts w:hint="eastAsia"/>
                <w:sz w:val="24"/>
                <w:szCs w:val="24"/>
              </w:rPr>
              <w:t>4.电气专业负责人具有注册电气工程师及高级工程师职称；</w:t>
            </w:r>
          </w:p>
          <w:p w14:paraId="49B0FDA0">
            <w:pPr>
              <w:spacing w:line="360" w:lineRule="auto"/>
              <w:textAlignment w:val="baseline"/>
              <w:rPr>
                <w:sz w:val="24"/>
                <w:szCs w:val="24"/>
              </w:rPr>
            </w:pPr>
            <w:r>
              <w:rPr>
                <w:rFonts w:hint="eastAsia"/>
                <w:sz w:val="24"/>
                <w:szCs w:val="24"/>
              </w:rPr>
              <w:t>5.园林景观专业负责人具有</w:t>
            </w:r>
            <w:r>
              <w:rPr>
                <w:sz w:val="24"/>
                <w:szCs w:val="24"/>
              </w:rPr>
              <w:t>园林景观</w:t>
            </w:r>
            <w:r>
              <w:rPr>
                <w:rFonts w:hint="eastAsia"/>
                <w:sz w:val="24"/>
                <w:szCs w:val="24"/>
              </w:rPr>
              <w:t>高级工程师职称；</w:t>
            </w:r>
          </w:p>
          <w:p w14:paraId="25FEC2E3">
            <w:pPr>
              <w:spacing w:line="360" w:lineRule="auto"/>
              <w:textAlignment w:val="baseline"/>
              <w:rPr>
                <w:sz w:val="24"/>
                <w:szCs w:val="24"/>
              </w:rPr>
            </w:pPr>
            <w:r>
              <w:rPr>
                <w:rFonts w:hint="eastAsia"/>
                <w:sz w:val="24"/>
                <w:szCs w:val="24"/>
              </w:rPr>
              <w:t>6.绿色建筑专业负责人具有</w:t>
            </w:r>
            <w:r>
              <w:rPr>
                <w:sz w:val="24"/>
                <w:szCs w:val="24"/>
              </w:rPr>
              <w:t>绿色建筑高级工程师</w:t>
            </w:r>
            <w:r>
              <w:rPr>
                <w:rFonts w:hint="eastAsia"/>
                <w:sz w:val="24"/>
                <w:szCs w:val="24"/>
              </w:rPr>
              <w:t>；</w:t>
            </w:r>
          </w:p>
          <w:p w14:paraId="39873730">
            <w:pPr>
              <w:spacing w:line="360" w:lineRule="auto"/>
              <w:textAlignment w:val="baseline"/>
              <w:rPr>
                <w:rFonts w:hint="eastAsia"/>
                <w:sz w:val="24"/>
                <w:szCs w:val="24"/>
              </w:rPr>
            </w:pPr>
            <w:r>
              <w:rPr>
                <w:rFonts w:hint="eastAsia"/>
                <w:sz w:val="24"/>
                <w:szCs w:val="24"/>
              </w:rPr>
              <w:t>7.造价专业负责人</w:t>
            </w:r>
            <w:r>
              <w:rPr>
                <w:rFonts w:hint="eastAsia"/>
                <w:sz w:val="24"/>
                <w:szCs w:val="24"/>
                <w:lang w:eastAsia="zh-CN"/>
              </w:rPr>
              <w:t>具有</w:t>
            </w:r>
            <w:r>
              <w:rPr>
                <w:sz w:val="24"/>
                <w:szCs w:val="24"/>
              </w:rPr>
              <w:t>一级注册造价师</w:t>
            </w:r>
            <w:r>
              <w:rPr>
                <w:rFonts w:hint="eastAsia"/>
                <w:sz w:val="24"/>
                <w:szCs w:val="24"/>
                <w:lang w:eastAsia="zh-CN"/>
              </w:rPr>
              <w:t>资格；</w:t>
            </w:r>
          </w:p>
          <w:p w14:paraId="135CF32C">
            <w:pPr>
              <w:spacing w:line="360" w:lineRule="auto"/>
              <w:textAlignment w:val="baseline"/>
              <w:rPr>
                <w:sz w:val="24"/>
                <w:szCs w:val="24"/>
              </w:rPr>
            </w:pPr>
            <w:r>
              <w:rPr>
                <w:rFonts w:hint="eastAsia"/>
                <w:sz w:val="24"/>
                <w:szCs w:val="24"/>
              </w:rPr>
              <w:t>具备以上各类人员得14分；以上人员不得为同一人；每缺一人扣2分，此项最高得14分。</w:t>
            </w:r>
          </w:p>
        </w:tc>
        <w:tc>
          <w:tcPr>
            <w:tcW w:w="4380" w:type="dxa"/>
            <w:tcBorders>
              <w:top w:val="single" w:color="auto" w:sz="4" w:space="0"/>
              <w:left w:val="nil"/>
              <w:bottom w:val="single" w:color="auto" w:sz="4" w:space="0"/>
              <w:right w:val="single" w:color="auto" w:sz="4" w:space="0"/>
            </w:tcBorders>
            <w:vAlign w:val="center"/>
          </w:tcPr>
          <w:p w14:paraId="1BA72C23">
            <w:pPr>
              <w:pStyle w:val="11"/>
              <w:wordWrap w:val="0"/>
              <w:adjustRightInd w:val="0"/>
              <w:snapToGrid w:val="0"/>
              <w:spacing w:after="0" w:line="400" w:lineRule="exact"/>
              <w:ind w:left="0"/>
              <w:rPr>
                <w:rFonts w:hint="eastAsia"/>
                <w:snapToGrid w:val="0"/>
                <w:color w:val="000000"/>
                <w:sz w:val="24"/>
                <w:szCs w:val="24"/>
              </w:rPr>
            </w:pPr>
            <w:r>
              <w:rPr>
                <w:rFonts w:hint="eastAsia"/>
                <w:sz w:val="24"/>
                <w:szCs w:val="24"/>
              </w:rPr>
              <w:t>1.</w:t>
            </w:r>
            <w:r>
              <w:rPr>
                <w:rFonts w:hint="eastAsia"/>
                <w:snapToGrid w:val="0"/>
                <w:color w:val="000000"/>
                <w:sz w:val="24"/>
                <w:szCs w:val="24"/>
              </w:rPr>
              <w:t xml:space="preserve"> 须提供相关人员的证件资料，如身份证、注册证、职称证、毕业证（如有）的扫描件。</w:t>
            </w:r>
          </w:p>
          <w:p w14:paraId="71566B80">
            <w:pPr>
              <w:spacing w:line="360" w:lineRule="auto"/>
              <w:textAlignment w:val="baseline"/>
              <w:rPr>
                <w:sz w:val="24"/>
                <w:szCs w:val="24"/>
              </w:rPr>
            </w:pPr>
            <w:r>
              <w:rPr>
                <w:rFonts w:hint="eastAsia"/>
                <w:sz w:val="24"/>
                <w:szCs w:val="24"/>
              </w:rPr>
              <w:t>2.同时提供至少3个月（其中必须有2026年5月）的社保证明。</w:t>
            </w:r>
          </w:p>
          <w:p w14:paraId="1B66EF49">
            <w:pPr>
              <w:spacing w:line="360" w:lineRule="auto"/>
              <w:textAlignment w:val="baseline"/>
              <w:rPr>
                <w:sz w:val="24"/>
                <w:szCs w:val="24"/>
              </w:rPr>
            </w:pPr>
            <w:r>
              <w:rPr>
                <w:rFonts w:hint="eastAsia"/>
                <w:sz w:val="24"/>
                <w:szCs w:val="24"/>
              </w:rPr>
              <w:t>未提供的，不予得分。</w:t>
            </w:r>
          </w:p>
        </w:tc>
      </w:tr>
      <w:tr w14:paraId="508057AF">
        <w:tblPrEx>
          <w:tblCellMar>
            <w:top w:w="0" w:type="dxa"/>
            <w:left w:w="108" w:type="dxa"/>
            <w:bottom w:w="0" w:type="dxa"/>
            <w:right w:w="108" w:type="dxa"/>
          </w:tblCellMar>
        </w:tblPrEx>
        <w:trPr>
          <w:trHeight w:val="335" w:hRule="atLeast"/>
          <w:jc w:val="center"/>
        </w:trPr>
        <w:tc>
          <w:tcPr>
            <w:tcW w:w="10326" w:type="dxa"/>
            <w:gridSpan w:val="4"/>
            <w:tcBorders>
              <w:top w:val="single" w:color="auto" w:sz="4" w:space="0"/>
              <w:left w:val="single" w:color="auto" w:sz="4" w:space="0"/>
              <w:bottom w:val="single" w:color="auto" w:sz="4" w:space="0"/>
              <w:right w:val="single" w:color="auto" w:sz="4" w:space="0"/>
            </w:tcBorders>
            <w:shd w:val="clear" w:color="auto" w:fill="D9D9D9"/>
            <w:vAlign w:val="center"/>
          </w:tcPr>
          <w:p w14:paraId="487F2377">
            <w:pPr>
              <w:pStyle w:val="11"/>
              <w:wordWrap w:val="0"/>
              <w:autoSpaceDE w:val="0"/>
              <w:adjustRightInd w:val="0"/>
              <w:snapToGrid w:val="0"/>
              <w:spacing w:line="360" w:lineRule="auto"/>
            </w:pPr>
            <w:r>
              <w:rPr>
                <w:rFonts w:hint="eastAsia"/>
                <w:b/>
                <w:bCs/>
              </w:rPr>
              <w:t>技术部分</w:t>
            </w:r>
            <w:r>
              <w:rPr>
                <w:rFonts w:hint="eastAsia"/>
                <w:b/>
                <w:bCs/>
                <w:snapToGrid w:val="0"/>
              </w:rPr>
              <w:t>M</w:t>
            </w:r>
            <w:r>
              <w:rPr>
                <w:rFonts w:hint="eastAsia"/>
                <w:b/>
                <w:bCs/>
                <w:snapToGrid w:val="0"/>
                <w:vertAlign w:val="subscript"/>
              </w:rPr>
              <w:t>2</w:t>
            </w:r>
            <w:r>
              <w:rPr>
                <w:rFonts w:hint="eastAsia"/>
                <w:b/>
                <w:bCs/>
              </w:rPr>
              <w:t>，满分：30分。</w:t>
            </w:r>
          </w:p>
        </w:tc>
      </w:tr>
      <w:tr w14:paraId="38072305">
        <w:tblPrEx>
          <w:tblCellMar>
            <w:top w:w="0" w:type="dxa"/>
            <w:left w:w="108" w:type="dxa"/>
            <w:bottom w:w="0" w:type="dxa"/>
            <w:right w:w="108" w:type="dxa"/>
          </w:tblCellMar>
        </w:tblPrEx>
        <w:trPr>
          <w:trHeight w:val="624" w:hRule="atLeast"/>
          <w:jc w:val="center"/>
        </w:trPr>
        <w:tc>
          <w:tcPr>
            <w:tcW w:w="1776" w:type="dxa"/>
            <w:gridSpan w:val="2"/>
            <w:tcBorders>
              <w:top w:val="single" w:color="auto" w:sz="4" w:space="0"/>
              <w:left w:val="single" w:color="auto" w:sz="4" w:space="0"/>
              <w:bottom w:val="single" w:color="auto" w:sz="4" w:space="0"/>
              <w:right w:val="single" w:color="auto" w:sz="4" w:space="0"/>
            </w:tcBorders>
            <w:vAlign w:val="center"/>
          </w:tcPr>
          <w:p w14:paraId="66B0AB0A">
            <w:pPr>
              <w:spacing w:line="360" w:lineRule="auto"/>
              <w:jc w:val="center"/>
              <w:textAlignment w:val="baseline"/>
            </w:pPr>
            <w:r>
              <w:rPr>
                <w:rFonts w:hint="eastAsia"/>
              </w:rPr>
              <w:t>评分因素</w:t>
            </w:r>
          </w:p>
        </w:tc>
        <w:tc>
          <w:tcPr>
            <w:tcW w:w="8550" w:type="dxa"/>
            <w:gridSpan w:val="2"/>
            <w:tcBorders>
              <w:top w:val="single" w:color="auto" w:sz="4" w:space="0"/>
              <w:left w:val="nil"/>
              <w:bottom w:val="single" w:color="auto" w:sz="4" w:space="0"/>
              <w:right w:val="single" w:color="auto" w:sz="4" w:space="0"/>
            </w:tcBorders>
            <w:vAlign w:val="center"/>
          </w:tcPr>
          <w:p w14:paraId="229E9000">
            <w:pPr>
              <w:spacing w:line="360" w:lineRule="auto"/>
              <w:jc w:val="center"/>
              <w:textAlignment w:val="baseline"/>
            </w:pPr>
            <w:r>
              <w:rPr>
                <w:rFonts w:hint="eastAsia"/>
              </w:rPr>
              <w:t>评分标准</w:t>
            </w:r>
          </w:p>
        </w:tc>
      </w:tr>
      <w:tr w14:paraId="545D7D0A">
        <w:tblPrEx>
          <w:tblCellMar>
            <w:top w:w="0" w:type="dxa"/>
            <w:left w:w="108" w:type="dxa"/>
            <w:bottom w:w="0" w:type="dxa"/>
            <w:right w:w="108" w:type="dxa"/>
          </w:tblCellMar>
        </w:tblPrEx>
        <w:trPr>
          <w:trHeight w:val="2831" w:hRule="atLeast"/>
          <w:jc w:val="center"/>
        </w:trPr>
        <w:tc>
          <w:tcPr>
            <w:tcW w:w="1776" w:type="dxa"/>
            <w:gridSpan w:val="2"/>
            <w:tcBorders>
              <w:top w:val="single" w:color="auto" w:sz="4" w:space="0"/>
              <w:left w:val="single" w:color="auto" w:sz="4" w:space="0"/>
              <w:bottom w:val="single" w:color="auto" w:sz="4" w:space="0"/>
              <w:right w:val="single" w:color="auto" w:sz="4" w:space="0"/>
            </w:tcBorders>
            <w:vAlign w:val="center"/>
          </w:tcPr>
          <w:p w14:paraId="04D75A8D">
            <w:pPr>
              <w:spacing w:line="360" w:lineRule="auto"/>
              <w:jc w:val="center"/>
              <w:textAlignment w:val="baseline"/>
            </w:pPr>
            <w:r>
              <w:t>项目定位及理解</w:t>
            </w:r>
            <w:r>
              <w:rPr>
                <w:rFonts w:hint="eastAsia"/>
              </w:rPr>
              <w:t>（6分）</w:t>
            </w:r>
          </w:p>
        </w:tc>
        <w:tc>
          <w:tcPr>
            <w:tcW w:w="8550" w:type="dxa"/>
            <w:gridSpan w:val="2"/>
            <w:tcBorders>
              <w:top w:val="single" w:color="auto" w:sz="4" w:space="0"/>
              <w:left w:val="nil"/>
              <w:bottom w:val="single" w:color="auto" w:sz="4" w:space="0"/>
              <w:right w:val="single" w:color="auto" w:sz="4" w:space="0"/>
            </w:tcBorders>
            <w:vAlign w:val="center"/>
          </w:tcPr>
          <w:p w14:paraId="54B97DA2">
            <w:pPr>
              <w:spacing w:line="360" w:lineRule="auto"/>
              <w:textAlignment w:val="baseline"/>
            </w:pPr>
            <w:r>
              <w:t>结合对本项目及设计任务书的要求，投标人对本项目</w:t>
            </w:r>
            <w:r>
              <w:rPr>
                <w:rFonts w:hint="eastAsia"/>
              </w:rPr>
              <w:t>一期</w:t>
            </w:r>
            <w:r>
              <w:rPr>
                <w:rFonts w:hint="eastAsia"/>
                <w:color w:val="auto"/>
                <w:lang w:eastAsia="zh-CN"/>
              </w:rPr>
              <w:t>（</w:t>
            </w:r>
            <w:r>
              <w:rPr>
                <w:rFonts w:hint="eastAsia"/>
                <w:color w:val="auto"/>
                <w:lang w:val="en-US" w:eastAsia="zh-CN"/>
              </w:rPr>
              <w:t>百年东街改造升级</w:t>
            </w:r>
            <w:r>
              <w:rPr>
                <w:rFonts w:hint="eastAsia"/>
                <w:color w:val="auto"/>
                <w:lang w:eastAsia="zh-CN"/>
              </w:rPr>
              <w:t>）</w:t>
            </w:r>
            <w:r>
              <w:t>定位、设计思路、设计特点的理解准确性。</w:t>
            </w:r>
          </w:p>
          <w:p w14:paraId="6B158258">
            <w:pPr>
              <w:spacing w:line="360" w:lineRule="auto"/>
              <w:textAlignment w:val="baseline"/>
            </w:pPr>
            <w:r>
              <w:rPr>
                <w:rFonts w:hint="eastAsia"/>
              </w:rPr>
              <w:t>【优】得该细项分的5—6分；</w:t>
            </w:r>
          </w:p>
          <w:p w14:paraId="333669A6">
            <w:pPr>
              <w:spacing w:line="360" w:lineRule="auto"/>
              <w:textAlignment w:val="baseline"/>
            </w:pPr>
            <w:r>
              <w:rPr>
                <w:rFonts w:hint="eastAsia"/>
              </w:rPr>
              <w:t>【中】得该细项分的3—4分；</w:t>
            </w:r>
          </w:p>
          <w:p w14:paraId="497FCC90">
            <w:pPr>
              <w:spacing w:line="360" w:lineRule="auto"/>
              <w:textAlignment w:val="baseline"/>
            </w:pPr>
            <w:r>
              <w:rPr>
                <w:rFonts w:hint="eastAsia"/>
              </w:rPr>
              <w:t>【合格】得该细项分的2分；</w:t>
            </w:r>
          </w:p>
          <w:p w14:paraId="46D78030">
            <w:pPr>
              <w:spacing w:line="360" w:lineRule="auto"/>
              <w:textAlignment w:val="baseline"/>
            </w:pPr>
            <w:r>
              <w:rPr>
                <w:rFonts w:hint="eastAsia"/>
              </w:rPr>
              <w:t>不提供材料或无该项描述的得0分。</w:t>
            </w:r>
          </w:p>
        </w:tc>
      </w:tr>
      <w:tr w14:paraId="5A1FB67D">
        <w:tblPrEx>
          <w:tblCellMar>
            <w:top w:w="0" w:type="dxa"/>
            <w:left w:w="108" w:type="dxa"/>
            <w:bottom w:w="0" w:type="dxa"/>
            <w:right w:w="108" w:type="dxa"/>
          </w:tblCellMar>
        </w:tblPrEx>
        <w:trPr>
          <w:trHeight w:val="2636" w:hRule="atLeast"/>
          <w:jc w:val="center"/>
        </w:trPr>
        <w:tc>
          <w:tcPr>
            <w:tcW w:w="1776" w:type="dxa"/>
            <w:gridSpan w:val="2"/>
            <w:tcBorders>
              <w:top w:val="single" w:color="auto" w:sz="4" w:space="0"/>
              <w:left w:val="single" w:color="auto" w:sz="4" w:space="0"/>
              <w:bottom w:val="single" w:color="auto" w:sz="4" w:space="0"/>
              <w:right w:val="single" w:color="auto" w:sz="4" w:space="0"/>
            </w:tcBorders>
            <w:vAlign w:val="center"/>
          </w:tcPr>
          <w:p w14:paraId="2192CD0A">
            <w:pPr>
              <w:spacing w:line="360" w:lineRule="auto"/>
              <w:jc w:val="center"/>
              <w:textAlignment w:val="baseline"/>
            </w:pPr>
            <w:r>
              <w:t>平面图设计</w:t>
            </w:r>
            <w:r>
              <w:rPr>
                <w:rFonts w:hint="eastAsia"/>
              </w:rPr>
              <w:t>（6分）</w:t>
            </w:r>
          </w:p>
        </w:tc>
        <w:tc>
          <w:tcPr>
            <w:tcW w:w="8550" w:type="dxa"/>
            <w:gridSpan w:val="2"/>
            <w:tcBorders>
              <w:top w:val="single" w:color="auto" w:sz="4" w:space="0"/>
              <w:left w:val="nil"/>
              <w:bottom w:val="single" w:color="auto" w:sz="4" w:space="0"/>
              <w:right w:val="single" w:color="auto" w:sz="4" w:space="0"/>
            </w:tcBorders>
            <w:vAlign w:val="center"/>
          </w:tcPr>
          <w:p w14:paraId="3DB1E576">
            <w:pPr>
              <w:spacing w:line="360" w:lineRule="auto"/>
              <w:textAlignment w:val="baseline"/>
              <w:rPr>
                <w:rFonts w:hint="eastAsia" w:eastAsia="宋体"/>
                <w:lang w:eastAsia="zh-CN"/>
              </w:rPr>
            </w:pPr>
            <w:r>
              <w:t>能够结合设计任务书相关要求对平面图进行分析，动线规划设计分析、功能分区布置合理，其他必要的示意</w:t>
            </w:r>
            <w:r>
              <w:rPr>
                <w:rFonts w:hint="eastAsia"/>
                <w:lang w:eastAsia="zh-CN"/>
              </w:rPr>
              <w:t>。</w:t>
            </w:r>
          </w:p>
          <w:p w14:paraId="6CBCBC8D">
            <w:pPr>
              <w:spacing w:line="360" w:lineRule="auto"/>
              <w:textAlignment w:val="baseline"/>
            </w:pPr>
            <w:r>
              <w:rPr>
                <w:rFonts w:hint="eastAsia"/>
              </w:rPr>
              <w:t>【优】得该细项分的5—6分；</w:t>
            </w:r>
          </w:p>
          <w:p w14:paraId="1F9A6183">
            <w:pPr>
              <w:spacing w:line="360" w:lineRule="auto"/>
              <w:textAlignment w:val="baseline"/>
            </w:pPr>
            <w:r>
              <w:rPr>
                <w:rFonts w:hint="eastAsia"/>
              </w:rPr>
              <w:t>【中】得该细项分的3—4分；</w:t>
            </w:r>
          </w:p>
          <w:p w14:paraId="009BB4D6">
            <w:pPr>
              <w:spacing w:line="360" w:lineRule="auto"/>
              <w:textAlignment w:val="baseline"/>
            </w:pPr>
            <w:r>
              <w:rPr>
                <w:rFonts w:hint="eastAsia"/>
              </w:rPr>
              <w:t>【合格】得该细项分的2分；</w:t>
            </w:r>
          </w:p>
          <w:p w14:paraId="70752BD6">
            <w:pPr>
              <w:spacing w:line="360" w:lineRule="auto"/>
              <w:textAlignment w:val="baseline"/>
            </w:pPr>
            <w:r>
              <w:rPr>
                <w:rFonts w:hint="eastAsia"/>
              </w:rPr>
              <w:t>不提供材料或无该项描述的得0分。</w:t>
            </w:r>
          </w:p>
        </w:tc>
      </w:tr>
      <w:tr w14:paraId="03133334">
        <w:tblPrEx>
          <w:tblCellMar>
            <w:top w:w="0" w:type="dxa"/>
            <w:left w:w="108" w:type="dxa"/>
            <w:bottom w:w="0" w:type="dxa"/>
            <w:right w:w="108" w:type="dxa"/>
          </w:tblCellMar>
        </w:tblPrEx>
        <w:trPr>
          <w:trHeight w:val="2636" w:hRule="atLeast"/>
          <w:jc w:val="center"/>
        </w:trPr>
        <w:tc>
          <w:tcPr>
            <w:tcW w:w="1776" w:type="dxa"/>
            <w:gridSpan w:val="2"/>
            <w:tcBorders>
              <w:top w:val="single" w:color="auto" w:sz="4" w:space="0"/>
              <w:left w:val="single" w:color="auto" w:sz="4" w:space="0"/>
              <w:bottom w:val="single" w:color="auto" w:sz="4" w:space="0"/>
              <w:right w:val="single" w:color="auto" w:sz="4" w:space="0"/>
            </w:tcBorders>
            <w:vAlign w:val="center"/>
          </w:tcPr>
          <w:p w14:paraId="0DA8C77C">
            <w:pPr>
              <w:spacing w:line="360" w:lineRule="auto"/>
              <w:jc w:val="center"/>
              <w:textAlignment w:val="baseline"/>
            </w:pPr>
            <w:r>
              <w:rPr>
                <w:rFonts w:hint="eastAsia"/>
              </w:rPr>
              <w:t>建筑和</w:t>
            </w:r>
            <w:r>
              <w:t>景观意向</w:t>
            </w:r>
            <w:r>
              <w:rPr>
                <w:rFonts w:hint="eastAsia"/>
              </w:rPr>
              <w:t>图</w:t>
            </w:r>
            <w:r>
              <w:t>片</w:t>
            </w:r>
            <w:r>
              <w:rPr>
                <w:rFonts w:hint="eastAsia"/>
              </w:rPr>
              <w:t>（6分）</w:t>
            </w:r>
          </w:p>
        </w:tc>
        <w:tc>
          <w:tcPr>
            <w:tcW w:w="8550" w:type="dxa"/>
            <w:gridSpan w:val="2"/>
            <w:tcBorders>
              <w:top w:val="single" w:color="auto" w:sz="4" w:space="0"/>
              <w:left w:val="nil"/>
              <w:bottom w:val="single" w:color="auto" w:sz="4" w:space="0"/>
              <w:right w:val="single" w:color="auto" w:sz="4" w:space="0"/>
            </w:tcBorders>
            <w:vAlign w:val="center"/>
          </w:tcPr>
          <w:p w14:paraId="1EF98D02">
            <w:pPr>
              <w:spacing w:line="360" w:lineRule="auto"/>
              <w:textAlignment w:val="baseline"/>
            </w:pPr>
            <w:r>
              <w:t>能够结合设计任务书相关要求，提供项目</w:t>
            </w:r>
            <w:r>
              <w:rPr>
                <w:rFonts w:hint="eastAsia"/>
              </w:rPr>
              <w:t>建筑和景</w:t>
            </w:r>
            <w:r>
              <w:t>观风格的意向图片</w:t>
            </w:r>
            <w:r>
              <w:rPr>
                <w:rFonts w:hint="eastAsia"/>
              </w:rPr>
              <w:t>或效果图，提供效果图可酌情加分。</w:t>
            </w:r>
          </w:p>
          <w:p w14:paraId="66A3389A">
            <w:pPr>
              <w:spacing w:line="360" w:lineRule="auto"/>
              <w:textAlignment w:val="baseline"/>
            </w:pPr>
            <w:r>
              <w:rPr>
                <w:rFonts w:hint="eastAsia"/>
              </w:rPr>
              <w:t>【优】得该细项分的5—6分；</w:t>
            </w:r>
          </w:p>
          <w:p w14:paraId="1EBF5299">
            <w:pPr>
              <w:spacing w:line="360" w:lineRule="auto"/>
              <w:textAlignment w:val="baseline"/>
            </w:pPr>
            <w:r>
              <w:rPr>
                <w:rFonts w:hint="eastAsia"/>
              </w:rPr>
              <w:t>【中】得该细项分的3—4分；</w:t>
            </w:r>
          </w:p>
          <w:p w14:paraId="2CD08B94">
            <w:pPr>
              <w:spacing w:line="360" w:lineRule="auto"/>
              <w:textAlignment w:val="baseline"/>
            </w:pPr>
            <w:r>
              <w:rPr>
                <w:rFonts w:hint="eastAsia"/>
              </w:rPr>
              <w:t>【合格】得该细项分的2分；</w:t>
            </w:r>
          </w:p>
          <w:p w14:paraId="578777FE">
            <w:pPr>
              <w:spacing w:line="360" w:lineRule="auto"/>
              <w:textAlignment w:val="baseline"/>
            </w:pPr>
            <w:r>
              <w:rPr>
                <w:rFonts w:hint="eastAsia"/>
              </w:rPr>
              <w:t>不提供材料或无该项描述的得0分。</w:t>
            </w:r>
          </w:p>
        </w:tc>
      </w:tr>
      <w:tr w14:paraId="255591EF">
        <w:tblPrEx>
          <w:tblCellMar>
            <w:top w:w="0" w:type="dxa"/>
            <w:left w:w="108" w:type="dxa"/>
            <w:bottom w:w="0" w:type="dxa"/>
            <w:right w:w="108" w:type="dxa"/>
          </w:tblCellMar>
        </w:tblPrEx>
        <w:trPr>
          <w:trHeight w:val="2636" w:hRule="atLeast"/>
          <w:jc w:val="center"/>
        </w:trPr>
        <w:tc>
          <w:tcPr>
            <w:tcW w:w="1776" w:type="dxa"/>
            <w:gridSpan w:val="2"/>
            <w:tcBorders>
              <w:top w:val="single" w:color="auto" w:sz="4" w:space="0"/>
              <w:left w:val="single" w:color="auto" w:sz="4" w:space="0"/>
              <w:bottom w:val="single" w:color="auto" w:sz="4" w:space="0"/>
              <w:right w:val="single" w:color="auto" w:sz="4" w:space="0"/>
            </w:tcBorders>
            <w:vAlign w:val="center"/>
          </w:tcPr>
          <w:p w14:paraId="12A002E6">
            <w:pPr>
              <w:spacing w:line="360" w:lineRule="auto"/>
              <w:jc w:val="center"/>
              <w:textAlignment w:val="baseline"/>
            </w:pPr>
            <w:r>
              <w:rPr>
                <w:rFonts w:hint="eastAsia"/>
              </w:rPr>
              <w:t>设计方案思路</w:t>
            </w:r>
          </w:p>
          <w:p w14:paraId="1F9BDD18">
            <w:pPr>
              <w:spacing w:line="360" w:lineRule="auto"/>
              <w:jc w:val="center"/>
              <w:textAlignment w:val="baseline"/>
            </w:pPr>
            <w:r>
              <w:rPr>
                <w:rFonts w:hint="eastAsia"/>
              </w:rPr>
              <w:t>（6分）</w:t>
            </w:r>
          </w:p>
        </w:tc>
        <w:tc>
          <w:tcPr>
            <w:tcW w:w="8550" w:type="dxa"/>
            <w:gridSpan w:val="2"/>
            <w:tcBorders>
              <w:top w:val="single" w:color="auto" w:sz="4" w:space="0"/>
              <w:left w:val="nil"/>
              <w:bottom w:val="single" w:color="auto" w:sz="4" w:space="0"/>
              <w:right w:val="single" w:color="auto" w:sz="4" w:space="0"/>
            </w:tcBorders>
            <w:vAlign w:val="center"/>
          </w:tcPr>
          <w:p w14:paraId="397D9A4A">
            <w:pPr>
              <w:spacing w:line="360" w:lineRule="auto"/>
              <w:textAlignment w:val="baseline"/>
            </w:pPr>
            <w:r>
              <w:rPr>
                <w:rFonts w:hint="eastAsia"/>
              </w:rPr>
              <w:t>方案能对项目设计所涉及的相关方面问题提出合理设计思路、经济性及分析详细的。</w:t>
            </w:r>
          </w:p>
          <w:p w14:paraId="2294E80B">
            <w:pPr>
              <w:spacing w:line="360" w:lineRule="auto"/>
              <w:textAlignment w:val="baseline"/>
            </w:pPr>
            <w:r>
              <w:rPr>
                <w:rFonts w:hint="eastAsia"/>
              </w:rPr>
              <w:t>【优】得该细项分的5—6分；</w:t>
            </w:r>
          </w:p>
          <w:p w14:paraId="4596BBB2">
            <w:pPr>
              <w:spacing w:line="360" w:lineRule="auto"/>
              <w:textAlignment w:val="baseline"/>
            </w:pPr>
            <w:r>
              <w:rPr>
                <w:rFonts w:hint="eastAsia"/>
              </w:rPr>
              <w:t>【中】得该细项分的3—4分；</w:t>
            </w:r>
          </w:p>
          <w:p w14:paraId="42AB835D">
            <w:pPr>
              <w:spacing w:line="360" w:lineRule="auto"/>
              <w:textAlignment w:val="baseline"/>
            </w:pPr>
            <w:r>
              <w:rPr>
                <w:rFonts w:hint="eastAsia"/>
              </w:rPr>
              <w:t>【合格】得该细项分的1—2分；</w:t>
            </w:r>
          </w:p>
          <w:p w14:paraId="48DB6F9C">
            <w:pPr>
              <w:spacing w:line="360" w:lineRule="auto"/>
              <w:textAlignment w:val="baseline"/>
            </w:pPr>
            <w:r>
              <w:rPr>
                <w:rFonts w:hint="eastAsia"/>
              </w:rPr>
              <w:t>不提供材料或无该项描述的得0分。</w:t>
            </w:r>
          </w:p>
        </w:tc>
      </w:tr>
      <w:tr w14:paraId="453341E2">
        <w:tblPrEx>
          <w:tblCellMar>
            <w:top w:w="0" w:type="dxa"/>
            <w:left w:w="108" w:type="dxa"/>
            <w:bottom w:w="0" w:type="dxa"/>
            <w:right w:w="108" w:type="dxa"/>
          </w:tblCellMar>
        </w:tblPrEx>
        <w:trPr>
          <w:trHeight w:val="2347" w:hRule="atLeast"/>
          <w:jc w:val="center"/>
        </w:trPr>
        <w:tc>
          <w:tcPr>
            <w:tcW w:w="1776" w:type="dxa"/>
            <w:gridSpan w:val="2"/>
            <w:tcBorders>
              <w:top w:val="single" w:color="auto" w:sz="4" w:space="0"/>
              <w:left w:val="single" w:color="auto" w:sz="4" w:space="0"/>
              <w:bottom w:val="single" w:color="auto" w:sz="4" w:space="0"/>
              <w:right w:val="single" w:color="auto" w:sz="4" w:space="0"/>
            </w:tcBorders>
            <w:vAlign w:val="center"/>
          </w:tcPr>
          <w:p w14:paraId="5ECC44A1">
            <w:pPr>
              <w:spacing w:line="360" w:lineRule="auto"/>
              <w:jc w:val="center"/>
              <w:textAlignment w:val="baseline"/>
            </w:pPr>
            <w:r>
              <w:rPr>
                <w:rFonts w:hint="eastAsia"/>
              </w:rPr>
              <w:t>设计进度计划安排及保证措施</w:t>
            </w:r>
          </w:p>
          <w:p w14:paraId="5D71C747">
            <w:pPr>
              <w:spacing w:line="360" w:lineRule="auto"/>
              <w:jc w:val="center"/>
              <w:textAlignment w:val="baseline"/>
            </w:pPr>
            <w:r>
              <w:rPr>
                <w:rFonts w:hint="eastAsia"/>
              </w:rPr>
              <w:t>（3分）</w:t>
            </w:r>
          </w:p>
        </w:tc>
        <w:tc>
          <w:tcPr>
            <w:tcW w:w="8550" w:type="dxa"/>
            <w:gridSpan w:val="2"/>
            <w:tcBorders>
              <w:top w:val="single" w:color="auto" w:sz="4" w:space="0"/>
              <w:left w:val="nil"/>
              <w:bottom w:val="single" w:color="auto" w:sz="4" w:space="0"/>
              <w:right w:val="single" w:color="auto" w:sz="4" w:space="0"/>
            </w:tcBorders>
            <w:vAlign w:val="center"/>
          </w:tcPr>
          <w:p w14:paraId="70F6D31F">
            <w:pPr>
              <w:spacing w:line="360" w:lineRule="auto"/>
              <w:textAlignment w:val="baseline"/>
              <w:rPr>
                <w:lang w:val="zh-CN"/>
              </w:rPr>
            </w:pPr>
            <w:r>
              <w:rPr>
                <w:rFonts w:hint="eastAsia"/>
              </w:rPr>
              <w:t>设计进度、</w:t>
            </w:r>
            <w:r>
              <w:rPr>
                <w:rFonts w:hint="eastAsia"/>
                <w:lang w:val="zh-CN"/>
              </w:rPr>
              <w:t>质量保证措施具体、针对性强。</w:t>
            </w:r>
          </w:p>
          <w:p w14:paraId="480E2E6B">
            <w:pPr>
              <w:spacing w:line="360" w:lineRule="auto"/>
              <w:textAlignment w:val="baseline"/>
            </w:pPr>
            <w:r>
              <w:rPr>
                <w:rFonts w:hint="eastAsia"/>
              </w:rPr>
              <w:t>【优】得该细项分的3分；</w:t>
            </w:r>
          </w:p>
          <w:p w14:paraId="631796C3">
            <w:pPr>
              <w:spacing w:line="360" w:lineRule="auto"/>
              <w:textAlignment w:val="baseline"/>
            </w:pPr>
            <w:r>
              <w:rPr>
                <w:rFonts w:hint="eastAsia"/>
              </w:rPr>
              <w:t>【中】得该细项分的2</w:t>
            </w:r>
            <w:r>
              <w:rPr>
                <w:rFonts w:hint="eastAsia"/>
                <w:lang w:eastAsia="zh-CN"/>
              </w:rPr>
              <w:t>分；</w:t>
            </w:r>
          </w:p>
          <w:p w14:paraId="1AFF9327">
            <w:pPr>
              <w:spacing w:line="360" w:lineRule="auto"/>
              <w:textAlignment w:val="baseline"/>
            </w:pPr>
            <w:r>
              <w:rPr>
                <w:rFonts w:hint="eastAsia"/>
              </w:rPr>
              <w:t>【合格】得该细项分的1分；</w:t>
            </w:r>
          </w:p>
          <w:p w14:paraId="59BD109D">
            <w:pPr>
              <w:spacing w:line="360" w:lineRule="auto"/>
              <w:textAlignment w:val="baseline"/>
            </w:pPr>
            <w:r>
              <w:rPr>
                <w:rFonts w:hint="eastAsia"/>
              </w:rPr>
              <w:t>不提供材料或无该项描述的得0分。</w:t>
            </w:r>
          </w:p>
        </w:tc>
      </w:tr>
      <w:tr w14:paraId="4AA881F8">
        <w:tblPrEx>
          <w:tblCellMar>
            <w:top w:w="0" w:type="dxa"/>
            <w:left w:w="108" w:type="dxa"/>
            <w:bottom w:w="0" w:type="dxa"/>
            <w:right w:w="108" w:type="dxa"/>
          </w:tblCellMar>
        </w:tblPrEx>
        <w:trPr>
          <w:trHeight w:val="2711" w:hRule="atLeast"/>
          <w:jc w:val="center"/>
        </w:trPr>
        <w:tc>
          <w:tcPr>
            <w:tcW w:w="1776" w:type="dxa"/>
            <w:gridSpan w:val="2"/>
            <w:tcBorders>
              <w:top w:val="single" w:color="auto" w:sz="4" w:space="0"/>
              <w:left w:val="single" w:color="auto" w:sz="4" w:space="0"/>
              <w:bottom w:val="single" w:color="auto" w:sz="4" w:space="0"/>
              <w:right w:val="single" w:color="auto" w:sz="4" w:space="0"/>
            </w:tcBorders>
            <w:vAlign w:val="center"/>
          </w:tcPr>
          <w:p w14:paraId="5A7355B0">
            <w:pPr>
              <w:spacing w:line="360" w:lineRule="auto"/>
              <w:jc w:val="center"/>
              <w:textAlignment w:val="baseline"/>
            </w:pPr>
            <w:r>
              <w:rPr>
                <w:rFonts w:hint="eastAsia"/>
              </w:rPr>
              <w:t>后续服务内容及承诺</w:t>
            </w:r>
          </w:p>
          <w:p w14:paraId="15AB31EF">
            <w:pPr>
              <w:spacing w:line="360" w:lineRule="auto"/>
              <w:jc w:val="center"/>
              <w:textAlignment w:val="baseline"/>
            </w:pPr>
            <w:r>
              <w:rPr>
                <w:rFonts w:hint="eastAsia"/>
              </w:rPr>
              <w:t>（3分）</w:t>
            </w:r>
          </w:p>
        </w:tc>
        <w:tc>
          <w:tcPr>
            <w:tcW w:w="8550" w:type="dxa"/>
            <w:gridSpan w:val="2"/>
            <w:tcBorders>
              <w:top w:val="single" w:color="auto" w:sz="4" w:space="0"/>
              <w:left w:val="nil"/>
              <w:bottom w:val="single" w:color="auto" w:sz="4" w:space="0"/>
              <w:right w:val="single" w:color="auto" w:sz="4" w:space="0"/>
            </w:tcBorders>
            <w:vAlign w:val="center"/>
          </w:tcPr>
          <w:p w14:paraId="63A74E00">
            <w:pPr>
              <w:spacing w:line="360" w:lineRule="auto"/>
              <w:textAlignment w:val="baseline"/>
            </w:pPr>
            <w:r>
              <w:rPr>
                <w:rFonts w:hint="eastAsia"/>
              </w:rPr>
              <w:t>后续服务安排措施合理、全面、切实可行并提供合理、可靠的承诺。</w:t>
            </w:r>
          </w:p>
          <w:p w14:paraId="50920824">
            <w:pPr>
              <w:spacing w:line="360" w:lineRule="auto"/>
              <w:textAlignment w:val="baseline"/>
            </w:pPr>
            <w:r>
              <w:rPr>
                <w:rFonts w:hint="eastAsia"/>
              </w:rPr>
              <w:t>【优】得该细项分的3分；</w:t>
            </w:r>
          </w:p>
          <w:p w14:paraId="0D4F3130">
            <w:pPr>
              <w:spacing w:line="360" w:lineRule="auto"/>
              <w:textAlignment w:val="baseline"/>
            </w:pPr>
            <w:r>
              <w:rPr>
                <w:rFonts w:hint="eastAsia"/>
              </w:rPr>
              <w:t>【中】得该细项分的2</w:t>
            </w:r>
            <w:r>
              <w:rPr>
                <w:rFonts w:hint="eastAsia"/>
                <w:lang w:eastAsia="zh-CN"/>
              </w:rPr>
              <w:t>分；</w:t>
            </w:r>
          </w:p>
          <w:p w14:paraId="321EA554">
            <w:pPr>
              <w:spacing w:line="360" w:lineRule="auto"/>
              <w:textAlignment w:val="baseline"/>
            </w:pPr>
            <w:r>
              <w:rPr>
                <w:rFonts w:hint="eastAsia"/>
              </w:rPr>
              <w:t>【合格】得该细项分的1分；</w:t>
            </w:r>
          </w:p>
          <w:p w14:paraId="5CB94568">
            <w:pPr>
              <w:spacing w:line="360" w:lineRule="auto"/>
              <w:textAlignment w:val="baseline"/>
            </w:pPr>
            <w:r>
              <w:rPr>
                <w:rFonts w:hint="eastAsia"/>
              </w:rPr>
              <w:t>不提供材料或无该项描述的得0分。</w:t>
            </w:r>
          </w:p>
        </w:tc>
      </w:tr>
      <w:tr w14:paraId="2DAB5EBF">
        <w:tblPrEx>
          <w:tblCellMar>
            <w:top w:w="0" w:type="dxa"/>
            <w:left w:w="108" w:type="dxa"/>
            <w:bottom w:w="0" w:type="dxa"/>
            <w:right w:w="108" w:type="dxa"/>
          </w:tblCellMar>
        </w:tblPrEx>
        <w:trPr>
          <w:trHeight w:val="624" w:hRule="atLeast"/>
          <w:jc w:val="center"/>
        </w:trPr>
        <w:tc>
          <w:tcPr>
            <w:tcW w:w="10326" w:type="dxa"/>
            <w:gridSpan w:val="4"/>
            <w:tcBorders>
              <w:top w:val="single" w:color="auto" w:sz="4" w:space="0"/>
              <w:left w:val="single" w:color="auto" w:sz="4" w:space="0"/>
              <w:bottom w:val="single" w:color="auto" w:sz="4" w:space="0"/>
              <w:right w:val="single" w:color="auto" w:sz="4" w:space="0"/>
            </w:tcBorders>
            <w:shd w:val="clear" w:color="auto" w:fill="E6E0EC"/>
            <w:vAlign w:val="center"/>
          </w:tcPr>
          <w:p w14:paraId="3D8EE31B">
            <w:pPr>
              <w:pStyle w:val="82"/>
              <w:wordWrap w:val="0"/>
              <w:autoSpaceDE w:val="0"/>
              <w:adjustRightInd w:val="0"/>
              <w:snapToGrid w:val="0"/>
              <w:spacing w:line="360" w:lineRule="auto"/>
              <w:rPr>
                <w:rFonts w:ascii="宋体" w:hAnsi="宋体" w:eastAsia="宋体" w:cs="宋体"/>
                <w:spacing w:val="-2"/>
                <w:sz w:val="24"/>
                <w:szCs w:val="24"/>
              </w:rPr>
            </w:pPr>
            <w:r>
              <w:rPr>
                <w:rFonts w:hint="eastAsia" w:ascii="宋体" w:hAnsi="宋体" w:eastAsia="宋体" w:cs="宋体"/>
                <w:b/>
                <w:bCs/>
                <w:kern w:val="0"/>
                <w:sz w:val="24"/>
                <w:szCs w:val="24"/>
              </w:rPr>
              <w:t>投标报价部分</w:t>
            </w:r>
            <w:r>
              <w:rPr>
                <w:rFonts w:hint="eastAsia" w:ascii="宋体" w:hAnsi="宋体" w:eastAsia="宋体" w:cs="宋体"/>
                <w:b/>
                <w:bCs/>
                <w:snapToGrid w:val="0"/>
                <w:kern w:val="0"/>
                <w:sz w:val="24"/>
                <w:szCs w:val="24"/>
              </w:rPr>
              <w:t>M</w:t>
            </w:r>
            <w:r>
              <w:rPr>
                <w:rFonts w:hint="eastAsia" w:ascii="宋体" w:hAnsi="宋体" w:eastAsia="宋体" w:cs="宋体"/>
                <w:b/>
                <w:bCs/>
                <w:snapToGrid w:val="0"/>
                <w:kern w:val="0"/>
                <w:sz w:val="24"/>
                <w:szCs w:val="24"/>
                <w:vertAlign w:val="subscript"/>
              </w:rPr>
              <w:t>3</w:t>
            </w:r>
            <w:r>
              <w:rPr>
                <w:rFonts w:hint="eastAsia" w:ascii="宋体" w:hAnsi="宋体" w:eastAsia="宋体" w:cs="宋体"/>
                <w:b/>
                <w:bCs/>
                <w:kern w:val="0"/>
                <w:sz w:val="24"/>
                <w:szCs w:val="24"/>
              </w:rPr>
              <w:t>，满分：20分。</w:t>
            </w:r>
          </w:p>
        </w:tc>
      </w:tr>
      <w:tr w14:paraId="1C128086">
        <w:tblPrEx>
          <w:tblCellMar>
            <w:top w:w="0" w:type="dxa"/>
            <w:left w:w="108" w:type="dxa"/>
            <w:bottom w:w="0" w:type="dxa"/>
            <w:right w:w="108" w:type="dxa"/>
          </w:tblCellMar>
        </w:tblPrEx>
        <w:trPr>
          <w:trHeight w:val="494" w:hRule="atLeast"/>
          <w:jc w:val="center"/>
        </w:trPr>
        <w:tc>
          <w:tcPr>
            <w:tcW w:w="1776" w:type="dxa"/>
            <w:gridSpan w:val="2"/>
            <w:tcBorders>
              <w:top w:val="single" w:color="auto" w:sz="4" w:space="0"/>
              <w:left w:val="single" w:color="auto" w:sz="4" w:space="0"/>
              <w:bottom w:val="single" w:color="auto" w:sz="4" w:space="0"/>
              <w:right w:val="single" w:color="auto" w:sz="4" w:space="0"/>
            </w:tcBorders>
            <w:vAlign w:val="center"/>
          </w:tcPr>
          <w:p w14:paraId="225E9A5C">
            <w:pPr>
              <w:spacing w:line="360" w:lineRule="auto"/>
              <w:jc w:val="center"/>
              <w:textAlignment w:val="baseline"/>
            </w:pPr>
            <w:r>
              <w:rPr>
                <w:rFonts w:hint="eastAsia"/>
              </w:rPr>
              <w:t>评分事项</w:t>
            </w:r>
          </w:p>
        </w:tc>
        <w:tc>
          <w:tcPr>
            <w:tcW w:w="8550" w:type="dxa"/>
            <w:gridSpan w:val="2"/>
            <w:tcBorders>
              <w:top w:val="single" w:color="auto" w:sz="4" w:space="0"/>
              <w:left w:val="nil"/>
              <w:bottom w:val="single" w:color="auto" w:sz="4" w:space="0"/>
              <w:right w:val="single" w:color="auto" w:sz="4" w:space="0"/>
            </w:tcBorders>
            <w:vAlign w:val="center"/>
          </w:tcPr>
          <w:p w14:paraId="22546E27">
            <w:pPr>
              <w:spacing w:line="360" w:lineRule="auto"/>
              <w:jc w:val="center"/>
              <w:textAlignment w:val="baseline"/>
            </w:pPr>
            <w:r>
              <w:rPr>
                <w:rFonts w:hint="eastAsia"/>
              </w:rPr>
              <w:t>评分方法</w:t>
            </w:r>
          </w:p>
        </w:tc>
      </w:tr>
      <w:tr w14:paraId="7EDEDFB4">
        <w:tblPrEx>
          <w:tblCellMar>
            <w:top w:w="0" w:type="dxa"/>
            <w:left w:w="108" w:type="dxa"/>
            <w:bottom w:w="0" w:type="dxa"/>
            <w:right w:w="108" w:type="dxa"/>
          </w:tblCellMar>
        </w:tblPrEx>
        <w:trPr>
          <w:trHeight w:val="624" w:hRule="atLeast"/>
          <w:jc w:val="center"/>
        </w:trPr>
        <w:tc>
          <w:tcPr>
            <w:tcW w:w="1776" w:type="dxa"/>
            <w:gridSpan w:val="2"/>
            <w:tcBorders>
              <w:top w:val="single" w:color="auto" w:sz="4" w:space="0"/>
              <w:left w:val="single" w:color="auto" w:sz="4" w:space="0"/>
              <w:bottom w:val="single" w:color="auto" w:sz="4" w:space="0"/>
              <w:right w:val="single" w:color="auto" w:sz="4" w:space="0"/>
            </w:tcBorders>
            <w:vAlign w:val="center"/>
          </w:tcPr>
          <w:p w14:paraId="0CD94A8E">
            <w:pPr>
              <w:spacing w:line="360" w:lineRule="auto"/>
              <w:textAlignment w:val="baseline"/>
            </w:pPr>
            <w:r>
              <w:rPr>
                <w:rFonts w:hint="eastAsia"/>
              </w:rPr>
              <w:t>评标基准价D</w:t>
            </w:r>
          </w:p>
        </w:tc>
        <w:tc>
          <w:tcPr>
            <w:tcW w:w="8550" w:type="dxa"/>
            <w:gridSpan w:val="2"/>
            <w:tcBorders>
              <w:top w:val="single" w:color="auto" w:sz="4" w:space="0"/>
              <w:left w:val="nil"/>
              <w:bottom w:val="single" w:color="auto" w:sz="4" w:space="0"/>
              <w:right w:val="single" w:color="auto" w:sz="4" w:space="0"/>
            </w:tcBorders>
            <w:vAlign w:val="center"/>
          </w:tcPr>
          <w:p w14:paraId="070DF412">
            <w:pPr>
              <w:spacing w:line="360" w:lineRule="auto"/>
              <w:textAlignment w:val="baseline"/>
            </w:pPr>
            <w:r>
              <w:rPr>
                <w:rFonts w:hint="eastAsia"/>
              </w:rPr>
              <w:t>确定最高投标限价下浮系数n：用1～21号球分别代表一个下浮系数，由评委代表从这21个号码中随机抽取 3 次，每次抽取1个号码，抽出的号球不参与下次抽取。所抽取的3个号码对应下浮系数的算术平均值作为最高投标限价下浮系数n。具体号码对应的下浮系数可参考下表。</w:t>
            </w:r>
          </w:p>
          <w:tbl>
            <w:tblPr>
              <w:tblStyle w:val="31"/>
              <w:tblW w:w="8152" w:type="dxa"/>
              <w:tblInd w:w="0" w:type="dxa"/>
              <w:tblLayout w:type="fixed"/>
              <w:tblCellMar>
                <w:top w:w="0" w:type="dxa"/>
                <w:left w:w="108" w:type="dxa"/>
                <w:bottom w:w="0" w:type="dxa"/>
                <w:right w:w="108" w:type="dxa"/>
              </w:tblCellMar>
            </w:tblPr>
            <w:tblGrid>
              <w:gridCol w:w="1635"/>
              <w:gridCol w:w="870"/>
              <w:gridCol w:w="1044"/>
              <w:gridCol w:w="937"/>
              <w:gridCol w:w="920"/>
              <w:gridCol w:w="958"/>
              <w:gridCol w:w="900"/>
              <w:gridCol w:w="888"/>
            </w:tblGrid>
            <w:tr w14:paraId="376AFB71">
              <w:tblPrEx>
                <w:tblCellMar>
                  <w:top w:w="0" w:type="dxa"/>
                  <w:left w:w="108" w:type="dxa"/>
                  <w:bottom w:w="0" w:type="dxa"/>
                  <w:right w:w="108" w:type="dxa"/>
                </w:tblCellMar>
              </w:tblPrEx>
              <w:trPr>
                <w:trHeight w:val="427" w:hRule="atLeast"/>
              </w:trPr>
              <w:tc>
                <w:tcPr>
                  <w:tcW w:w="1635" w:type="dxa"/>
                  <w:tcBorders>
                    <w:top w:val="single" w:color="000000" w:sz="4" w:space="0"/>
                    <w:left w:val="single" w:color="000000" w:sz="4" w:space="0"/>
                    <w:bottom w:val="single" w:color="000000" w:sz="4" w:space="0"/>
                    <w:right w:val="single" w:color="000000" w:sz="4" w:space="0"/>
                  </w:tcBorders>
                  <w:vAlign w:val="center"/>
                </w:tcPr>
                <w:p w14:paraId="3D58F8C8">
                  <w:pPr>
                    <w:spacing w:line="360" w:lineRule="auto"/>
                    <w:jc w:val="center"/>
                    <w:textAlignment w:val="baseline"/>
                  </w:pPr>
                  <w:r>
                    <w:rPr>
                      <w:rFonts w:hint="eastAsia"/>
                    </w:rPr>
                    <w:t>号球</w:t>
                  </w:r>
                </w:p>
              </w:tc>
              <w:tc>
                <w:tcPr>
                  <w:tcW w:w="870" w:type="dxa"/>
                  <w:tcBorders>
                    <w:top w:val="single" w:color="000000" w:sz="4" w:space="0"/>
                    <w:left w:val="single" w:color="000000" w:sz="4" w:space="0"/>
                    <w:bottom w:val="single" w:color="000000" w:sz="4" w:space="0"/>
                    <w:right w:val="single" w:color="000000" w:sz="4" w:space="0"/>
                  </w:tcBorders>
                  <w:vAlign w:val="center"/>
                </w:tcPr>
                <w:p w14:paraId="194CEADF">
                  <w:pPr>
                    <w:spacing w:line="360" w:lineRule="auto"/>
                    <w:jc w:val="center"/>
                    <w:textAlignment w:val="baseline"/>
                  </w:pPr>
                  <w:r>
                    <w:rPr>
                      <w:rFonts w:hint="eastAsia"/>
                    </w:rPr>
                    <w:t>1</w:t>
                  </w:r>
                </w:p>
              </w:tc>
              <w:tc>
                <w:tcPr>
                  <w:tcW w:w="1044" w:type="dxa"/>
                  <w:tcBorders>
                    <w:top w:val="single" w:color="000000" w:sz="4" w:space="0"/>
                    <w:left w:val="single" w:color="000000" w:sz="4" w:space="0"/>
                    <w:bottom w:val="single" w:color="000000" w:sz="4" w:space="0"/>
                    <w:right w:val="single" w:color="000000" w:sz="4" w:space="0"/>
                  </w:tcBorders>
                  <w:vAlign w:val="center"/>
                </w:tcPr>
                <w:p w14:paraId="36DB3B2A">
                  <w:pPr>
                    <w:spacing w:line="360" w:lineRule="auto"/>
                    <w:jc w:val="center"/>
                    <w:textAlignment w:val="baseline"/>
                  </w:pPr>
                  <w:r>
                    <w:rPr>
                      <w:rFonts w:hint="eastAsia"/>
                    </w:rPr>
                    <w:t>2</w:t>
                  </w:r>
                </w:p>
              </w:tc>
              <w:tc>
                <w:tcPr>
                  <w:tcW w:w="937" w:type="dxa"/>
                  <w:tcBorders>
                    <w:top w:val="single" w:color="000000" w:sz="4" w:space="0"/>
                    <w:left w:val="single" w:color="000000" w:sz="4" w:space="0"/>
                    <w:bottom w:val="single" w:color="000000" w:sz="4" w:space="0"/>
                    <w:right w:val="single" w:color="000000" w:sz="4" w:space="0"/>
                  </w:tcBorders>
                  <w:vAlign w:val="center"/>
                </w:tcPr>
                <w:p w14:paraId="13797F0C">
                  <w:pPr>
                    <w:spacing w:line="360" w:lineRule="auto"/>
                    <w:jc w:val="center"/>
                    <w:textAlignment w:val="baseline"/>
                  </w:pPr>
                  <w:r>
                    <w:rPr>
                      <w:rFonts w:hint="eastAsia"/>
                    </w:rPr>
                    <w:t>3</w:t>
                  </w:r>
                </w:p>
              </w:tc>
              <w:tc>
                <w:tcPr>
                  <w:tcW w:w="920" w:type="dxa"/>
                  <w:tcBorders>
                    <w:top w:val="single" w:color="000000" w:sz="4" w:space="0"/>
                    <w:left w:val="single" w:color="000000" w:sz="4" w:space="0"/>
                    <w:bottom w:val="single" w:color="000000" w:sz="4" w:space="0"/>
                    <w:right w:val="single" w:color="000000" w:sz="4" w:space="0"/>
                  </w:tcBorders>
                  <w:vAlign w:val="center"/>
                </w:tcPr>
                <w:p w14:paraId="370B9918">
                  <w:pPr>
                    <w:spacing w:line="360" w:lineRule="auto"/>
                    <w:jc w:val="center"/>
                    <w:textAlignment w:val="baseline"/>
                  </w:pPr>
                  <w:r>
                    <w:rPr>
                      <w:rFonts w:hint="eastAsia"/>
                    </w:rPr>
                    <w:t>4</w:t>
                  </w:r>
                </w:p>
              </w:tc>
              <w:tc>
                <w:tcPr>
                  <w:tcW w:w="958" w:type="dxa"/>
                  <w:tcBorders>
                    <w:top w:val="single" w:color="000000" w:sz="4" w:space="0"/>
                    <w:left w:val="single" w:color="000000" w:sz="4" w:space="0"/>
                    <w:bottom w:val="single" w:color="000000" w:sz="4" w:space="0"/>
                    <w:right w:val="single" w:color="000000" w:sz="4" w:space="0"/>
                  </w:tcBorders>
                  <w:vAlign w:val="center"/>
                </w:tcPr>
                <w:p w14:paraId="52FD0E3A">
                  <w:pPr>
                    <w:spacing w:line="360" w:lineRule="auto"/>
                    <w:jc w:val="center"/>
                    <w:textAlignment w:val="baseline"/>
                  </w:pPr>
                  <w:r>
                    <w:rPr>
                      <w:rFonts w:hint="eastAsia"/>
                    </w:rPr>
                    <w:t>5</w:t>
                  </w:r>
                </w:p>
              </w:tc>
              <w:tc>
                <w:tcPr>
                  <w:tcW w:w="900" w:type="dxa"/>
                  <w:tcBorders>
                    <w:top w:val="single" w:color="000000" w:sz="4" w:space="0"/>
                    <w:left w:val="single" w:color="000000" w:sz="4" w:space="0"/>
                    <w:bottom w:val="single" w:color="000000" w:sz="4" w:space="0"/>
                    <w:right w:val="single" w:color="000000" w:sz="4" w:space="0"/>
                  </w:tcBorders>
                  <w:vAlign w:val="center"/>
                </w:tcPr>
                <w:p w14:paraId="51179F1C">
                  <w:pPr>
                    <w:spacing w:line="360" w:lineRule="auto"/>
                    <w:jc w:val="center"/>
                    <w:textAlignment w:val="baseline"/>
                  </w:pPr>
                  <w:r>
                    <w:rPr>
                      <w:rFonts w:hint="eastAsia"/>
                    </w:rPr>
                    <w:t>6</w:t>
                  </w:r>
                </w:p>
              </w:tc>
              <w:tc>
                <w:tcPr>
                  <w:tcW w:w="888" w:type="dxa"/>
                  <w:tcBorders>
                    <w:top w:val="single" w:color="000000" w:sz="4" w:space="0"/>
                    <w:left w:val="single" w:color="000000" w:sz="4" w:space="0"/>
                    <w:bottom w:val="single" w:color="000000" w:sz="4" w:space="0"/>
                    <w:right w:val="single" w:color="000000" w:sz="4" w:space="0"/>
                  </w:tcBorders>
                  <w:vAlign w:val="center"/>
                </w:tcPr>
                <w:p w14:paraId="123FDF6C">
                  <w:pPr>
                    <w:spacing w:line="360" w:lineRule="auto"/>
                    <w:jc w:val="center"/>
                    <w:textAlignment w:val="baseline"/>
                  </w:pPr>
                  <w:r>
                    <w:rPr>
                      <w:rFonts w:hint="eastAsia"/>
                    </w:rPr>
                    <w:t>7</w:t>
                  </w:r>
                </w:p>
              </w:tc>
            </w:tr>
            <w:tr w14:paraId="0204307E">
              <w:tblPrEx>
                <w:tblCellMar>
                  <w:top w:w="0" w:type="dxa"/>
                  <w:left w:w="108" w:type="dxa"/>
                  <w:bottom w:w="0" w:type="dxa"/>
                  <w:right w:w="108" w:type="dxa"/>
                </w:tblCellMar>
              </w:tblPrEx>
              <w:trPr>
                <w:trHeight w:val="452" w:hRule="atLeast"/>
              </w:trPr>
              <w:tc>
                <w:tcPr>
                  <w:tcW w:w="1635" w:type="dxa"/>
                  <w:tcBorders>
                    <w:top w:val="single" w:color="000000" w:sz="4" w:space="0"/>
                    <w:left w:val="single" w:color="000000" w:sz="4" w:space="0"/>
                    <w:bottom w:val="single" w:color="000000" w:sz="4" w:space="0"/>
                    <w:right w:val="single" w:color="000000" w:sz="4" w:space="0"/>
                  </w:tcBorders>
                  <w:vAlign w:val="center"/>
                </w:tcPr>
                <w:p w14:paraId="1E3CE349">
                  <w:pPr>
                    <w:spacing w:line="360" w:lineRule="auto"/>
                    <w:jc w:val="center"/>
                    <w:textAlignment w:val="baseline"/>
                  </w:pPr>
                  <w:r>
                    <w:rPr>
                      <w:rFonts w:hint="eastAsia"/>
                    </w:rPr>
                    <w:t>下浮系数（%）</w:t>
                  </w:r>
                </w:p>
              </w:tc>
              <w:tc>
                <w:tcPr>
                  <w:tcW w:w="870" w:type="dxa"/>
                  <w:tcBorders>
                    <w:top w:val="single" w:color="000000" w:sz="4" w:space="0"/>
                    <w:left w:val="single" w:color="000000" w:sz="4" w:space="0"/>
                    <w:bottom w:val="single" w:color="000000" w:sz="4" w:space="0"/>
                    <w:right w:val="single" w:color="000000" w:sz="4" w:space="0"/>
                  </w:tcBorders>
                  <w:vAlign w:val="center"/>
                </w:tcPr>
                <w:p w14:paraId="20E83B11">
                  <w:pPr>
                    <w:spacing w:line="360" w:lineRule="auto"/>
                    <w:jc w:val="center"/>
                    <w:textAlignment w:val="baseline"/>
                  </w:pPr>
                  <w:r>
                    <w:rPr>
                      <w:rFonts w:hint="eastAsia"/>
                    </w:rPr>
                    <w:t>1.0</w:t>
                  </w:r>
                </w:p>
              </w:tc>
              <w:tc>
                <w:tcPr>
                  <w:tcW w:w="1044" w:type="dxa"/>
                  <w:tcBorders>
                    <w:top w:val="single" w:color="000000" w:sz="4" w:space="0"/>
                    <w:left w:val="single" w:color="000000" w:sz="4" w:space="0"/>
                    <w:bottom w:val="single" w:color="000000" w:sz="4" w:space="0"/>
                    <w:right w:val="single" w:color="000000" w:sz="4" w:space="0"/>
                  </w:tcBorders>
                  <w:vAlign w:val="center"/>
                </w:tcPr>
                <w:p w14:paraId="082EC2F6">
                  <w:pPr>
                    <w:spacing w:line="360" w:lineRule="auto"/>
                    <w:jc w:val="center"/>
                    <w:textAlignment w:val="baseline"/>
                  </w:pPr>
                  <w:r>
                    <w:rPr>
                      <w:rFonts w:hint="eastAsia"/>
                    </w:rPr>
                    <w:t>1.1</w:t>
                  </w:r>
                </w:p>
              </w:tc>
              <w:tc>
                <w:tcPr>
                  <w:tcW w:w="937" w:type="dxa"/>
                  <w:tcBorders>
                    <w:top w:val="single" w:color="000000" w:sz="4" w:space="0"/>
                    <w:left w:val="single" w:color="000000" w:sz="4" w:space="0"/>
                    <w:bottom w:val="single" w:color="000000" w:sz="4" w:space="0"/>
                    <w:right w:val="single" w:color="000000" w:sz="4" w:space="0"/>
                  </w:tcBorders>
                  <w:vAlign w:val="center"/>
                </w:tcPr>
                <w:p w14:paraId="04FA0B4C">
                  <w:pPr>
                    <w:spacing w:line="360" w:lineRule="auto"/>
                    <w:jc w:val="center"/>
                    <w:textAlignment w:val="baseline"/>
                  </w:pPr>
                  <w:r>
                    <w:rPr>
                      <w:rFonts w:hint="eastAsia"/>
                    </w:rPr>
                    <w:t>1.2</w:t>
                  </w:r>
                </w:p>
              </w:tc>
              <w:tc>
                <w:tcPr>
                  <w:tcW w:w="920" w:type="dxa"/>
                  <w:tcBorders>
                    <w:top w:val="single" w:color="000000" w:sz="4" w:space="0"/>
                    <w:left w:val="single" w:color="000000" w:sz="4" w:space="0"/>
                    <w:bottom w:val="single" w:color="000000" w:sz="4" w:space="0"/>
                    <w:right w:val="single" w:color="000000" w:sz="4" w:space="0"/>
                  </w:tcBorders>
                  <w:vAlign w:val="center"/>
                </w:tcPr>
                <w:p w14:paraId="0790115E">
                  <w:pPr>
                    <w:spacing w:line="360" w:lineRule="auto"/>
                    <w:jc w:val="center"/>
                    <w:textAlignment w:val="baseline"/>
                  </w:pPr>
                  <w:r>
                    <w:rPr>
                      <w:rFonts w:hint="eastAsia"/>
                    </w:rPr>
                    <w:t>1.3</w:t>
                  </w:r>
                </w:p>
              </w:tc>
              <w:tc>
                <w:tcPr>
                  <w:tcW w:w="958" w:type="dxa"/>
                  <w:tcBorders>
                    <w:top w:val="single" w:color="000000" w:sz="4" w:space="0"/>
                    <w:left w:val="single" w:color="000000" w:sz="4" w:space="0"/>
                    <w:bottom w:val="single" w:color="000000" w:sz="4" w:space="0"/>
                    <w:right w:val="single" w:color="000000" w:sz="4" w:space="0"/>
                  </w:tcBorders>
                  <w:vAlign w:val="center"/>
                </w:tcPr>
                <w:p w14:paraId="3CF703D0">
                  <w:pPr>
                    <w:spacing w:line="360" w:lineRule="auto"/>
                    <w:jc w:val="center"/>
                    <w:textAlignment w:val="baseline"/>
                  </w:pPr>
                  <w:r>
                    <w:rPr>
                      <w:rFonts w:hint="eastAsia"/>
                    </w:rPr>
                    <w:t>1.4</w:t>
                  </w:r>
                </w:p>
              </w:tc>
              <w:tc>
                <w:tcPr>
                  <w:tcW w:w="900" w:type="dxa"/>
                  <w:tcBorders>
                    <w:top w:val="single" w:color="000000" w:sz="4" w:space="0"/>
                    <w:left w:val="single" w:color="000000" w:sz="4" w:space="0"/>
                    <w:bottom w:val="single" w:color="000000" w:sz="4" w:space="0"/>
                    <w:right w:val="single" w:color="000000" w:sz="4" w:space="0"/>
                  </w:tcBorders>
                  <w:vAlign w:val="center"/>
                </w:tcPr>
                <w:p w14:paraId="6B5A1308">
                  <w:pPr>
                    <w:spacing w:line="360" w:lineRule="auto"/>
                    <w:jc w:val="center"/>
                    <w:textAlignment w:val="baseline"/>
                  </w:pPr>
                  <w:r>
                    <w:rPr>
                      <w:rFonts w:hint="eastAsia"/>
                    </w:rPr>
                    <w:t>1.5</w:t>
                  </w:r>
                </w:p>
              </w:tc>
              <w:tc>
                <w:tcPr>
                  <w:tcW w:w="888" w:type="dxa"/>
                  <w:tcBorders>
                    <w:top w:val="single" w:color="000000" w:sz="4" w:space="0"/>
                    <w:left w:val="single" w:color="000000" w:sz="4" w:space="0"/>
                    <w:bottom w:val="single" w:color="000000" w:sz="4" w:space="0"/>
                    <w:right w:val="single" w:color="000000" w:sz="4" w:space="0"/>
                  </w:tcBorders>
                  <w:vAlign w:val="center"/>
                </w:tcPr>
                <w:p w14:paraId="79991D41">
                  <w:pPr>
                    <w:spacing w:line="360" w:lineRule="auto"/>
                    <w:jc w:val="center"/>
                    <w:textAlignment w:val="baseline"/>
                  </w:pPr>
                  <w:r>
                    <w:rPr>
                      <w:rFonts w:hint="eastAsia"/>
                    </w:rPr>
                    <w:t>1.6</w:t>
                  </w:r>
                </w:p>
              </w:tc>
            </w:tr>
            <w:tr w14:paraId="5E4A901D">
              <w:tblPrEx>
                <w:tblCellMar>
                  <w:top w:w="0" w:type="dxa"/>
                  <w:left w:w="108" w:type="dxa"/>
                  <w:bottom w:w="0" w:type="dxa"/>
                  <w:right w:w="108" w:type="dxa"/>
                </w:tblCellMar>
              </w:tblPrEx>
              <w:trPr>
                <w:trHeight w:val="427" w:hRule="atLeast"/>
              </w:trPr>
              <w:tc>
                <w:tcPr>
                  <w:tcW w:w="1635" w:type="dxa"/>
                  <w:tcBorders>
                    <w:top w:val="single" w:color="000000" w:sz="4" w:space="0"/>
                    <w:left w:val="single" w:color="000000" w:sz="4" w:space="0"/>
                    <w:bottom w:val="single" w:color="000000" w:sz="4" w:space="0"/>
                    <w:right w:val="single" w:color="000000" w:sz="4" w:space="0"/>
                  </w:tcBorders>
                  <w:vAlign w:val="center"/>
                </w:tcPr>
                <w:p w14:paraId="75C4F835">
                  <w:pPr>
                    <w:spacing w:line="360" w:lineRule="auto"/>
                    <w:jc w:val="center"/>
                    <w:textAlignment w:val="baseline"/>
                  </w:pPr>
                  <w:r>
                    <w:rPr>
                      <w:rFonts w:hint="eastAsia"/>
                    </w:rPr>
                    <w:t>号球</w:t>
                  </w:r>
                </w:p>
              </w:tc>
              <w:tc>
                <w:tcPr>
                  <w:tcW w:w="870" w:type="dxa"/>
                  <w:tcBorders>
                    <w:top w:val="single" w:color="000000" w:sz="4" w:space="0"/>
                    <w:left w:val="single" w:color="000000" w:sz="4" w:space="0"/>
                    <w:bottom w:val="single" w:color="000000" w:sz="4" w:space="0"/>
                    <w:right w:val="single" w:color="000000" w:sz="4" w:space="0"/>
                  </w:tcBorders>
                  <w:vAlign w:val="center"/>
                </w:tcPr>
                <w:p w14:paraId="2073106E">
                  <w:pPr>
                    <w:spacing w:line="360" w:lineRule="auto"/>
                    <w:jc w:val="center"/>
                    <w:textAlignment w:val="baseline"/>
                  </w:pPr>
                  <w:r>
                    <w:rPr>
                      <w:rFonts w:hint="eastAsia"/>
                    </w:rPr>
                    <w:t>8</w:t>
                  </w:r>
                </w:p>
              </w:tc>
              <w:tc>
                <w:tcPr>
                  <w:tcW w:w="1044" w:type="dxa"/>
                  <w:tcBorders>
                    <w:top w:val="single" w:color="000000" w:sz="4" w:space="0"/>
                    <w:left w:val="single" w:color="000000" w:sz="4" w:space="0"/>
                    <w:bottom w:val="single" w:color="000000" w:sz="4" w:space="0"/>
                    <w:right w:val="single" w:color="000000" w:sz="4" w:space="0"/>
                  </w:tcBorders>
                  <w:vAlign w:val="center"/>
                </w:tcPr>
                <w:p w14:paraId="794A0A13">
                  <w:pPr>
                    <w:spacing w:line="360" w:lineRule="auto"/>
                    <w:jc w:val="center"/>
                    <w:textAlignment w:val="baseline"/>
                  </w:pPr>
                  <w:r>
                    <w:rPr>
                      <w:rFonts w:hint="eastAsia"/>
                    </w:rPr>
                    <w:t>9</w:t>
                  </w:r>
                </w:p>
              </w:tc>
              <w:tc>
                <w:tcPr>
                  <w:tcW w:w="937" w:type="dxa"/>
                  <w:tcBorders>
                    <w:top w:val="single" w:color="000000" w:sz="4" w:space="0"/>
                    <w:left w:val="single" w:color="000000" w:sz="4" w:space="0"/>
                    <w:bottom w:val="single" w:color="000000" w:sz="4" w:space="0"/>
                    <w:right w:val="single" w:color="000000" w:sz="4" w:space="0"/>
                  </w:tcBorders>
                  <w:vAlign w:val="center"/>
                </w:tcPr>
                <w:p w14:paraId="28716AFF">
                  <w:pPr>
                    <w:spacing w:line="360" w:lineRule="auto"/>
                    <w:jc w:val="center"/>
                    <w:textAlignment w:val="baseline"/>
                  </w:pPr>
                  <w:r>
                    <w:rPr>
                      <w:rFonts w:hint="eastAsia"/>
                    </w:rPr>
                    <w:t>10</w:t>
                  </w:r>
                </w:p>
              </w:tc>
              <w:tc>
                <w:tcPr>
                  <w:tcW w:w="920" w:type="dxa"/>
                  <w:tcBorders>
                    <w:top w:val="single" w:color="000000" w:sz="4" w:space="0"/>
                    <w:left w:val="single" w:color="000000" w:sz="4" w:space="0"/>
                    <w:bottom w:val="single" w:color="000000" w:sz="4" w:space="0"/>
                    <w:right w:val="single" w:color="000000" w:sz="4" w:space="0"/>
                  </w:tcBorders>
                  <w:vAlign w:val="center"/>
                </w:tcPr>
                <w:p w14:paraId="2222884A">
                  <w:pPr>
                    <w:spacing w:line="360" w:lineRule="auto"/>
                    <w:jc w:val="center"/>
                    <w:textAlignment w:val="baseline"/>
                  </w:pPr>
                  <w:r>
                    <w:rPr>
                      <w:rFonts w:hint="eastAsia"/>
                    </w:rPr>
                    <w:t>11</w:t>
                  </w:r>
                </w:p>
              </w:tc>
              <w:tc>
                <w:tcPr>
                  <w:tcW w:w="958" w:type="dxa"/>
                  <w:tcBorders>
                    <w:top w:val="single" w:color="000000" w:sz="4" w:space="0"/>
                    <w:left w:val="single" w:color="000000" w:sz="4" w:space="0"/>
                    <w:bottom w:val="single" w:color="000000" w:sz="4" w:space="0"/>
                    <w:right w:val="single" w:color="000000" w:sz="4" w:space="0"/>
                  </w:tcBorders>
                  <w:vAlign w:val="center"/>
                </w:tcPr>
                <w:p w14:paraId="21D33595">
                  <w:pPr>
                    <w:spacing w:line="360" w:lineRule="auto"/>
                    <w:jc w:val="center"/>
                    <w:textAlignment w:val="baseline"/>
                  </w:pPr>
                  <w:r>
                    <w:rPr>
                      <w:rFonts w:hint="eastAsia"/>
                    </w:rPr>
                    <w:t>12</w:t>
                  </w:r>
                </w:p>
              </w:tc>
              <w:tc>
                <w:tcPr>
                  <w:tcW w:w="900" w:type="dxa"/>
                  <w:tcBorders>
                    <w:top w:val="single" w:color="000000" w:sz="4" w:space="0"/>
                    <w:left w:val="single" w:color="000000" w:sz="4" w:space="0"/>
                    <w:bottom w:val="single" w:color="000000" w:sz="4" w:space="0"/>
                    <w:right w:val="single" w:color="000000" w:sz="4" w:space="0"/>
                  </w:tcBorders>
                  <w:vAlign w:val="center"/>
                </w:tcPr>
                <w:p w14:paraId="3EBB5F88">
                  <w:pPr>
                    <w:spacing w:line="360" w:lineRule="auto"/>
                    <w:jc w:val="center"/>
                    <w:textAlignment w:val="baseline"/>
                  </w:pPr>
                  <w:r>
                    <w:rPr>
                      <w:rFonts w:hint="eastAsia"/>
                    </w:rPr>
                    <w:t>13</w:t>
                  </w:r>
                </w:p>
              </w:tc>
              <w:tc>
                <w:tcPr>
                  <w:tcW w:w="888" w:type="dxa"/>
                  <w:tcBorders>
                    <w:top w:val="single" w:color="000000" w:sz="4" w:space="0"/>
                    <w:left w:val="single" w:color="000000" w:sz="4" w:space="0"/>
                    <w:bottom w:val="single" w:color="000000" w:sz="4" w:space="0"/>
                    <w:right w:val="single" w:color="000000" w:sz="4" w:space="0"/>
                  </w:tcBorders>
                  <w:vAlign w:val="center"/>
                </w:tcPr>
                <w:p w14:paraId="354CCC68">
                  <w:pPr>
                    <w:spacing w:line="360" w:lineRule="auto"/>
                    <w:jc w:val="center"/>
                    <w:textAlignment w:val="baseline"/>
                  </w:pPr>
                  <w:r>
                    <w:rPr>
                      <w:rFonts w:hint="eastAsia"/>
                    </w:rPr>
                    <w:t>14</w:t>
                  </w:r>
                </w:p>
              </w:tc>
            </w:tr>
            <w:tr w14:paraId="7C1895FD">
              <w:tblPrEx>
                <w:tblCellMar>
                  <w:top w:w="0" w:type="dxa"/>
                  <w:left w:w="108" w:type="dxa"/>
                  <w:bottom w:w="0" w:type="dxa"/>
                  <w:right w:w="108" w:type="dxa"/>
                </w:tblCellMar>
              </w:tblPrEx>
              <w:trPr>
                <w:trHeight w:val="427" w:hRule="atLeast"/>
              </w:trPr>
              <w:tc>
                <w:tcPr>
                  <w:tcW w:w="1635" w:type="dxa"/>
                  <w:tcBorders>
                    <w:top w:val="single" w:color="000000" w:sz="4" w:space="0"/>
                    <w:left w:val="single" w:color="000000" w:sz="4" w:space="0"/>
                    <w:bottom w:val="single" w:color="000000" w:sz="4" w:space="0"/>
                    <w:right w:val="single" w:color="000000" w:sz="4" w:space="0"/>
                  </w:tcBorders>
                  <w:vAlign w:val="center"/>
                </w:tcPr>
                <w:p w14:paraId="6D879CAC">
                  <w:pPr>
                    <w:spacing w:line="360" w:lineRule="auto"/>
                    <w:jc w:val="center"/>
                    <w:textAlignment w:val="baseline"/>
                  </w:pPr>
                  <w:r>
                    <w:rPr>
                      <w:rFonts w:hint="eastAsia"/>
                    </w:rPr>
                    <w:t>下浮系数（%）</w:t>
                  </w:r>
                </w:p>
              </w:tc>
              <w:tc>
                <w:tcPr>
                  <w:tcW w:w="870" w:type="dxa"/>
                  <w:tcBorders>
                    <w:top w:val="single" w:color="000000" w:sz="4" w:space="0"/>
                    <w:left w:val="single" w:color="000000" w:sz="4" w:space="0"/>
                    <w:bottom w:val="single" w:color="000000" w:sz="4" w:space="0"/>
                    <w:right w:val="single" w:color="000000" w:sz="4" w:space="0"/>
                  </w:tcBorders>
                  <w:vAlign w:val="center"/>
                </w:tcPr>
                <w:p w14:paraId="06926128">
                  <w:pPr>
                    <w:spacing w:line="360" w:lineRule="auto"/>
                    <w:jc w:val="center"/>
                    <w:textAlignment w:val="baseline"/>
                  </w:pPr>
                  <w:r>
                    <w:rPr>
                      <w:rFonts w:hint="eastAsia"/>
                    </w:rPr>
                    <w:t>1.7</w:t>
                  </w:r>
                </w:p>
              </w:tc>
              <w:tc>
                <w:tcPr>
                  <w:tcW w:w="1044" w:type="dxa"/>
                  <w:tcBorders>
                    <w:top w:val="single" w:color="000000" w:sz="4" w:space="0"/>
                    <w:left w:val="single" w:color="000000" w:sz="4" w:space="0"/>
                    <w:bottom w:val="single" w:color="000000" w:sz="4" w:space="0"/>
                    <w:right w:val="single" w:color="000000" w:sz="4" w:space="0"/>
                  </w:tcBorders>
                  <w:vAlign w:val="center"/>
                </w:tcPr>
                <w:p w14:paraId="38A5F9F3">
                  <w:pPr>
                    <w:spacing w:line="360" w:lineRule="auto"/>
                    <w:jc w:val="center"/>
                    <w:textAlignment w:val="baseline"/>
                  </w:pPr>
                  <w:r>
                    <w:rPr>
                      <w:rFonts w:hint="eastAsia"/>
                    </w:rPr>
                    <w:t>1.8</w:t>
                  </w:r>
                </w:p>
              </w:tc>
              <w:tc>
                <w:tcPr>
                  <w:tcW w:w="937" w:type="dxa"/>
                  <w:tcBorders>
                    <w:top w:val="single" w:color="000000" w:sz="4" w:space="0"/>
                    <w:left w:val="single" w:color="000000" w:sz="4" w:space="0"/>
                    <w:bottom w:val="single" w:color="000000" w:sz="4" w:space="0"/>
                    <w:right w:val="single" w:color="000000" w:sz="4" w:space="0"/>
                  </w:tcBorders>
                  <w:vAlign w:val="center"/>
                </w:tcPr>
                <w:p w14:paraId="52729E84">
                  <w:pPr>
                    <w:spacing w:line="360" w:lineRule="auto"/>
                    <w:jc w:val="center"/>
                    <w:textAlignment w:val="baseline"/>
                  </w:pPr>
                  <w:r>
                    <w:rPr>
                      <w:rFonts w:hint="eastAsia"/>
                    </w:rPr>
                    <w:t>1.9</w:t>
                  </w:r>
                </w:p>
              </w:tc>
              <w:tc>
                <w:tcPr>
                  <w:tcW w:w="920" w:type="dxa"/>
                  <w:tcBorders>
                    <w:top w:val="single" w:color="000000" w:sz="4" w:space="0"/>
                    <w:left w:val="single" w:color="000000" w:sz="4" w:space="0"/>
                    <w:bottom w:val="single" w:color="000000" w:sz="4" w:space="0"/>
                    <w:right w:val="single" w:color="000000" w:sz="4" w:space="0"/>
                  </w:tcBorders>
                  <w:vAlign w:val="center"/>
                </w:tcPr>
                <w:p w14:paraId="1238137C">
                  <w:pPr>
                    <w:spacing w:line="360" w:lineRule="auto"/>
                    <w:jc w:val="center"/>
                    <w:textAlignment w:val="baseline"/>
                  </w:pPr>
                  <w:r>
                    <w:rPr>
                      <w:rFonts w:hint="eastAsia"/>
                    </w:rPr>
                    <w:t>2.0</w:t>
                  </w:r>
                </w:p>
              </w:tc>
              <w:tc>
                <w:tcPr>
                  <w:tcW w:w="958" w:type="dxa"/>
                  <w:tcBorders>
                    <w:top w:val="single" w:color="000000" w:sz="4" w:space="0"/>
                    <w:left w:val="single" w:color="000000" w:sz="4" w:space="0"/>
                    <w:bottom w:val="single" w:color="000000" w:sz="4" w:space="0"/>
                    <w:right w:val="single" w:color="000000" w:sz="4" w:space="0"/>
                  </w:tcBorders>
                  <w:vAlign w:val="center"/>
                </w:tcPr>
                <w:p w14:paraId="0C50343F">
                  <w:pPr>
                    <w:spacing w:line="360" w:lineRule="auto"/>
                    <w:jc w:val="center"/>
                    <w:textAlignment w:val="baseline"/>
                  </w:pPr>
                  <w:r>
                    <w:rPr>
                      <w:rFonts w:hint="eastAsia"/>
                    </w:rPr>
                    <w:t>2.1</w:t>
                  </w:r>
                </w:p>
              </w:tc>
              <w:tc>
                <w:tcPr>
                  <w:tcW w:w="900" w:type="dxa"/>
                  <w:tcBorders>
                    <w:top w:val="single" w:color="000000" w:sz="4" w:space="0"/>
                    <w:left w:val="single" w:color="000000" w:sz="4" w:space="0"/>
                    <w:bottom w:val="single" w:color="000000" w:sz="4" w:space="0"/>
                    <w:right w:val="single" w:color="000000" w:sz="4" w:space="0"/>
                  </w:tcBorders>
                  <w:vAlign w:val="center"/>
                </w:tcPr>
                <w:p w14:paraId="7BF11133">
                  <w:pPr>
                    <w:spacing w:line="360" w:lineRule="auto"/>
                    <w:jc w:val="center"/>
                    <w:textAlignment w:val="baseline"/>
                  </w:pPr>
                  <w:r>
                    <w:rPr>
                      <w:rFonts w:hint="eastAsia"/>
                    </w:rPr>
                    <w:t>2.2</w:t>
                  </w:r>
                </w:p>
              </w:tc>
              <w:tc>
                <w:tcPr>
                  <w:tcW w:w="888" w:type="dxa"/>
                  <w:tcBorders>
                    <w:top w:val="single" w:color="000000" w:sz="4" w:space="0"/>
                    <w:left w:val="single" w:color="000000" w:sz="4" w:space="0"/>
                    <w:bottom w:val="single" w:color="000000" w:sz="4" w:space="0"/>
                    <w:right w:val="single" w:color="000000" w:sz="4" w:space="0"/>
                  </w:tcBorders>
                  <w:vAlign w:val="center"/>
                </w:tcPr>
                <w:p w14:paraId="6A2DDA32">
                  <w:pPr>
                    <w:spacing w:line="360" w:lineRule="auto"/>
                    <w:jc w:val="center"/>
                    <w:textAlignment w:val="baseline"/>
                  </w:pPr>
                  <w:r>
                    <w:rPr>
                      <w:rFonts w:hint="eastAsia"/>
                    </w:rPr>
                    <w:t>2.3</w:t>
                  </w:r>
                </w:p>
              </w:tc>
            </w:tr>
            <w:tr w14:paraId="69351B3A">
              <w:tblPrEx>
                <w:tblCellMar>
                  <w:top w:w="0" w:type="dxa"/>
                  <w:left w:w="108" w:type="dxa"/>
                  <w:bottom w:w="0" w:type="dxa"/>
                  <w:right w:w="108" w:type="dxa"/>
                </w:tblCellMar>
              </w:tblPrEx>
              <w:trPr>
                <w:trHeight w:val="427" w:hRule="atLeast"/>
              </w:trPr>
              <w:tc>
                <w:tcPr>
                  <w:tcW w:w="1635" w:type="dxa"/>
                  <w:tcBorders>
                    <w:top w:val="single" w:color="000000" w:sz="4" w:space="0"/>
                    <w:left w:val="single" w:color="000000" w:sz="4" w:space="0"/>
                    <w:bottom w:val="single" w:color="000000" w:sz="4" w:space="0"/>
                    <w:right w:val="single" w:color="000000" w:sz="4" w:space="0"/>
                  </w:tcBorders>
                  <w:vAlign w:val="center"/>
                </w:tcPr>
                <w:p w14:paraId="563F0558">
                  <w:pPr>
                    <w:spacing w:line="360" w:lineRule="auto"/>
                    <w:jc w:val="center"/>
                    <w:textAlignment w:val="baseline"/>
                  </w:pPr>
                  <w:r>
                    <w:rPr>
                      <w:rFonts w:hint="eastAsia"/>
                    </w:rPr>
                    <w:t>号球</w:t>
                  </w:r>
                </w:p>
              </w:tc>
              <w:tc>
                <w:tcPr>
                  <w:tcW w:w="870" w:type="dxa"/>
                  <w:tcBorders>
                    <w:top w:val="single" w:color="000000" w:sz="4" w:space="0"/>
                    <w:left w:val="single" w:color="000000" w:sz="4" w:space="0"/>
                    <w:bottom w:val="single" w:color="000000" w:sz="4" w:space="0"/>
                    <w:right w:val="single" w:color="000000" w:sz="4" w:space="0"/>
                  </w:tcBorders>
                  <w:vAlign w:val="center"/>
                </w:tcPr>
                <w:p w14:paraId="4ABCD32A">
                  <w:pPr>
                    <w:spacing w:line="360" w:lineRule="auto"/>
                    <w:jc w:val="center"/>
                    <w:textAlignment w:val="baseline"/>
                  </w:pPr>
                  <w:r>
                    <w:rPr>
                      <w:rFonts w:hint="eastAsia"/>
                    </w:rPr>
                    <w:t>15</w:t>
                  </w:r>
                </w:p>
              </w:tc>
              <w:tc>
                <w:tcPr>
                  <w:tcW w:w="1044" w:type="dxa"/>
                  <w:tcBorders>
                    <w:top w:val="single" w:color="000000" w:sz="4" w:space="0"/>
                    <w:left w:val="single" w:color="000000" w:sz="4" w:space="0"/>
                    <w:bottom w:val="single" w:color="000000" w:sz="4" w:space="0"/>
                    <w:right w:val="single" w:color="000000" w:sz="4" w:space="0"/>
                  </w:tcBorders>
                  <w:vAlign w:val="center"/>
                </w:tcPr>
                <w:p w14:paraId="48FDD610">
                  <w:pPr>
                    <w:spacing w:line="360" w:lineRule="auto"/>
                    <w:jc w:val="center"/>
                    <w:textAlignment w:val="baseline"/>
                  </w:pPr>
                  <w:r>
                    <w:rPr>
                      <w:rFonts w:hint="eastAsia"/>
                    </w:rPr>
                    <w:t>16</w:t>
                  </w:r>
                </w:p>
              </w:tc>
              <w:tc>
                <w:tcPr>
                  <w:tcW w:w="937" w:type="dxa"/>
                  <w:tcBorders>
                    <w:top w:val="single" w:color="000000" w:sz="4" w:space="0"/>
                    <w:left w:val="single" w:color="000000" w:sz="4" w:space="0"/>
                    <w:bottom w:val="single" w:color="000000" w:sz="4" w:space="0"/>
                    <w:right w:val="single" w:color="000000" w:sz="4" w:space="0"/>
                  </w:tcBorders>
                  <w:vAlign w:val="center"/>
                </w:tcPr>
                <w:p w14:paraId="4D09FB8E">
                  <w:pPr>
                    <w:spacing w:line="360" w:lineRule="auto"/>
                    <w:jc w:val="center"/>
                    <w:textAlignment w:val="baseline"/>
                  </w:pPr>
                  <w:r>
                    <w:rPr>
                      <w:rFonts w:hint="eastAsia"/>
                    </w:rPr>
                    <w:t>17</w:t>
                  </w:r>
                </w:p>
              </w:tc>
              <w:tc>
                <w:tcPr>
                  <w:tcW w:w="920" w:type="dxa"/>
                  <w:tcBorders>
                    <w:top w:val="single" w:color="000000" w:sz="4" w:space="0"/>
                    <w:left w:val="single" w:color="000000" w:sz="4" w:space="0"/>
                    <w:bottom w:val="single" w:color="000000" w:sz="4" w:space="0"/>
                    <w:right w:val="single" w:color="000000" w:sz="4" w:space="0"/>
                  </w:tcBorders>
                  <w:vAlign w:val="center"/>
                </w:tcPr>
                <w:p w14:paraId="130444F7">
                  <w:pPr>
                    <w:spacing w:line="360" w:lineRule="auto"/>
                    <w:jc w:val="center"/>
                    <w:textAlignment w:val="baseline"/>
                  </w:pPr>
                  <w:r>
                    <w:rPr>
                      <w:rFonts w:hint="eastAsia"/>
                    </w:rPr>
                    <w:t>18</w:t>
                  </w:r>
                </w:p>
              </w:tc>
              <w:tc>
                <w:tcPr>
                  <w:tcW w:w="958" w:type="dxa"/>
                  <w:tcBorders>
                    <w:top w:val="single" w:color="000000" w:sz="4" w:space="0"/>
                    <w:left w:val="single" w:color="000000" w:sz="4" w:space="0"/>
                    <w:bottom w:val="single" w:color="000000" w:sz="4" w:space="0"/>
                    <w:right w:val="single" w:color="000000" w:sz="4" w:space="0"/>
                  </w:tcBorders>
                  <w:vAlign w:val="center"/>
                </w:tcPr>
                <w:p w14:paraId="25D66B0F">
                  <w:pPr>
                    <w:spacing w:line="360" w:lineRule="auto"/>
                    <w:jc w:val="center"/>
                    <w:textAlignment w:val="baseline"/>
                  </w:pPr>
                  <w:r>
                    <w:rPr>
                      <w:rFonts w:hint="eastAsia"/>
                    </w:rPr>
                    <w:t>19</w:t>
                  </w:r>
                </w:p>
              </w:tc>
              <w:tc>
                <w:tcPr>
                  <w:tcW w:w="900" w:type="dxa"/>
                  <w:tcBorders>
                    <w:top w:val="single" w:color="000000" w:sz="4" w:space="0"/>
                    <w:left w:val="single" w:color="000000" w:sz="4" w:space="0"/>
                    <w:bottom w:val="single" w:color="000000" w:sz="4" w:space="0"/>
                    <w:right w:val="single" w:color="000000" w:sz="4" w:space="0"/>
                  </w:tcBorders>
                  <w:vAlign w:val="center"/>
                </w:tcPr>
                <w:p w14:paraId="2DD5E230">
                  <w:pPr>
                    <w:spacing w:line="360" w:lineRule="auto"/>
                    <w:jc w:val="center"/>
                    <w:textAlignment w:val="baseline"/>
                  </w:pPr>
                  <w:r>
                    <w:rPr>
                      <w:rFonts w:hint="eastAsia"/>
                    </w:rPr>
                    <w:t>20</w:t>
                  </w:r>
                </w:p>
              </w:tc>
              <w:tc>
                <w:tcPr>
                  <w:tcW w:w="888" w:type="dxa"/>
                  <w:tcBorders>
                    <w:top w:val="single" w:color="000000" w:sz="4" w:space="0"/>
                    <w:left w:val="single" w:color="000000" w:sz="4" w:space="0"/>
                    <w:bottom w:val="single" w:color="000000" w:sz="4" w:space="0"/>
                    <w:right w:val="single" w:color="000000" w:sz="4" w:space="0"/>
                  </w:tcBorders>
                  <w:vAlign w:val="center"/>
                </w:tcPr>
                <w:p w14:paraId="015306B6">
                  <w:pPr>
                    <w:spacing w:line="360" w:lineRule="auto"/>
                    <w:jc w:val="center"/>
                    <w:textAlignment w:val="baseline"/>
                  </w:pPr>
                  <w:r>
                    <w:rPr>
                      <w:rFonts w:hint="eastAsia"/>
                    </w:rPr>
                    <w:t>21</w:t>
                  </w:r>
                </w:p>
              </w:tc>
            </w:tr>
            <w:tr w14:paraId="19D078B0">
              <w:tblPrEx>
                <w:tblCellMar>
                  <w:top w:w="0" w:type="dxa"/>
                  <w:left w:w="108" w:type="dxa"/>
                  <w:bottom w:w="0" w:type="dxa"/>
                  <w:right w:w="108" w:type="dxa"/>
                </w:tblCellMar>
              </w:tblPrEx>
              <w:trPr>
                <w:trHeight w:val="506" w:hRule="atLeast"/>
              </w:trPr>
              <w:tc>
                <w:tcPr>
                  <w:tcW w:w="1635" w:type="dxa"/>
                  <w:tcBorders>
                    <w:top w:val="single" w:color="000000" w:sz="4" w:space="0"/>
                    <w:left w:val="single" w:color="000000" w:sz="4" w:space="0"/>
                    <w:bottom w:val="single" w:color="000000" w:sz="4" w:space="0"/>
                    <w:right w:val="single" w:color="000000" w:sz="4" w:space="0"/>
                  </w:tcBorders>
                  <w:vAlign w:val="center"/>
                </w:tcPr>
                <w:p w14:paraId="3562793B">
                  <w:pPr>
                    <w:spacing w:line="360" w:lineRule="auto"/>
                    <w:jc w:val="center"/>
                    <w:textAlignment w:val="baseline"/>
                  </w:pPr>
                  <w:r>
                    <w:rPr>
                      <w:rFonts w:hint="eastAsia"/>
                    </w:rPr>
                    <w:t>下浮系数（%）</w:t>
                  </w:r>
                </w:p>
              </w:tc>
              <w:tc>
                <w:tcPr>
                  <w:tcW w:w="870" w:type="dxa"/>
                  <w:tcBorders>
                    <w:top w:val="single" w:color="000000" w:sz="4" w:space="0"/>
                    <w:left w:val="single" w:color="000000" w:sz="4" w:space="0"/>
                    <w:bottom w:val="single" w:color="000000" w:sz="4" w:space="0"/>
                    <w:right w:val="single" w:color="000000" w:sz="4" w:space="0"/>
                  </w:tcBorders>
                  <w:vAlign w:val="center"/>
                </w:tcPr>
                <w:p w14:paraId="1DD1A6B9">
                  <w:pPr>
                    <w:spacing w:line="360" w:lineRule="auto"/>
                    <w:jc w:val="center"/>
                    <w:textAlignment w:val="baseline"/>
                  </w:pPr>
                  <w:r>
                    <w:rPr>
                      <w:rFonts w:hint="eastAsia"/>
                    </w:rPr>
                    <w:t>2.4</w:t>
                  </w:r>
                </w:p>
              </w:tc>
              <w:tc>
                <w:tcPr>
                  <w:tcW w:w="1044" w:type="dxa"/>
                  <w:tcBorders>
                    <w:top w:val="single" w:color="000000" w:sz="4" w:space="0"/>
                    <w:left w:val="single" w:color="000000" w:sz="4" w:space="0"/>
                    <w:bottom w:val="single" w:color="000000" w:sz="4" w:space="0"/>
                    <w:right w:val="single" w:color="000000" w:sz="4" w:space="0"/>
                  </w:tcBorders>
                  <w:vAlign w:val="center"/>
                </w:tcPr>
                <w:p w14:paraId="0EF5DC54">
                  <w:pPr>
                    <w:spacing w:line="360" w:lineRule="auto"/>
                    <w:jc w:val="center"/>
                    <w:textAlignment w:val="baseline"/>
                  </w:pPr>
                  <w:r>
                    <w:rPr>
                      <w:rFonts w:hint="eastAsia"/>
                    </w:rPr>
                    <w:t>2.5</w:t>
                  </w:r>
                </w:p>
              </w:tc>
              <w:tc>
                <w:tcPr>
                  <w:tcW w:w="937" w:type="dxa"/>
                  <w:tcBorders>
                    <w:top w:val="single" w:color="000000" w:sz="4" w:space="0"/>
                    <w:left w:val="single" w:color="000000" w:sz="4" w:space="0"/>
                    <w:bottom w:val="single" w:color="000000" w:sz="4" w:space="0"/>
                    <w:right w:val="single" w:color="000000" w:sz="4" w:space="0"/>
                  </w:tcBorders>
                  <w:vAlign w:val="center"/>
                </w:tcPr>
                <w:p w14:paraId="0912432F">
                  <w:pPr>
                    <w:spacing w:line="360" w:lineRule="auto"/>
                    <w:jc w:val="center"/>
                    <w:textAlignment w:val="baseline"/>
                  </w:pPr>
                  <w:r>
                    <w:rPr>
                      <w:rFonts w:hint="eastAsia"/>
                    </w:rPr>
                    <w:t>2.6</w:t>
                  </w:r>
                </w:p>
              </w:tc>
              <w:tc>
                <w:tcPr>
                  <w:tcW w:w="920" w:type="dxa"/>
                  <w:tcBorders>
                    <w:top w:val="single" w:color="000000" w:sz="4" w:space="0"/>
                    <w:left w:val="single" w:color="000000" w:sz="4" w:space="0"/>
                    <w:bottom w:val="single" w:color="000000" w:sz="4" w:space="0"/>
                    <w:right w:val="single" w:color="000000" w:sz="4" w:space="0"/>
                  </w:tcBorders>
                  <w:vAlign w:val="center"/>
                </w:tcPr>
                <w:p w14:paraId="1CA80C30">
                  <w:pPr>
                    <w:spacing w:line="360" w:lineRule="auto"/>
                    <w:jc w:val="center"/>
                    <w:textAlignment w:val="baseline"/>
                  </w:pPr>
                  <w:r>
                    <w:rPr>
                      <w:rFonts w:hint="eastAsia"/>
                    </w:rPr>
                    <w:t>2.7</w:t>
                  </w:r>
                </w:p>
              </w:tc>
              <w:tc>
                <w:tcPr>
                  <w:tcW w:w="958" w:type="dxa"/>
                  <w:tcBorders>
                    <w:top w:val="single" w:color="000000" w:sz="4" w:space="0"/>
                    <w:left w:val="single" w:color="000000" w:sz="4" w:space="0"/>
                    <w:bottom w:val="single" w:color="000000" w:sz="4" w:space="0"/>
                    <w:right w:val="single" w:color="000000" w:sz="4" w:space="0"/>
                  </w:tcBorders>
                  <w:vAlign w:val="center"/>
                </w:tcPr>
                <w:p w14:paraId="75E8440F">
                  <w:pPr>
                    <w:spacing w:line="360" w:lineRule="auto"/>
                    <w:jc w:val="center"/>
                    <w:textAlignment w:val="baseline"/>
                  </w:pPr>
                  <w:r>
                    <w:rPr>
                      <w:rFonts w:hint="eastAsia"/>
                    </w:rPr>
                    <w:t>2.8</w:t>
                  </w:r>
                </w:p>
              </w:tc>
              <w:tc>
                <w:tcPr>
                  <w:tcW w:w="900" w:type="dxa"/>
                  <w:tcBorders>
                    <w:top w:val="single" w:color="000000" w:sz="4" w:space="0"/>
                    <w:left w:val="single" w:color="000000" w:sz="4" w:space="0"/>
                    <w:bottom w:val="single" w:color="000000" w:sz="4" w:space="0"/>
                    <w:right w:val="single" w:color="000000" w:sz="4" w:space="0"/>
                  </w:tcBorders>
                  <w:vAlign w:val="center"/>
                </w:tcPr>
                <w:p w14:paraId="6A87DD3F">
                  <w:pPr>
                    <w:spacing w:line="360" w:lineRule="auto"/>
                    <w:jc w:val="center"/>
                    <w:textAlignment w:val="baseline"/>
                  </w:pPr>
                  <w:r>
                    <w:rPr>
                      <w:rFonts w:hint="eastAsia"/>
                    </w:rPr>
                    <w:t>2.9</w:t>
                  </w:r>
                </w:p>
              </w:tc>
              <w:tc>
                <w:tcPr>
                  <w:tcW w:w="888" w:type="dxa"/>
                  <w:tcBorders>
                    <w:top w:val="single" w:color="000000" w:sz="4" w:space="0"/>
                    <w:left w:val="single" w:color="000000" w:sz="4" w:space="0"/>
                    <w:bottom w:val="single" w:color="000000" w:sz="4" w:space="0"/>
                    <w:right w:val="single" w:color="000000" w:sz="4" w:space="0"/>
                  </w:tcBorders>
                  <w:vAlign w:val="center"/>
                </w:tcPr>
                <w:p w14:paraId="793FA601">
                  <w:pPr>
                    <w:spacing w:line="360" w:lineRule="auto"/>
                    <w:jc w:val="center"/>
                    <w:textAlignment w:val="baseline"/>
                  </w:pPr>
                  <w:r>
                    <w:rPr>
                      <w:rFonts w:hint="eastAsia"/>
                    </w:rPr>
                    <w:t>3.0</w:t>
                  </w:r>
                </w:p>
              </w:tc>
            </w:tr>
          </w:tbl>
          <w:p w14:paraId="6DB2C93B">
            <w:pPr>
              <w:spacing w:line="360" w:lineRule="auto"/>
              <w:textAlignment w:val="baseline"/>
            </w:pPr>
            <w:r>
              <w:rPr>
                <w:rFonts w:hint="eastAsia"/>
              </w:rPr>
              <w:t>（2）评标基准价D＝最高投标限价×（1－n）</w:t>
            </w:r>
          </w:p>
        </w:tc>
      </w:tr>
      <w:tr w14:paraId="648081BC">
        <w:tblPrEx>
          <w:tblCellMar>
            <w:top w:w="0" w:type="dxa"/>
            <w:left w:w="108" w:type="dxa"/>
            <w:bottom w:w="0" w:type="dxa"/>
            <w:right w:w="108" w:type="dxa"/>
          </w:tblCellMar>
        </w:tblPrEx>
        <w:trPr>
          <w:trHeight w:val="624" w:hRule="atLeast"/>
          <w:jc w:val="center"/>
        </w:trPr>
        <w:tc>
          <w:tcPr>
            <w:tcW w:w="1776" w:type="dxa"/>
            <w:gridSpan w:val="2"/>
            <w:tcBorders>
              <w:top w:val="single" w:color="auto" w:sz="4" w:space="0"/>
              <w:left w:val="single" w:color="auto" w:sz="4" w:space="0"/>
              <w:bottom w:val="single" w:color="auto" w:sz="4" w:space="0"/>
              <w:right w:val="single" w:color="auto" w:sz="4" w:space="0"/>
            </w:tcBorders>
            <w:vAlign w:val="center"/>
          </w:tcPr>
          <w:p w14:paraId="47390596">
            <w:pPr>
              <w:spacing w:line="360" w:lineRule="auto"/>
              <w:textAlignment w:val="baseline"/>
            </w:pPr>
            <w:r>
              <w:rPr>
                <w:rFonts w:hint="eastAsia"/>
              </w:rPr>
              <w:t>投标报价</w:t>
            </w:r>
          </w:p>
          <w:p w14:paraId="71981572">
            <w:pPr>
              <w:spacing w:line="360" w:lineRule="auto"/>
              <w:textAlignment w:val="baseline"/>
            </w:pPr>
            <w:r>
              <w:rPr>
                <w:rFonts w:hint="eastAsia"/>
              </w:rPr>
              <w:t>得分N</w:t>
            </w:r>
          </w:p>
        </w:tc>
        <w:tc>
          <w:tcPr>
            <w:tcW w:w="8550" w:type="dxa"/>
            <w:gridSpan w:val="2"/>
            <w:tcBorders>
              <w:top w:val="single" w:color="auto" w:sz="4" w:space="0"/>
              <w:left w:val="nil"/>
              <w:bottom w:val="single" w:color="auto" w:sz="4" w:space="0"/>
              <w:right w:val="single" w:color="auto" w:sz="4" w:space="0"/>
            </w:tcBorders>
            <w:vAlign w:val="center"/>
          </w:tcPr>
          <w:p w14:paraId="727B9AF7">
            <w:pPr>
              <w:spacing w:line="360" w:lineRule="auto"/>
              <w:textAlignment w:val="baseline"/>
            </w:pPr>
            <w:r>
              <w:rPr>
                <w:rFonts w:hint="eastAsia"/>
              </w:rPr>
              <w:t>采用内插法计算某投标人的投标报价得分N，即当投标人的投标总价等于评标基准价时得20分，每高于评标基准价一个百分点扣0.5 分， 每低于评标基准价一个百分点扣0.2分，扣完为止。公式如下：</w:t>
            </w:r>
          </w:p>
          <w:p w14:paraId="0AF4ECCC">
            <w:pPr>
              <w:spacing w:line="360" w:lineRule="auto"/>
              <w:textAlignment w:val="baseline"/>
            </w:pPr>
            <w:r>
              <w:rPr>
                <w:rFonts w:hint="eastAsia"/>
              </w:rPr>
              <w:t>N=20-(| Di-D | ÷D)×100×E</w:t>
            </w:r>
          </w:p>
          <w:p w14:paraId="712CF359">
            <w:pPr>
              <w:spacing w:line="360" w:lineRule="auto"/>
              <w:textAlignment w:val="baseline"/>
            </w:pPr>
            <w:r>
              <w:rPr>
                <w:rFonts w:hint="eastAsia"/>
              </w:rPr>
              <w:t>式中：D为评标基准价；Di为某投标人的投标总价；E为扣分因子，当Di＞D时，E＝0.5；当Di＜D时，E＝0.2。</w:t>
            </w:r>
          </w:p>
        </w:tc>
      </w:tr>
    </w:tbl>
    <w:p w14:paraId="30FDF26C"/>
    <w:p w14:paraId="1949ED02">
      <w:pPr>
        <w:wordWrap w:val="0"/>
        <w:adjustRightInd w:val="0"/>
        <w:snapToGrid w:val="0"/>
        <w:spacing w:line="348" w:lineRule="auto"/>
        <w:rPr>
          <w:b/>
          <w:bCs/>
          <w:snapToGrid w:val="0"/>
          <w:szCs w:val="21"/>
        </w:rPr>
      </w:pPr>
      <w:r>
        <w:rPr>
          <w:rFonts w:hint="eastAsia"/>
          <w:b/>
          <w:bCs/>
          <w:snapToGrid w:val="0"/>
          <w:sz w:val="21"/>
          <w:szCs w:val="21"/>
        </w:rPr>
        <w:t>备注：评分如出现小数点，则保留小数点后两位，第三位四舍五入。</w:t>
      </w:r>
    </w:p>
    <w:p w14:paraId="44161C0D">
      <w:pPr>
        <w:spacing w:line="360" w:lineRule="exact"/>
        <w:rPr>
          <w:b/>
          <w:bCs/>
          <w:snapToGrid w:val="0"/>
        </w:rPr>
      </w:pPr>
      <w:r>
        <w:rPr>
          <w:rFonts w:hint="eastAsia"/>
          <w:b/>
          <w:bCs/>
          <w:snapToGrid w:val="0"/>
        </w:rPr>
        <w:t xml:space="preserve"> </w:t>
      </w:r>
    </w:p>
    <w:p w14:paraId="1F3EECA7">
      <w:pPr>
        <w:rPr>
          <w:b/>
          <w:bCs/>
          <w:snapToGrid w:val="0"/>
        </w:rPr>
      </w:pPr>
      <w:r>
        <w:rPr>
          <w:rFonts w:hint="eastAsia"/>
          <w:b/>
          <w:bCs/>
          <w:snapToGrid w:val="0"/>
        </w:rPr>
        <w:br w:type="page"/>
      </w:r>
    </w:p>
    <w:p w14:paraId="4C09728C">
      <w:pPr>
        <w:spacing w:line="360" w:lineRule="exact"/>
        <w:rPr>
          <w:snapToGrid w:val="0"/>
        </w:rPr>
      </w:pPr>
      <w:r>
        <w:rPr>
          <w:rFonts w:hint="eastAsia"/>
          <w:b/>
          <w:bCs/>
          <w:snapToGrid w:val="0"/>
        </w:rPr>
        <w:t xml:space="preserve">16.5.2 </w:t>
      </w:r>
      <w:r>
        <w:rPr>
          <w:rFonts w:hint="eastAsia"/>
          <w:snapToGrid w:val="0"/>
        </w:rPr>
        <w:t>否决投标说明</w:t>
      </w:r>
    </w:p>
    <w:p w14:paraId="217C4153">
      <w:pPr>
        <w:spacing w:before="150" w:line="332" w:lineRule="auto"/>
        <w:ind w:left="10" w:right="195" w:firstLine="564"/>
        <w:rPr>
          <w:spacing w:val="-5"/>
        </w:rPr>
      </w:pPr>
      <w:r>
        <w:rPr>
          <w:rFonts w:hint="eastAsia"/>
          <w:spacing w:val="-5"/>
        </w:rPr>
        <w:t>详细评审阶段否决投标的全部条件，在本章第四节“否决投标条件 ”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36E2C62C">
      <w:pPr>
        <w:wordWrap w:val="0"/>
        <w:adjustRightInd w:val="0"/>
        <w:snapToGrid w:val="0"/>
        <w:spacing w:line="440" w:lineRule="exact"/>
        <w:ind w:firstLine="482" w:firstLineChars="200"/>
      </w:pPr>
      <w:r>
        <w:rPr>
          <w:rFonts w:hint="eastAsia"/>
          <w:b/>
          <w:bCs/>
          <w:snapToGrid w:val="0"/>
        </w:rPr>
        <w:t>注：投标人在详细评审阶段根据评分方法提供的佐证材料，其合法性、有效性和准确性不符合要求的，有关评分因素的评分按相应评分标准处理，但不否决投标。</w:t>
      </w:r>
    </w:p>
    <w:p w14:paraId="34D96897">
      <w:pPr>
        <w:pStyle w:val="3"/>
        <w:wordWrap w:val="0"/>
        <w:autoSpaceDE/>
        <w:autoSpaceDN/>
        <w:adjustRightInd/>
        <w:spacing w:line="440" w:lineRule="exact"/>
        <w:ind w:firstLine="480"/>
        <w:jc w:val="both"/>
        <w:rPr>
          <w:rFonts w:ascii="宋体" w:hAnsi="宋体"/>
          <w:b/>
          <w:snapToGrid w:val="0"/>
          <w:sz w:val="24"/>
        </w:rPr>
      </w:pPr>
      <w:r>
        <w:rPr>
          <w:rFonts w:hint="eastAsia" w:ascii="宋体" w:hAnsi="宋体"/>
          <w:b/>
          <w:snapToGrid w:val="0"/>
          <w:sz w:val="24"/>
        </w:rPr>
        <w:t>17.评标结果公示</w:t>
      </w:r>
    </w:p>
    <w:p w14:paraId="138E4432">
      <w:pPr>
        <w:wordWrap w:val="0"/>
        <w:spacing w:line="440" w:lineRule="exact"/>
        <w:ind w:firstLine="482" w:firstLineChars="200"/>
        <w:rPr>
          <w:snapToGrid w:val="0"/>
        </w:rPr>
      </w:pPr>
      <w:r>
        <w:rPr>
          <w:rFonts w:hint="eastAsia"/>
          <w:b/>
          <w:bCs/>
          <w:snapToGrid w:val="0"/>
        </w:rPr>
        <w:t>17.1</w:t>
      </w:r>
      <w:r>
        <w:rPr>
          <w:rFonts w:hint="eastAsia"/>
          <w:snapToGrid w:val="0"/>
        </w:rPr>
        <w:t xml:space="preserve"> 评标委员会按照投标人评审综合总得分由高到低的原则，向招标人推荐已明确的定标候选人数量（不标明排序）。评标委员会推荐定标候选人后，招标人应于评标会结束后3日内将定标候选人和评标情况在广东省招标投标监管网和韶关市公共资源交易中心建设工程交易系统上公示，公示时间不少于3日。公示主要内容包括：（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53DAF5C0">
      <w:pPr>
        <w:wordWrap w:val="0"/>
        <w:adjustRightInd w:val="0"/>
        <w:snapToGrid w:val="0"/>
        <w:spacing w:line="440" w:lineRule="exact"/>
        <w:ind w:firstLine="480" w:firstLineChars="200"/>
        <w:rPr>
          <w:snapToGrid w:val="0"/>
        </w:rPr>
      </w:pPr>
    </w:p>
    <w:p w14:paraId="12129A73">
      <w:pPr>
        <w:wordWrap w:val="0"/>
        <w:adjustRightInd w:val="0"/>
        <w:snapToGrid w:val="0"/>
        <w:spacing w:line="440" w:lineRule="exact"/>
        <w:ind w:firstLine="480" w:firstLineChars="200"/>
        <w:rPr>
          <w:snapToGrid w:val="0"/>
        </w:rPr>
        <w:sectPr>
          <w:footerReference r:id="rId10" w:type="default"/>
          <w:endnotePr>
            <w:numFmt w:val="decimal"/>
          </w:endnotePr>
          <w:pgSz w:w="11906" w:h="16838"/>
          <w:pgMar w:top="1384" w:right="1115" w:bottom="1276" w:left="1551" w:header="1418" w:footer="992" w:gutter="0"/>
          <w:pgNumType w:start="1"/>
          <w:cols w:space="720" w:num="1"/>
          <w:docGrid w:linePitch="327" w:charSpace="0"/>
        </w:sectPr>
      </w:pPr>
    </w:p>
    <w:p w14:paraId="6EBBDD21">
      <w:pPr>
        <w:wordWrap w:val="0"/>
        <w:adjustRightInd w:val="0"/>
        <w:snapToGrid w:val="0"/>
        <w:spacing w:line="440" w:lineRule="exact"/>
        <w:jc w:val="center"/>
        <w:outlineLvl w:val="1"/>
        <w:rPr>
          <w:snapToGrid w:val="0"/>
        </w:rPr>
      </w:pPr>
      <w:bookmarkStart w:id="226" w:name="_Toc31980"/>
      <w:bookmarkStart w:id="227" w:name="_Toc11025"/>
      <w:bookmarkStart w:id="228" w:name="_Toc17485"/>
      <w:bookmarkStart w:id="229" w:name="_Toc2752"/>
      <w:r>
        <w:rPr>
          <w:rFonts w:hint="eastAsia"/>
          <w:b/>
          <w:bCs/>
          <w:snapToGrid w:val="0"/>
        </w:rPr>
        <w:t>第四节 否决投标条件</w:t>
      </w:r>
      <w:bookmarkEnd w:id="226"/>
      <w:bookmarkEnd w:id="227"/>
      <w:bookmarkEnd w:id="228"/>
      <w:bookmarkEnd w:id="229"/>
    </w:p>
    <w:p w14:paraId="381F3366">
      <w:pPr>
        <w:wordWrap w:val="0"/>
        <w:adjustRightInd w:val="0"/>
        <w:snapToGrid w:val="0"/>
        <w:spacing w:line="440" w:lineRule="exact"/>
        <w:rPr>
          <w:snapToGrid w:val="0"/>
        </w:rPr>
      </w:pPr>
      <w:r>
        <w:rPr>
          <w:rFonts w:hint="eastAsia"/>
          <w:snapToGrid w:val="0"/>
        </w:rPr>
        <w:t>　　</w:t>
      </w:r>
    </w:p>
    <w:p w14:paraId="2003A600">
      <w:pPr>
        <w:wordWrap w:val="0"/>
        <w:adjustRightInd w:val="0"/>
        <w:snapToGrid w:val="0"/>
        <w:spacing w:line="440" w:lineRule="exact"/>
        <w:rPr>
          <w:snapToGrid w:val="0"/>
        </w:rPr>
      </w:pPr>
      <w:r>
        <w:rPr>
          <w:rFonts w:hint="eastAsia"/>
          <w:snapToGrid w:val="0"/>
        </w:rPr>
        <w:t xml:space="preserve">    本节所集中列示的否决投标条件，是本章第三节“投标人须知正文”的组成部分，是对本章第三节所规定的否决投标条件的总结和补充。</w:t>
      </w:r>
      <w:r>
        <w:rPr>
          <w:rFonts w:hint="eastAsia"/>
          <w:b/>
          <w:bCs/>
          <w:snapToGrid w:val="0"/>
        </w:rPr>
        <w:t>投标人未有列入本节情形的，评标时一律不得否决其投标。</w:t>
      </w:r>
      <w:r>
        <w:rPr>
          <w:rFonts w:hint="eastAsia"/>
          <w:snapToGrid w:val="0"/>
        </w:rPr>
        <w:t>本节所称“规定”均指招标文件的规定。</w:t>
      </w:r>
    </w:p>
    <w:p w14:paraId="47040E97">
      <w:pPr>
        <w:wordWrap w:val="0"/>
        <w:adjustRightInd w:val="0"/>
        <w:snapToGrid w:val="0"/>
        <w:spacing w:line="440" w:lineRule="exact"/>
        <w:ind w:firstLine="480"/>
        <w:outlineLvl w:val="2"/>
        <w:rPr>
          <w:snapToGrid w:val="0"/>
        </w:rPr>
      </w:pPr>
      <w:bookmarkStart w:id="230" w:name="_Toc4139"/>
      <w:bookmarkStart w:id="231" w:name="_Toc8124"/>
      <w:bookmarkStart w:id="232" w:name="_Toc11881"/>
      <w:r>
        <w:rPr>
          <w:rFonts w:hint="eastAsia"/>
          <w:b/>
          <w:bCs/>
          <w:snapToGrid w:val="0"/>
          <w:lang w:eastAsia="zh-CN"/>
        </w:rPr>
        <w:t>1.</w:t>
      </w:r>
      <w:r>
        <w:rPr>
          <w:rFonts w:hint="eastAsia"/>
          <w:b/>
          <w:bCs/>
          <w:snapToGrid w:val="0"/>
        </w:rPr>
        <w:t>资格评审环节</w:t>
      </w:r>
      <w:bookmarkEnd w:id="230"/>
      <w:bookmarkEnd w:id="231"/>
      <w:bookmarkEnd w:id="232"/>
    </w:p>
    <w:p w14:paraId="01B0805D">
      <w:pPr>
        <w:wordWrap w:val="0"/>
        <w:adjustRightInd w:val="0"/>
        <w:snapToGrid w:val="0"/>
        <w:spacing w:line="440" w:lineRule="exact"/>
        <w:ind w:firstLine="480"/>
        <w:rPr>
          <w:snapToGrid w:val="0"/>
        </w:rPr>
      </w:pPr>
      <w:r>
        <w:rPr>
          <w:rFonts w:hint="eastAsia"/>
          <w:snapToGrid w:val="0"/>
        </w:rPr>
        <w:t>投标人有下列情形之一的，评标委员会应否决其投标。被否决的投标，不进入形式评审环节。</w:t>
      </w:r>
    </w:p>
    <w:p w14:paraId="6B392A87">
      <w:pPr>
        <w:wordWrap w:val="0"/>
        <w:adjustRightInd w:val="0"/>
        <w:snapToGrid w:val="0"/>
        <w:spacing w:line="440" w:lineRule="exact"/>
        <w:ind w:firstLine="480"/>
        <w:rPr>
          <w:snapToGrid w:val="0"/>
        </w:rPr>
      </w:pPr>
      <w:r>
        <w:rPr>
          <w:rFonts w:hint="eastAsia"/>
          <w:snapToGrid w:val="0"/>
        </w:rPr>
        <w:t>（1）有本章第三节第</w:t>
      </w:r>
      <w:r>
        <w:rPr>
          <w:rFonts w:hint="eastAsia"/>
          <w:b/>
          <w:bCs/>
          <w:snapToGrid w:val="0"/>
        </w:rPr>
        <w:t>4.4</w:t>
      </w:r>
      <w:r>
        <w:rPr>
          <w:rFonts w:hint="eastAsia"/>
          <w:snapToGrid w:val="0"/>
        </w:rPr>
        <w:t>条“禁止投标条款”规定的任何一种情形；</w:t>
      </w:r>
    </w:p>
    <w:p w14:paraId="0B216679">
      <w:pPr>
        <w:wordWrap w:val="0"/>
        <w:adjustRightInd w:val="0"/>
        <w:snapToGrid w:val="0"/>
        <w:spacing w:line="440" w:lineRule="exact"/>
        <w:ind w:firstLine="480"/>
        <w:rPr>
          <w:snapToGrid w:val="0"/>
        </w:rPr>
      </w:pPr>
      <w:r>
        <w:rPr>
          <w:rFonts w:hint="eastAsia"/>
          <w:snapToGrid w:val="0"/>
        </w:rPr>
        <w:t>（2）投标人资质不符合规定的；</w:t>
      </w:r>
    </w:p>
    <w:p w14:paraId="1B64E9E1">
      <w:pPr>
        <w:wordWrap w:val="0"/>
        <w:adjustRightInd w:val="0"/>
        <w:snapToGrid w:val="0"/>
        <w:spacing w:line="440" w:lineRule="exact"/>
        <w:ind w:firstLine="480"/>
        <w:rPr>
          <w:snapToGrid w:val="0"/>
        </w:rPr>
      </w:pPr>
      <w:r>
        <w:rPr>
          <w:rFonts w:hint="eastAsia"/>
          <w:snapToGrid w:val="0"/>
        </w:rPr>
        <w:t>（3）投标人名称与营业执照、资质证书上的企业名称相互不一致的；其资质证书不是由住房城乡建设主管部门颁发的；营业执照、资质证书被吊销、暂扣或不在有效期内的；</w:t>
      </w:r>
    </w:p>
    <w:p w14:paraId="096D1FE1">
      <w:pPr>
        <w:wordWrap w:val="0"/>
        <w:adjustRightInd w:val="0"/>
        <w:snapToGrid w:val="0"/>
        <w:spacing w:line="440" w:lineRule="exact"/>
        <w:ind w:firstLine="480"/>
        <w:rPr>
          <w:b/>
          <w:bCs/>
          <w:snapToGrid w:val="0"/>
        </w:rPr>
      </w:pPr>
      <w:r>
        <w:rPr>
          <w:rFonts w:hint="eastAsia"/>
          <w:b/>
          <w:bCs/>
          <w:snapToGrid w:val="0"/>
        </w:rPr>
        <w:t>注：投标人已经工商变更，但其企业资质证书的企业名称未完成变更的，不得否决其投标；投标人营业执照、资质证书之间登记的信息不一致，应当允许投标人澄清，不得直接否决其投标。</w:t>
      </w:r>
    </w:p>
    <w:p w14:paraId="3A6CA4A0">
      <w:pPr>
        <w:pStyle w:val="196"/>
        <w:spacing w:line="440" w:lineRule="exact"/>
        <w:ind w:firstLine="482" w:firstLineChars="200"/>
        <w:rPr>
          <w:rFonts w:hAnsi="宋体" w:cs="宋体"/>
          <w:snapToGrid w:val="0"/>
          <w:kern w:val="0"/>
          <w:szCs w:val="24"/>
        </w:rPr>
      </w:pPr>
      <w:r>
        <w:rPr>
          <w:rFonts w:hint="eastAsia" w:hAnsi="宋体" w:cs="宋体"/>
          <w:b/>
          <w:bCs/>
          <w:snapToGrid w:val="0"/>
          <w:kern w:val="0"/>
          <w:szCs w:val="24"/>
        </w:rPr>
        <w:t>根据有关文件精神，投标人的企业资质证书有效期届满的，但投标人提供了发证机构相关行业主管部门的证明材料（如自动顺延或推迟办理延期业务的通知），证明在开标日继续有效的，不得否决其投标。</w:t>
      </w:r>
    </w:p>
    <w:p w14:paraId="74F45634">
      <w:pPr>
        <w:wordWrap w:val="0"/>
        <w:adjustRightInd w:val="0"/>
        <w:snapToGrid w:val="0"/>
        <w:spacing w:line="440" w:lineRule="exact"/>
        <w:ind w:firstLine="480" w:firstLineChars="200"/>
        <w:rPr>
          <w:snapToGrid w:val="0"/>
        </w:rPr>
      </w:pPr>
      <w:r>
        <w:rPr>
          <w:rFonts w:hint="eastAsia"/>
          <w:snapToGrid w:val="0"/>
        </w:rPr>
        <w:t>（4）拟派项目设计负责人的条件不符合规定的；</w:t>
      </w:r>
    </w:p>
    <w:p w14:paraId="5C9BFF0D">
      <w:pPr>
        <w:wordWrap w:val="0"/>
        <w:adjustRightInd w:val="0"/>
        <w:snapToGrid w:val="0"/>
        <w:spacing w:line="440" w:lineRule="exact"/>
        <w:ind w:firstLine="480"/>
        <w:rPr>
          <w:snapToGrid w:val="0"/>
        </w:rPr>
      </w:pPr>
      <w:r>
        <w:rPr>
          <w:rFonts w:hint="eastAsia"/>
          <w:snapToGrid w:val="0"/>
        </w:rPr>
        <w:t>（5）拟派项目设计负责人所需的各类证书、证件、证明不在有效期内的；或注册单位与投标人不一致的；</w:t>
      </w:r>
    </w:p>
    <w:p w14:paraId="679480CB">
      <w:pPr>
        <w:wordWrap w:val="0"/>
        <w:adjustRightInd w:val="0"/>
        <w:snapToGrid w:val="0"/>
        <w:spacing w:line="440" w:lineRule="exact"/>
        <w:ind w:firstLine="480"/>
        <w:rPr>
          <w:b/>
          <w:bCs/>
          <w:snapToGrid w:val="0"/>
        </w:rPr>
      </w:pPr>
      <w:r>
        <w:rPr>
          <w:rFonts w:hint="eastAsia"/>
          <w:b/>
          <w:bCs/>
          <w:snapToGrid w:val="0"/>
        </w:rPr>
        <w:t>注：投标人已经工商变更，但其员工执业资格注册证书的注册单位名称未完成变更的，不得否决其投标。</w:t>
      </w:r>
    </w:p>
    <w:p w14:paraId="471DDB3D">
      <w:pPr>
        <w:wordWrap w:val="0"/>
        <w:adjustRightInd w:val="0"/>
        <w:snapToGrid w:val="0"/>
        <w:spacing w:line="440" w:lineRule="exact"/>
        <w:ind w:firstLine="480"/>
        <w:rPr>
          <w:snapToGrid w:val="0"/>
        </w:rPr>
      </w:pPr>
      <w:r>
        <w:rPr>
          <w:rFonts w:hint="eastAsia"/>
          <w:snapToGrid w:val="0"/>
        </w:rPr>
        <w:t>（6）联合体投标，未提交《联合体协议书》的；擅自修改、遗漏《联合体协议书》实质性内容的；联合体成员的数量、资质不符合规定的；联合体成员同时以自己名义单独投标或者参加其他联合体投标的；</w:t>
      </w:r>
    </w:p>
    <w:p w14:paraId="5F7097CA">
      <w:pPr>
        <w:wordWrap w:val="0"/>
        <w:adjustRightInd w:val="0"/>
        <w:snapToGrid w:val="0"/>
        <w:spacing w:line="440" w:lineRule="exact"/>
        <w:ind w:firstLine="480"/>
        <w:rPr>
          <w:snapToGrid w:val="0"/>
        </w:rPr>
      </w:pPr>
      <w:r>
        <w:rPr>
          <w:rFonts w:hint="eastAsia"/>
          <w:snapToGrid w:val="0"/>
        </w:rPr>
        <w:t>（7）投标人为外省企业，但未提供“进粤企业和人员诚信信息登记平台”企业信息情况打印页的。</w:t>
      </w:r>
    </w:p>
    <w:p w14:paraId="7D7BF80C">
      <w:pPr>
        <w:wordWrap w:val="0"/>
        <w:adjustRightInd w:val="0"/>
        <w:snapToGrid w:val="0"/>
        <w:spacing w:line="440" w:lineRule="exact"/>
        <w:ind w:firstLine="480"/>
        <w:rPr>
          <w:snapToGrid w:val="0"/>
        </w:rPr>
      </w:pPr>
    </w:p>
    <w:p w14:paraId="17E7D222">
      <w:pPr>
        <w:wordWrap w:val="0"/>
        <w:adjustRightInd w:val="0"/>
        <w:snapToGrid w:val="0"/>
        <w:spacing w:line="440" w:lineRule="exact"/>
        <w:ind w:firstLine="480"/>
        <w:outlineLvl w:val="2"/>
        <w:rPr>
          <w:snapToGrid w:val="0"/>
        </w:rPr>
      </w:pPr>
      <w:bookmarkStart w:id="233" w:name="_Toc19158"/>
      <w:bookmarkStart w:id="234" w:name="_Toc22692"/>
      <w:bookmarkStart w:id="235" w:name="_Toc32171"/>
      <w:r>
        <w:rPr>
          <w:rFonts w:hint="eastAsia"/>
          <w:b/>
          <w:bCs/>
          <w:snapToGrid w:val="0"/>
          <w:lang w:eastAsia="zh-CN"/>
        </w:rPr>
        <w:t>2.</w:t>
      </w:r>
      <w:r>
        <w:rPr>
          <w:rFonts w:hint="eastAsia"/>
          <w:b/>
          <w:bCs/>
          <w:snapToGrid w:val="0"/>
        </w:rPr>
        <w:t>形式评审环节</w:t>
      </w:r>
      <w:bookmarkEnd w:id="233"/>
      <w:bookmarkEnd w:id="234"/>
      <w:bookmarkEnd w:id="235"/>
    </w:p>
    <w:p w14:paraId="337519E0">
      <w:pPr>
        <w:wordWrap w:val="0"/>
        <w:adjustRightInd w:val="0"/>
        <w:snapToGrid w:val="0"/>
        <w:spacing w:line="440" w:lineRule="exact"/>
        <w:ind w:firstLine="480"/>
        <w:rPr>
          <w:snapToGrid w:val="0"/>
        </w:rPr>
      </w:pPr>
      <w:r>
        <w:rPr>
          <w:rFonts w:hint="eastAsia"/>
          <w:snapToGrid w:val="0"/>
        </w:rPr>
        <w:t>投标人有下列情形之一的，评标委员会应否决其投标。被否决的投标，不进入响应性评审环节。</w:t>
      </w:r>
    </w:p>
    <w:p w14:paraId="2E6E70B5">
      <w:pPr>
        <w:wordWrap w:val="0"/>
        <w:adjustRightInd w:val="0"/>
        <w:snapToGrid w:val="0"/>
        <w:spacing w:line="440" w:lineRule="exact"/>
        <w:ind w:firstLine="480"/>
        <w:rPr>
          <w:snapToGrid w:val="0"/>
        </w:rPr>
      </w:pPr>
      <w:r>
        <w:rPr>
          <w:rFonts w:hint="eastAsia"/>
          <w:snapToGrid w:val="0"/>
        </w:rPr>
        <w:t>（1）投标文件的分册组成不符合规定的；</w:t>
      </w:r>
    </w:p>
    <w:p w14:paraId="5DE68A6C">
      <w:pPr>
        <w:wordWrap w:val="0"/>
        <w:adjustRightInd w:val="0"/>
        <w:snapToGrid w:val="0"/>
        <w:spacing w:line="440" w:lineRule="exact"/>
        <w:ind w:firstLine="480"/>
        <w:rPr>
          <w:snapToGrid w:val="0"/>
        </w:rPr>
      </w:pPr>
      <w:r>
        <w:rPr>
          <w:rFonts w:hint="eastAsia"/>
          <w:snapToGrid w:val="0"/>
        </w:rPr>
        <w:t>（2）本章第三节第</w:t>
      </w:r>
      <w:r>
        <w:rPr>
          <w:rFonts w:hint="eastAsia"/>
          <w:b/>
          <w:bCs/>
          <w:snapToGrid w:val="0"/>
        </w:rPr>
        <w:t>10.2.2</w:t>
      </w:r>
      <w:r>
        <w:rPr>
          <w:rFonts w:hint="eastAsia"/>
          <w:snapToGrid w:val="0"/>
        </w:rPr>
        <w:t>目、第</w:t>
      </w:r>
      <w:r>
        <w:rPr>
          <w:rFonts w:hint="eastAsia"/>
          <w:b/>
          <w:bCs/>
          <w:snapToGrid w:val="0"/>
        </w:rPr>
        <w:t>10.3.2</w:t>
      </w:r>
      <w:r>
        <w:rPr>
          <w:rFonts w:hint="eastAsia"/>
          <w:snapToGrid w:val="0"/>
        </w:rPr>
        <w:t>目中规定的“所有投标人均应提供”的组成内容（包括该组成内容的所附资料）中，任何一项有缺漏的；</w:t>
      </w:r>
    </w:p>
    <w:p w14:paraId="705933B0">
      <w:pPr>
        <w:wordWrap w:val="0"/>
        <w:adjustRightInd w:val="0"/>
        <w:snapToGrid w:val="0"/>
        <w:spacing w:line="440" w:lineRule="exact"/>
        <w:ind w:firstLine="480"/>
        <w:rPr>
          <w:snapToGrid w:val="0"/>
        </w:rPr>
      </w:pPr>
      <w:r>
        <w:rPr>
          <w:rFonts w:hint="eastAsia"/>
          <w:snapToGrid w:val="0"/>
        </w:rPr>
        <w:t>（3）关键字迹模糊、无法辨认，</w:t>
      </w:r>
      <w:r>
        <w:rPr>
          <w:rFonts w:hint="eastAsia"/>
          <w:b/>
          <w:bCs/>
          <w:snapToGrid w:val="0"/>
        </w:rPr>
        <w:t>且该种过错将导致评标委员会无法作出投标文件是否响应招标文件实质性要求的</w:t>
      </w:r>
      <w:r>
        <w:rPr>
          <w:rFonts w:hint="eastAsia"/>
          <w:snapToGrid w:val="0"/>
        </w:rPr>
        <w:t>；出现手工涂改、行间插字或删除，但未加盖单</w:t>
      </w:r>
      <w:r>
        <w:rPr>
          <w:rFonts w:hint="eastAsia"/>
          <w:snapToGrid w:val="0"/>
          <w:lang w:eastAsia="zh-CN"/>
        </w:rPr>
        <w:t>位公</w:t>
      </w:r>
      <w:r>
        <w:rPr>
          <w:rFonts w:hint="eastAsia"/>
          <w:snapToGrid w:val="0"/>
        </w:rPr>
        <w:t>章或由投标人的法定代表人或其委托代理人签字确认的；</w:t>
      </w:r>
    </w:p>
    <w:p w14:paraId="2920DAB4">
      <w:pPr>
        <w:wordWrap w:val="0"/>
        <w:adjustRightInd w:val="0"/>
        <w:snapToGrid w:val="0"/>
        <w:spacing w:line="440" w:lineRule="exact"/>
        <w:ind w:firstLine="480"/>
        <w:rPr>
          <w:snapToGrid w:val="0"/>
        </w:rPr>
      </w:pPr>
      <w:r>
        <w:rPr>
          <w:rFonts w:hint="eastAsia"/>
          <w:snapToGrid w:val="0"/>
        </w:rPr>
        <w:t>（4）投标文件未按规定签字、盖章的；</w:t>
      </w:r>
    </w:p>
    <w:p w14:paraId="6C72F74A">
      <w:pPr>
        <w:wordWrap w:val="0"/>
        <w:adjustRightInd w:val="0"/>
        <w:snapToGrid w:val="0"/>
        <w:spacing w:line="440" w:lineRule="exact"/>
        <w:ind w:firstLine="480"/>
        <w:rPr>
          <w:snapToGrid w:val="0"/>
        </w:rPr>
      </w:pPr>
    </w:p>
    <w:p w14:paraId="1185D22A">
      <w:pPr>
        <w:wordWrap w:val="0"/>
        <w:adjustRightInd w:val="0"/>
        <w:snapToGrid w:val="0"/>
        <w:spacing w:line="440" w:lineRule="exact"/>
        <w:ind w:firstLine="480"/>
        <w:outlineLvl w:val="2"/>
        <w:rPr>
          <w:b/>
          <w:bCs/>
          <w:snapToGrid w:val="0"/>
        </w:rPr>
      </w:pPr>
      <w:bookmarkStart w:id="236" w:name="_Toc30661"/>
      <w:bookmarkStart w:id="237" w:name="_Toc26983"/>
      <w:bookmarkStart w:id="238" w:name="_Toc29122"/>
      <w:r>
        <w:rPr>
          <w:rFonts w:hint="eastAsia"/>
          <w:b/>
          <w:bCs/>
          <w:snapToGrid w:val="0"/>
          <w:lang w:eastAsia="zh-CN"/>
        </w:rPr>
        <w:t>3.</w:t>
      </w:r>
      <w:r>
        <w:rPr>
          <w:rFonts w:hint="eastAsia"/>
          <w:b/>
          <w:bCs/>
          <w:snapToGrid w:val="0"/>
        </w:rPr>
        <w:t>响应性评审环节</w:t>
      </w:r>
      <w:bookmarkEnd w:id="236"/>
      <w:bookmarkEnd w:id="237"/>
      <w:bookmarkEnd w:id="238"/>
    </w:p>
    <w:p w14:paraId="55DC4789">
      <w:pPr>
        <w:wordWrap w:val="0"/>
        <w:adjustRightInd w:val="0"/>
        <w:snapToGrid w:val="0"/>
        <w:spacing w:line="440" w:lineRule="exact"/>
        <w:ind w:firstLine="480"/>
        <w:rPr>
          <w:snapToGrid w:val="0"/>
        </w:rPr>
      </w:pPr>
      <w:r>
        <w:rPr>
          <w:rFonts w:hint="eastAsia"/>
          <w:snapToGrid w:val="0"/>
        </w:rPr>
        <w:t>投标人有下列情形之一的，评标委员会应否决其投标。被否决的投标，不进入详细评审阶段。</w:t>
      </w:r>
    </w:p>
    <w:p w14:paraId="7EB12809">
      <w:pPr>
        <w:wordWrap w:val="0"/>
        <w:adjustRightInd w:val="0"/>
        <w:snapToGrid w:val="0"/>
        <w:spacing w:line="440" w:lineRule="exact"/>
        <w:ind w:firstLine="480"/>
        <w:rPr>
          <w:snapToGrid w:val="0"/>
        </w:rPr>
      </w:pPr>
      <w:r>
        <w:rPr>
          <w:rFonts w:hint="eastAsia"/>
          <w:snapToGrid w:val="0"/>
        </w:rPr>
        <w:t>（1）投标有效期、工期不符合规定的；擅自修改、遗漏《投标函》《各项承诺一览表》实质性内容的；</w:t>
      </w:r>
    </w:p>
    <w:p w14:paraId="6D59D63B">
      <w:pPr>
        <w:wordWrap w:val="0"/>
        <w:adjustRightInd w:val="0"/>
        <w:snapToGrid w:val="0"/>
        <w:spacing w:line="440" w:lineRule="exact"/>
        <w:ind w:firstLine="480"/>
        <w:rPr>
          <w:snapToGrid w:val="0"/>
        </w:rPr>
      </w:pPr>
      <w:r>
        <w:rPr>
          <w:rFonts w:hint="eastAsia"/>
          <w:snapToGrid w:val="0"/>
        </w:rPr>
        <w:t>（2）出现两个或两个以上投标总价的（同一个投标总价大、小写不一致的除外）；投标总价超出最高投标总价限价的。</w:t>
      </w:r>
    </w:p>
    <w:p w14:paraId="2A7C841B">
      <w:pPr>
        <w:wordWrap w:val="0"/>
        <w:adjustRightInd w:val="0"/>
        <w:snapToGrid w:val="0"/>
        <w:spacing w:line="440" w:lineRule="exact"/>
        <w:ind w:firstLine="480"/>
        <w:rPr>
          <w:snapToGrid w:val="0"/>
        </w:rPr>
      </w:pPr>
      <w:r>
        <w:rPr>
          <w:rFonts w:hint="eastAsia"/>
          <w:snapToGrid w:val="0"/>
        </w:rPr>
        <w:t>（3）在技术标书评审中，评标委员会认定质量、保障措施与国家和省市现行有关规范、规定、标准有重大偏差，且该种过错将导致工程质量、进度管理目标无法实现的。</w:t>
      </w:r>
    </w:p>
    <w:p w14:paraId="05E4BE3A">
      <w:pPr>
        <w:wordWrap w:val="0"/>
        <w:adjustRightInd w:val="0"/>
        <w:snapToGrid w:val="0"/>
        <w:spacing w:line="440" w:lineRule="exact"/>
        <w:ind w:firstLine="480"/>
        <w:rPr>
          <w:snapToGrid w:val="0"/>
        </w:rPr>
      </w:pPr>
    </w:p>
    <w:p w14:paraId="33627650">
      <w:pPr>
        <w:wordWrap w:val="0"/>
        <w:adjustRightInd w:val="0"/>
        <w:snapToGrid w:val="0"/>
        <w:spacing w:line="440" w:lineRule="exact"/>
        <w:ind w:firstLine="480"/>
        <w:outlineLvl w:val="2"/>
        <w:rPr>
          <w:b/>
          <w:bCs/>
          <w:snapToGrid w:val="0"/>
        </w:rPr>
      </w:pPr>
      <w:bookmarkStart w:id="239" w:name="_Toc29431"/>
      <w:bookmarkStart w:id="240" w:name="_Toc6331"/>
      <w:bookmarkStart w:id="241" w:name="_Toc19353"/>
      <w:r>
        <w:rPr>
          <w:rFonts w:hint="eastAsia"/>
          <w:b/>
          <w:bCs/>
          <w:snapToGrid w:val="0"/>
          <w:lang w:eastAsia="zh-CN"/>
        </w:rPr>
        <w:t>4.</w:t>
      </w:r>
      <w:r>
        <w:rPr>
          <w:rFonts w:hint="eastAsia"/>
          <w:b/>
          <w:bCs/>
          <w:snapToGrid w:val="0"/>
        </w:rPr>
        <w:t>其他</w:t>
      </w:r>
      <w:bookmarkEnd w:id="239"/>
      <w:bookmarkEnd w:id="240"/>
      <w:bookmarkEnd w:id="241"/>
    </w:p>
    <w:p w14:paraId="63619A3A">
      <w:pPr>
        <w:wordWrap w:val="0"/>
        <w:adjustRightInd w:val="0"/>
        <w:snapToGrid w:val="0"/>
        <w:spacing w:line="440" w:lineRule="exact"/>
        <w:ind w:firstLine="480"/>
        <w:rPr>
          <w:snapToGrid w:val="0"/>
        </w:rPr>
      </w:pPr>
      <w:r>
        <w:rPr>
          <w:rFonts w:hint="eastAsia"/>
          <w:snapToGrid w:val="0"/>
        </w:rPr>
        <w:t>在任何评标环节（或阶段），投标人有下列情形之一的，评标委员会应否决其投标。被否决的投标，不进入下一环节（或阶段）。</w:t>
      </w:r>
    </w:p>
    <w:p w14:paraId="326681A2">
      <w:pPr>
        <w:wordWrap w:val="0"/>
        <w:adjustRightInd w:val="0"/>
        <w:snapToGrid w:val="0"/>
        <w:spacing w:line="440" w:lineRule="exact"/>
        <w:ind w:firstLine="480"/>
        <w:rPr>
          <w:snapToGrid w:val="0"/>
        </w:rPr>
      </w:pPr>
      <w:r>
        <w:rPr>
          <w:rFonts w:hint="eastAsia"/>
          <w:snapToGrid w:val="0"/>
        </w:rPr>
        <w:t>（1）不按评标委员会要求澄清、说明或补正的；</w:t>
      </w:r>
    </w:p>
    <w:p w14:paraId="2187E02C">
      <w:pPr>
        <w:wordWrap w:val="0"/>
        <w:adjustRightInd w:val="0"/>
        <w:snapToGrid w:val="0"/>
        <w:spacing w:line="440" w:lineRule="exact"/>
        <w:ind w:firstLine="480"/>
        <w:rPr>
          <w:snapToGrid w:val="0"/>
        </w:rPr>
      </w:pPr>
      <w:r>
        <w:rPr>
          <w:rFonts w:hint="eastAsia"/>
          <w:snapToGrid w:val="0"/>
        </w:rPr>
        <w:t>（2）有下列情形之一，被评标委员会认定属于串通投标的：</w:t>
      </w:r>
    </w:p>
    <w:p w14:paraId="74AFB3ED">
      <w:pPr>
        <w:wordWrap w:val="0"/>
        <w:adjustRightInd w:val="0"/>
        <w:snapToGrid w:val="0"/>
        <w:spacing w:line="440" w:lineRule="exact"/>
        <w:ind w:firstLine="480" w:firstLineChars="200"/>
        <w:rPr>
          <w:snapToGrid w:val="0"/>
        </w:rPr>
      </w:pPr>
      <w:r>
        <w:rPr>
          <w:rFonts w:hint="eastAsia"/>
          <w:snapToGrid w:val="0"/>
        </w:rPr>
        <w:t>①不同投标人的投标文件两处以上（含两处）错、漏一致；</w:t>
      </w:r>
    </w:p>
    <w:p w14:paraId="139670EE">
      <w:pPr>
        <w:wordWrap w:val="0"/>
        <w:adjustRightInd w:val="0"/>
        <w:snapToGrid w:val="0"/>
        <w:spacing w:line="440" w:lineRule="exact"/>
        <w:ind w:firstLine="480" w:firstLineChars="200"/>
        <w:rPr>
          <w:snapToGrid w:val="0"/>
        </w:rPr>
      </w:pPr>
      <w:r>
        <w:rPr>
          <w:rFonts w:hint="eastAsia"/>
          <w:snapToGrid w:val="0"/>
        </w:rPr>
        <w:t>②不同投标人的投标各项报价存在异常一致或者呈规律性变化；</w:t>
      </w:r>
    </w:p>
    <w:p w14:paraId="0D77083F">
      <w:pPr>
        <w:wordWrap w:val="0"/>
        <w:adjustRightInd w:val="0"/>
        <w:snapToGrid w:val="0"/>
        <w:spacing w:line="440" w:lineRule="exact"/>
        <w:ind w:firstLine="480" w:firstLineChars="200"/>
        <w:rPr>
          <w:snapToGrid w:val="0"/>
        </w:rPr>
      </w:pPr>
      <w:r>
        <w:rPr>
          <w:rFonts w:hint="eastAsia"/>
          <w:snapToGrid w:val="0"/>
        </w:rPr>
        <w:t>③不同投标人的投标文件由同一单位或者同一个人编制；</w:t>
      </w:r>
    </w:p>
    <w:p w14:paraId="2A840BB1">
      <w:pPr>
        <w:wordWrap w:val="0"/>
        <w:adjustRightInd w:val="0"/>
        <w:snapToGrid w:val="0"/>
        <w:spacing w:line="440" w:lineRule="exact"/>
        <w:ind w:firstLine="480" w:firstLineChars="200"/>
        <w:rPr>
          <w:snapToGrid w:val="0"/>
        </w:rPr>
      </w:pPr>
      <w:r>
        <w:rPr>
          <w:rFonts w:hint="eastAsia"/>
          <w:snapToGrid w:val="0"/>
        </w:rPr>
        <w:t>④不同投标人的投标文件中投标资料（包括电子资料）相互混装或项目班子成员出现同一人；</w:t>
      </w:r>
    </w:p>
    <w:p w14:paraId="26C13E9F">
      <w:pPr>
        <w:wordWrap w:val="0"/>
        <w:adjustRightInd w:val="0"/>
        <w:snapToGrid w:val="0"/>
        <w:spacing w:line="440" w:lineRule="exact"/>
        <w:ind w:firstLine="480" w:firstLineChars="200"/>
        <w:rPr>
          <w:snapToGrid w:val="0"/>
        </w:rPr>
      </w:pPr>
      <w:r>
        <w:rPr>
          <w:rFonts w:hint="eastAsia"/>
          <w:snapToGrid w:val="0"/>
        </w:rPr>
        <w:t>⑤不同投标人的投标文件由同一电脑编制或同一台附属设备打印；</w:t>
      </w:r>
    </w:p>
    <w:p w14:paraId="5E8C31E0">
      <w:pPr>
        <w:wordWrap w:val="0"/>
        <w:adjustRightInd w:val="0"/>
        <w:snapToGrid w:val="0"/>
        <w:spacing w:line="440" w:lineRule="exact"/>
        <w:ind w:firstLine="480" w:firstLineChars="200"/>
        <w:rPr>
          <w:snapToGrid w:val="0"/>
        </w:rPr>
      </w:pPr>
      <w:r>
        <w:rPr>
          <w:rFonts w:hint="eastAsia"/>
          <w:snapToGrid w:val="0"/>
        </w:rPr>
        <w:t>⑥不同投标人的投标保证由同一企业或同一账户资金缴纳；</w:t>
      </w:r>
    </w:p>
    <w:p w14:paraId="43624F97">
      <w:pPr>
        <w:spacing w:line="360" w:lineRule="exact"/>
        <w:ind w:firstLine="480" w:firstLineChars="200"/>
        <w:rPr>
          <w:bCs/>
          <w:kern w:val="1"/>
        </w:rPr>
      </w:pPr>
      <w:r>
        <w:rPr>
          <w:rFonts w:hint="eastAsia"/>
          <w:snapToGrid w:val="0"/>
        </w:rPr>
        <w:t>⑦不同投标人委托同一个人或注册在同一家企业的注册人员或同一家企业为其投标提供投标咨询、商务报价、技术咨询（招标项目本身要求采用专有技术的除外）等服务。</w:t>
      </w:r>
    </w:p>
    <w:p w14:paraId="2D943F4E">
      <w:pPr>
        <w:rPr>
          <w:b/>
          <w:bCs/>
          <w:spacing w:val="-3"/>
        </w:rPr>
      </w:pPr>
      <w:bookmarkStart w:id="242" w:name="_Toc22243"/>
      <w:r>
        <w:rPr>
          <w:rFonts w:hint="eastAsia"/>
          <w:b/>
          <w:bCs/>
          <w:spacing w:val="-3"/>
        </w:rPr>
        <w:br w:type="page"/>
      </w:r>
    </w:p>
    <w:p w14:paraId="2B4D58F2">
      <w:pPr>
        <w:spacing w:before="78" w:line="220" w:lineRule="auto"/>
        <w:ind w:left="9"/>
        <w:jc w:val="center"/>
        <w:outlineLvl w:val="1"/>
      </w:pPr>
      <w:r>
        <w:rPr>
          <w:rFonts w:hint="eastAsia"/>
          <w:b/>
          <w:bCs/>
          <w:spacing w:val="-3"/>
        </w:rPr>
        <w:t>第五节</w:t>
      </w:r>
      <w:r>
        <w:rPr>
          <w:rFonts w:hint="eastAsia"/>
          <w:spacing w:val="-3"/>
        </w:rPr>
        <w:t xml:space="preserve"> </w:t>
      </w:r>
      <w:r>
        <w:rPr>
          <w:rFonts w:hint="eastAsia"/>
          <w:b/>
          <w:bCs/>
          <w:spacing w:val="-3"/>
        </w:rPr>
        <w:t>定标规定及细则（本项目采用票决数量法定标）</w:t>
      </w:r>
      <w:bookmarkEnd w:id="242"/>
    </w:p>
    <w:p w14:paraId="515A0BF0">
      <w:pPr>
        <w:pStyle w:val="11"/>
        <w:spacing w:line="256" w:lineRule="auto"/>
      </w:pPr>
    </w:p>
    <w:p w14:paraId="0688CFBB">
      <w:pPr>
        <w:spacing w:line="360" w:lineRule="auto"/>
        <w:ind w:firstLine="482" w:firstLineChars="200"/>
        <w:rPr>
          <w:rStyle w:val="198"/>
          <w:b/>
          <w:bCs/>
        </w:rPr>
      </w:pPr>
      <w:r>
        <w:rPr>
          <w:rStyle w:val="198"/>
          <w:rFonts w:hint="eastAsia"/>
          <w:b/>
          <w:bCs/>
        </w:rPr>
        <w:t>1.确定定标时间</w:t>
      </w:r>
    </w:p>
    <w:p w14:paraId="4995EEBB">
      <w:pPr>
        <w:spacing w:line="360" w:lineRule="auto"/>
        <w:ind w:firstLine="480" w:firstLineChars="200"/>
        <w:rPr>
          <w:rStyle w:val="198"/>
        </w:rPr>
      </w:pPr>
      <w:r>
        <w:rPr>
          <w:rStyle w:val="198"/>
          <w:rFonts w:hint="eastAsia"/>
        </w:rPr>
        <w:t>招标人应自定标候选人公示期满后5个工作日内进入公共资源交易平台（与评标阶段公共资源交易平台相同）进行定标，定标委员会根据定标方案确定1名中标人或排名第1名至第3名的中标候选人，并向招标人提交书面定标报告，定标委员会全体成员在报告上签字确认。招标监督小组全员同时参加定标会议，全程监督，并在定标报告上的招标监督小组处签字。项目业主单位应对定标过程进行记录，形成定标会议记录，存档备查。定标会议全过程录音录像。招标人需要延期定标的，应通过公共资源交易平台公布延期原因和定标时间。</w:t>
      </w:r>
    </w:p>
    <w:p w14:paraId="17F465CF">
      <w:pPr>
        <w:spacing w:line="360" w:lineRule="auto"/>
        <w:ind w:firstLine="482" w:firstLineChars="200"/>
        <w:rPr>
          <w:rStyle w:val="198"/>
          <w:b/>
          <w:bCs/>
        </w:rPr>
      </w:pPr>
      <w:r>
        <w:rPr>
          <w:rStyle w:val="198"/>
          <w:rFonts w:hint="eastAsia"/>
          <w:b/>
          <w:bCs/>
        </w:rPr>
        <w:t>2.定标委员会</w:t>
      </w:r>
    </w:p>
    <w:p w14:paraId="3A417E6F">
      <w:pPr>
        <w:keepNext w:val="0"/>
        <w:keepLines w:val="0"/>
        <w:widowControl/>
        <w:suppressLineNumbers w:val="0"/>
        <w:spacing w:line="360" w:lineRule="auto"/>
        <w:ind w:firstLine="480" w:firstLineChars="200"/>
        <w:jc w:val="left"/>
        <w:rPr>
          <w:rStyle w:val="198"/>
          <w:rFonts w:hint="eastAsia" w:ascii="Times New Roman" w:hAnsi="Times New Roman" w:cs="Times New Roman"/>
          <w:highlight w:val="yellow"/>
        </w:rPr>
      </w:pPr>
      <w:r>
        <w:rPr>
          <w:rStyle w:val="198"/>
          <w:rFonts w:hint="eastAsia"/>
        </w:rPr>
        <w:t>2.1</w:t>
      </w:r>
      <w:r>
        <w:rPr>
          <w:rStyle w:val="198"/>
          <w:rFonts w:hint="eastAsia" w:ascii="Times New Roman" w:hAnsi="Times New Roman" w:eastAsia="宋体" w:cs="Times New Roman"/>
          <w:highlight w:val="none"/>
          <w:lang w:val="en-US" w:eastAsia="zh-CN"/>
        </w:rPr>
        <w:t>项目定标委员会成员数量为7人以上单数，</w:t>
      </w:r>
      <w:r>
        <w:rPr>
          <w:rStyle w:val="198"/>
          <w:rFonts w:hint="eastAsia" w:ascii="Times New Roman" w:hAnsi="Times New Roman" w:cs="Times New Roman"/>
          <w:highlight w:val="none"/>
          <w:lang w:val="en-US" w:eastAsia="zh-CN"/>
        </w:rPr>
        <w:t>定标委员会成员会按照《</w:t>
      </w:r>
      <w:r>
        <w:rPr>
          <w:rStyle w:val="198"/>
          <w:rFonts w:hint="eastAsia" w:ascii="Times New Roman" w:hAnsi="Times New Roman" w:eastAsia="宋体" w:cs="Times New Roman"/>
          <w:highlight w:val="none"/>
        </w:rPr>
        <w:t>韶关市金财投资集团有限公司房屋建筑和市政基础设施工程招标投标“评定分离” 工作实施办法（试行）</w:t>
      </w:r>
      <w:r>
        <w:rPr>
          <w:rStyle w:val="198"/>
          <w:rFonts w:hint="eastAsia" w:ascii="Times New Roman" w:hAnsi="Times New Roman" w:cs="Times New Roman"/>
          <w:highlight w:val="none"/>
          <w:lang w:eastAsia="zh-CN"/>
        </w:rPr>
        <w:t>》</w:t>
      </w:r>
      <w:r>
        <w:rPr>
          <w:rStyle w:val="198"/>
          <w:rFonts w:hint="eastAsia" w:ascii="Times New Roman" w:hAnsi="Times New Roman" w:cs="Times New Roman"/>
          <w:highlight w:val="none"/>
          <w:lang w:val="en-US" w:eastAsia="zh-CN"/>
        </w:rPr>
        <w:t>确定。</w:t>
      </w:r>
    </w:p>
    <w:p w14:paraId="139597F1">
      <w:pPr>
        <w:spacing w:line="360" w:lineRule="auto"/>
        <w:ind w:firstLine="480" w:firstLineChars="200"/>
      </w:pPr>
      <w:r>
        <w:rPr>
          <w:rFonts w:hint="eastAsia"/>
        </w:rPr>
        <w:t>2.2定标委员会应当根据招标文件规定的定标方法和细则，对定标候选人进行系统的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6CF2A3DB">
      <w:pPr>
        <w:spacing w:line="360" w:lineRule="auto"/>
        <w:ind w:firstLine="480" w:firstLineChars="200"/>
      </w:pPr>
      <w:r>
        <w:rPr>
          <w:rStyle w:val="198"/>
          <w:rFonts w:hint="eastAsia"/>
        </w:rPr>
        <w:t>2.3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33850850">
      <w:pPr>
        <w:spacing w:line="360" w:lineRule="auto"/>
        <w:ind w:firstLine="482" w:firstLineChars="200"/>
        <w:rPr>
          <w:rStyle w:val="198"/>
          <w:b/>
          <w:bCs/>
        </w:rPr>
      </w:pPr>
      <w:r>
        <w:rPr>
          <w:rStyle w:val="198"/>
          <w:rFonts w:hint="eastAsia"/>
          <w:b/>
          <w:bCs/>
        </w:rPr>
        <w:t>3.组建招标监督小组</w:t>
      </w:r>
    </w:p>
    <w:p w14:paraId="68BB7881">
      <w:pPr>
        <w:keepNext w:val="0"/>
        <w:keepLines w:val="0"/>
        <w:widowControl/>
        <w:suppressLineNumbers w:val="0"/>
        <w:spacing w:line="360" w:lineRule="auto"/>
        <w:ind w:firstLine="480" w:firstLineChars="200"/>
        <w:jc w:val="left"/>
        <w:rPr>
          <w:rStyle w:val="198"/>
          <w:rFonts w:hint="eastAsia" w:ascii="Times New Roman" w:hAnsi="Times New Roman" w:cs="Times New Roman"/>
        </w:rPr>
      </w:pPr>
      <w:r>
        <w:rPr>
          <w:rStyle w:val="198"/>
          <w:rFonts w:hint="eastAsia" w:ascii="Times New Roman" w:hAnsi="Times New Roman" w:cs="Times New Roman"/>
          <w:lang w:val="en-US" w:eastAsia="zh-CN"/>
        </w:rPr>
        <w:t>项目招标监督小组原则上由不少于 3 人组成，招标监督小组成员按照《</w:t>
      </w:r>
      <w:r>
        <w:rPr>
          <w:rStyle w:val="198"/>
          <w:rFonts w:hint="eastAsia" w:ascii="Times New Roman" w:hAnsi="Times New Roman" w:eastAsia="宋体" w:cs="Times New Roman"/>
        </w:rPr>
        <w:t>韶关市金财投资集团有限公司房屋建筑和市政基础设施工程招标投标“评定分离” 工作实施办法（试行）</w:t>
      </w:r>
      <w:r>
        <w:rPr>
          <w:rStyle w:val="198"/>
          <w:rFonts w:hint="eastAsia" w:ascii="Times New Roman" w:hAnsi="Times New Roman" w:cs="Times New Roman"/>
          <w:lang w:eastAsia="zh-CN"/>
        </w:rPr>
        <w:t>》</w:t>
      </w:r>
      <w:r>
        <w:rPr>
          <w:rStyle w:val="198"/>
          <w:rFonts w:hint="eastAsia" w:ascii="Times New Roman" w:hAnsi="Times New Roman" w:cs="Times New Roman"/>
          <w:lang w:val="en-US" w:eastAsia="zh-CN"/>
        </w:rPr>
        <w:t>确定。</w:t>
      </w:r>
    </w:p>
    <w:p w14:paraId="4399C982">
      <w:pPr>
        <w:spacing w:line="360" w:lineRule="auto"/>
        <w:ind w:firstLine="482" w:firstLineChars="200"/>
        <w:rPr>
          <w:rStyle w:val="198"/>
          <w:b/>
          <w:bCs/>
        </w:rPr>
      </w:pPr>
      <w:r>
        <w:rPr>
          <w:rStyle w:val="198"/>
          <w:rFonts w:hint="eastAsia"/>
          <w:b/>
          <w:bCs/>
        </w:rPr>
        <w:t>4.定标办法</w:t>
      </w:r>
    </w:p>
    <w:p w14:paraId="7DD44814">
      <w:pPr>
        <w:spacing w:line="360" w:lineRule="auto"/>
        <w:ind w:firstLine="240" w:firstLineChars="100"/>
        <w:rPr>
          <w:rStyle w:val="198"/>
        </w:rPr>
      </w:pPr>
      <w:r>
        <w:rPr>
          <w:rStyle w:val="198"/>
          <w:rFonts w:hint="eastAsia"/>
        </w:rPr>
        <w:t>定标办法由招标人按本投标人须知前附表的规定确定（只能选定其中一种定标办法）。</w:t>
      </w:r>
    </w:p>
    <w:p w14:paraId="53DE2EE3">
      <w:pPr>
        <w:spacing w:line="360" w:lineRule="auto"/>
        <w:ind w:firstLine="482" w:firstLineChars="200"/>
      </w:pPr>
      <w:bookmarkStart w:id="243" w:name="OLE_LINK3"/>
      <w:r>
        <w:rPr>
          <w:rFonts w:hint="eastAsia"/>
          <w:b/>
          <w:bCs/>
        </w:rPr>
        <w:t>本项目</w:t>
      </w:r>
      <w:bookmarkEnd w:id="243"/>
      <w:r>
        <w:rPr>
          <w:rFonts w:hint="eastAsia"/>
          <w:b/>
          <w:bCs/>
        </w:rPr>
        <w:t>采用票决数量法定标。</w:t>
      </w:r>
    </w:p>
    <w:p w14:paraId="0DB98B77">
      <w:pPr>
        <w:spacing w:line="360" w:lineRule="auto"/>
        <w:ind w:firstLine="482" w:firstLineChars="200"/>
        <w:rPr>
          <w:rStyle w:val="198"/>
          <w:b/>
          <w:bCs/>
        </w:rPr>
      </w:pPr>
      <w:r>
        <w:rPr>
          <w:rStyle w:val="198"/>
          <w:rFonts w:hint="eastAsia"/>
          <w:b/>
          <w:bCs/>
        </w:rPr>
        <w:t>5.定标细则</w:t>
      </w:r>
    </w:p>
    <w:p w14:paraId="22281545">
      <w:pPr>
        <w:spacing w:line="360" w:lineRule="auto"/>
        <w:ind w:firstLine="482" w:firstLineChars="200"/>
        <w:rPr>
          <w:b/>
          <w:bCs/>
        </w:rPr>
      </w:pPr>
      <w:r>
        <w:rPr>
          <w:rFonts w:hint="eastAsia"/>
          <w:b/>
          <w:bCs/>
        </w:rPr>
        <w:t>5.1票决数量法程序</w:t>
      </w:r>
    </w:p>
    <w:p w14:paraId="76C4C504">
      <w:pPr>
        <w:spacing w:line="360" w:lineRule="auto"/>
        <w:ind w:firstLine="480" w:firstLineChars="200"/>
      </w:pPr>
      <w:r>
        <w:rPr>
          <w:rFonts w:hint="eastAsia"/>
          <w:shd w:val="clear" w:color="auto" w:fill="FFFFFF"/>
        </w:rPr>
        <w:t>定标委员会根据定标因素对定标候选人进行评审比较后，每名定标委员会成员</w:t>
      </w:r>
      <w:r>
        <w:rPr>
          <w:rFonts w:hint="eastAsia"/>
        </w:rPr>
        <w:t>有且仅有投出1票的权利，1票只能投1名定标候选人，</w:t>
      </w:r>
      <w:r>
        <w:rPr>
          <w:rFonts w:hint="eastAsia"/>
          <w:shd w:val="clear" w:color="auto" w:fill="FFFFFF"/>
        </w:rPr>
        <w:t>进行票决排名确定排序的中标候选人。即各定标委员会成员对定标候选人进行投票，按得票高低推荐排序的前三名中标候选人。</w:t>
      </w:r>
      <w:r>
        <w:rPr>
          <w:rFonts w:hint="eastAsia"/>
        </w:rPr>
        <w:t>若第一轮投票中前三名中标候选人有</w:t>
      </w:r>
      <w:r>
        <w:rPr>
          <w:rFonts w:hint="eastAsia"/>
          <w:shd w:val="clear" w:color="auto" w:fill="FFFFFF"/>
        </w:rPr>
        <w:t>得票相同且影响中标候选人排序确定的，由定标委员会对总票数相同的单位进行再次票决确定排序，</w:t>
      </w:r>
      <w:r>
        <w:rPr>
          <w:rFonts w:hint="eastAsia"/>
        </w:rPr>
        <w:t>直至决出排序的前三名中标候选人</w:t>
      </w:r>
      <w:r>
        <w:rPr>
          <w:rFonts w:hint="eastAsia"/>
          <w:color w:val="auto"/>
          <w:lang w:eastAsia="zh-CN"/>
        </w:rPr>
        <w:t>。</w:t>
      </w:r>
      <w:r>
        <w:rPr>
          <w:rFonts w:hint="eastAsia"/>
          <w:color w:val="auto"/>
          <w:shd w:val="clear" w:color="auto" w:fill="FFFFFF"/>
        </w:rPr>
        <w:t>票决采用记名方式投票。</w:t>
      </w:r>
    </w:p>
    <w:p w14:paraId="75C71932">
      <w:pPr>
        <w:spacing w:line="360" w:lineRule="auto"/>
        <w:ind w:firstLine="482" w:firstLineChars="200"/>
        <w:rPr>
          <w:b/>
          <w:bCs/>
          <w:shd w:val="clear" w:color="auto" w:fill="FFFFFF"/>
        </w:rPr>
      </w:pPr>
      <w:r>
        <w:rPr>
          <w:rFonts w:hint="eastAsia"/>
          <w:b/>
          <w:bCs/>
          <w:lang w:eastAsia="zh-CN"/>
        </w:rPr>
        <w:t>5.1.1</w:t>
      </w:r>
      <w:r>
        <w:rPr>
          <w:rFonts w:hint="eastAsia"/>
          <w:b/>
          <w:bCs/>
          <w:shd w:val="clear" w:color="auto" w:fill="FFFFFF"/>
        </w:rPr>
        <w:t>项目情况介绍</w:t>
      </w:r>
    </w:p>
    <w:p w14:paraId="721E7ED5">
      <w:pPr>
        <w:spacing w:line="360" w:lineRule="auto"/>
        <w:ind w:firstLine="480" w:firstLineChars="200"/>
      </w:pPr>
      <w:r>
        <w:rPr>
          <w:rFonts w:hint="eastAsia"/>
          <w:highlight w:val="none"/>
        </w:rPr>
        <w:t>招标人代表</w:t>
      </w:r>
      <w:r>
        <w:rPr>
          <w:rFonts w:hint="eastAsia"/>
        </w:rPr>
        <w:t>介绍项目的概况及招标要求，以及定标方法与定标工作规则，不得发表具有倾向性的言论。</w:t>
      </w:r>
    </w:p>
    <w:p w14:paraId="16F4B255">
      <w:pPr>
        <w:spacing w:line="360" w:lineRule="auto"/>
        <w:ind w:firstLine="482" w:firstLineChars="200"/>
        <w:rPr>
          <w:b/>
          <w:bCs/>
        </w:rPr>
      </w:pPr>
      <w:r>
        <w:rPr>
          <w:rFonts w:hint="eastAsia"/>
          <w:b/>
          <w:bCs/>
          <w:lang w:eastAsia="zh-CN"/>
        </w:rPr>
        <w:t>5.1.2</w:t>
      </w:r>
      <w:r>
        <w:rPr>
          <w:rFonts w:hint="eastAsia"/>
          <w:b/>
          <w:bCs/>
          <w:shd w:val="clear" w:color="auto" w:fill="FFFFFF"/>
        </w:rPr>
        <w:t>审阅定标资料</w:t>
      </w:r>
    </w:p>
    <w:p w14:paraId="446A3195">
      <w:pPr>
        <w:spacing w:line="360" w:lineRule="auto"/>
        <w:ind w:firstLine="480" w:firstLineChars="200"/>
      </w:pPr>
      <w:r>
        <w:rPr>
          <w:rFonts w:hint="eastAsia"/>
        </w:rPr>
        <w:t>定标委员会成员对各定标候选人的投标文件进行审阅，审阅内容主要是定标工作规则所规定的定标因素，聚焦于项目需求与候选人能力的匹配度</w:t>
      </w:r>
      <w:r>
        <w:rPr>
          <w:rFonts w:hint="eastAsia"/>
          <w:shd w:val="clear" w:color="auto" w:fill="FFFFFF"/>
        </w:rPr>
        <w:t>。</w:t>
      </w:r>
    </w:p>
    <w:p w14:paraId="38FCFEA4">
      <w:pPr>
        <w:pStyle w:val="27"/>
        <w:shd w:val="clear" w:color="auto" w:fill="FFFFFF"/>
        <w:spacing w:before="0" w:beforeAutospacing="0" w:after="0" w:afterAutospacing="0" w:line="360" w:lineRule="auto"/>
        <w:ind w:firstLine="482" w:firstLineChars="200"/>
        <w:jc w:val="both"/>
        <w:rPr>
          <w:b/>
          <w:bCs/>
          <w:color w:val="auto"/>
          <w:shd w:val="clear" w:color="auto" w:fill="FFFFFF"/>
        </w:rPr>
      </w:pPr>
      <w:r>
        <w:rPr>
          <w:rFonts w:hint="eastAsia"/>
          <w:b/>
          <w:bCs/>
          <w:color w:val="auto"/>
          <w:lang w:eastAsia="zh-CN"/>
        </w:rPr>
        <w:t>5.1.3</w:t>
      </w:r>
      <w:r>
        <w:rPr>
          <w:rFonts w:hint="eastAsia"/>
          <w:b/>
          <w:bCs/>
          <w:color w:val="auto"/>
          <w:shd w:val="clear" w:color="auto" w:fill="FFFFFF"/>
        </w:rPr>
        <w:t>疑问澄清</w:t>
      </w:r>
    </w:p>
    <w:p w14:paraId="5CC1A76D">
      <w:pPr>
        <w:spacing w:line="360" w:lineRule="auto"/>
        <w:ind w:firstLine="480" w:firstLineChars="200"/>
      </w:pPr>
      <w:r>
        <w:rPr>
          <w:rFonts w:hint="eastAsia"/>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0C40F63D">
      <w:pPr>
        <w:spacing w:line="360" w:lineRule="auto"/>
        <w:ind w:firstLine="482" w:firstLineChars="200"/>
        <w:rPr>
          <w:b/>
          <w:bCs/>
          <w:shd w:val="clear" w:color="auto" w:fill="FFFFFF"/>
        </w:rPr>
      </w:pPr>
      <w:r>
        <w:rPr>
          <w:rFonts w:hint="eastAsia"/>
          <w:b/>
          <w:bCs/>
          <w:shd w:val="clear" w:color="auto" w:fill="FFFFFF"/>
          <w:lang w:eastAsia="zh-CN"/>
        </w:rPr>
        <w:t>5.1.4</w:t>
      </w:r>
      <w:r>
        <w:rPr>
          <w:rFonts w:hint="eastAsia"/>
          <w:b/>
          <w:bCs/>
          <w:shd w:val="clear" w:color="auto" w:fill="FFFFFF"/>
        </w:rPr>
        <w:t>投票，收票，点票和汇总</w:t>
      </w:r>
    </w:p>
    <w:p w14:paraId="33333C61">
      <w:pPr>
        <w:spacing w:line="360" w:lineRule="auto"/>
        <w:ind w:firstLine="480" w:firstLineChars="200"/>
      </w:pPr>
      <w:r>
        <w:rPr>
          <w:rFonts w:hint="eastAsia"/>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4FA0343F">
      <w:pPr>
        <w:spacing w:line="360" w:lineRule="auto"/>
        <w:ind w:firstLine="482" w:firstLineChars="200"/>
        <w:rPr>
          <w:bCs/>
        </w:rPr>
      </w:pPr>
      <w:r>
        <w:rPr>
          <w:rFonts w:hint="eastAsia"/>
          <w:b/>
          <w:bCs/>
          <w:shd w:val="clear" w:color="auto" w:fill="FFFFFF"/>
        </w:rPr>
        <w:t>5.1.5.公布结果和出具定标报告</w:t>
      </w:r>
    </w:p>
    <w:p w14:paraId="50013B03">
      <w:pPr>
        <w:spacing w:line="360" w:lineRule="auto"/>
        <w:ind w:firstLine="480" w:firstLineChars="200"/>
      </w:pPr>
      <w:r>
        <w:rPr>
          <w:rFonts w:hint="eastAsia"/>
          <w:bCs/>
        </w:rPr>
        <w:t>点票工作完成后，定标委员会组长汇总定标结果，编制定标报告，确定中标候选人</w:t>
      </w:r>
      <w:r>
        <w:rPr>
          <w:rFonts w:hint="eastAsia"/>
          <w:bCs/>
          <w:color w:val="auto"/>
          <w:lang w:eastAsia="zh-CN"/>
        </w:rPr>
        <w:t>排序及名单</w:t>
      </w:r>
      <w:r>
        <w:rPr>
          <w:rFonts w:hint="eastAsia"/>
          <w:bCs/>
        </w:rPr>
        <w:t>，全体成员签名。</w:t>
      </w:r>
    </w:p>
    <w:p w14:paraId="5A41D208">
      <w:pPr>
        <w:pStyle w:val="27"/>
        <w:shd w:val="clear" w:color="auto" w:fill="FFFFFF"/>
        <w:spacing w:before="0" w:beforeAutospacing="0" w:after="0" w:afterAutospacing="0" w:line="360" w:lineRule="auto"/>
        <w:ind w:left="480" w:leftChars="200"/>
        <w:jc w:val="both"/>
        <w:rPr>
          <w:b/>
          <w:bCs/>
          <w:color w:val="auto"/>
          <w:shd w:val="clear" w:color="auto" w:fill="FFFFFF"/>
        </w:rPr>
      </w:pPr>
      <w:r>
        <w:rPr>
          <w:rFonts w:hint="eastAsia"/>
          <w:b/>
          <w:bCs/>
          <w:color w:val="auto"/>
        </w:rPr>
        <w:t>5.1.6.</w:t>
      </w:r>
      <w:r>
        <w:rPr>
          <w:rFonts w:hint="eastAsia"/>
          <w:b/>
          <w:bCs/>
          <w:color w:val="auto"/>
          <w:shd w:val="clear" w:color="auto" w:fill="FFFFFF"/>
        </w:rPr>
        <w:t>全程监督</w:t>
      </w:r>
    </w:p>
    <w:p w14:paraId="2A2364FC">
      <w:pPr>
        <w:spacing w:line="360" w:lineRule="auto"/>
        <w:ind w:firstLine="480" w:firstLineChars="200"/>
        <w:rPr>
          <w:bCs/>
        </w:rPr>
      </w:pPr>
      <w:r>
        <w:rPr>
          <w:rFonts w:hint="eastAsia"/>
          <w:bCs/>
        </w:rPr>
        <w:t>招标监督小组对集体议定的全过程进行监督，确保程序合规、讨论充分、记录完整，结论形成过程公正、透明。</w:t>
      </w:r>
    </w:p>
    <w:p w14:paraId="2AE5D67D">
      <w:pPr>
        <w:spacing w:line="360" w:lineRule="auto"/>
        <w:ind w:firstLine="482" w:firstLineChars="200"/>
        <w:rPr>
          <w:b/>
          <w:bCs/>
        </w:rPr>
      </w:pPr>
      <w:r>
        <w:rPr>
          <w:rFonts w:hint="eastAsia"/>
          <w:b/>
          <w:bCs/>
        </w:rPr>
        <w:t>5.2定标因素</w:t>
      </w:r>
    </w:p>
    <w:p w14:paraId="4E624310">
      <w:pPr>
        <w:spacing w:line="360" w:lineRule="auto"/>
        <w:ind w:firstLine="480" w:firstLineChars="200"/>
        <w:rPr>
          <w:i/>
          <w:iCs/>
        </w:rPr>
      </w:pPr>
      <w:r>
        <w:rPr>
          <w:rFonts w:hint="eastAsia"/>
        </w:rPr>
        <w:t>在同等条件下，择优的定标因素和相对标准有以下几个方面：</w:t>
      </w:r>
    </w:p>
    <w:p w14:paraId="2AB3ABDC">
      <w:pPr>
        <w:spacing w:line="360" w:lineRule="auto"/>
        <w:ind w:firstLine="480" w:firstLineChars="200"/>
      </w:pPr>
      <w:r>
        <w:rPr>
          <w:rFonts w:hint="eastAsia"/>
        </w:rPr>
        <w:t>（1）拟派团队管理能力与水平（履约能力）</w:t>
      </w:r>
    </w:p>
    <w:p w14:paraId="49D4D1BE">
      <w:pPr>
        <w:spacing w:line="360" w:lineRule="auto"/>
        <w:ind w:firstLine="480" w:firstLineChars="200"/>
      </w:pPr>
      <w:r>
        <w:rPr>
          <w:rFonts w:hint="eastAsia"/>
        </w:rPr>
        <w:t>相对标准：拟派团队专业配备齐全、人员业绩突出、综合实力强等的定标候选人优于团队实力一般的定标候选人。</w:t>
      </w:r>
    </w:p>
    <w:p w14:paraId="047F300E">
      <w:pPr>
        <w:spacing w:line="360" w:lineRule="auto"/>
        <w:ind w:firstLine="480" w:firstLineChars="200"/>
      </w:pPr>
      <w:r>
        <w:rPr>
          <w:rFonts w:hint="eastAsia"/>
        </w:rPr>
        <w:t>（2）评标报告</w:t>
      </w:r>
    </w:p>
    <w:p w14:paraId="1E634E3F">
      <w:pPr>
        <w:spacing w:line="360" w:lineRule="auto"/>
        <w:ind w:firstLine="480" w:firstLineChars="200"/>
      </w:pPr>
      <w:r>
        <w:rPr>
          <w:rFonts w:hint="eastAsia"/>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62BD9376">
      <w:pPr>
        <w:spacing w:line="360" w:lineRule="auto"/>
        <w:ind w:firstLine="480" w:firstLineChars="200"/>
      </w:pPr>
      <w:r>
        <w:rPr>
          <w:rFonts w:hint="eastAsia"/>
        </w:rPr>
        <w:t>（3）设计方案（包括</w:t>
      </w:r>
      <w:r>
        <w:rPr>
          <w:color w:val="auto"/>
          <w:u w:val="single"/>
        </w:rPr>
        <w:t>1、项目定位及理解2、平面图设计；3、</w:t>
      </w:r>
      <w:r>
        <w:rPr>
          <w:rFonts w:hint="eastAsia"/>
          <w:color w:val="auto"/>
          <w:u w:val="single"/>
        </w:rPr>
        <w:t>建筑和</w:t>
      </w:r>
      <w:r>
        <w:rPr>
          <w:color w:val="auto"/>
          <w:u w:val="single"/>
        </w:rPr>
        <w:t>景观意向图片</w:t>
      </w:r>
      <w:r>
        <w:rPr>
          <w:rFonts w:hint="eastAsia"/>
          <w:color w:val="auto"/>
        </w:rPr>
        <w:t>）</w:t>
      </w:r>
    </w:p>
    <w:p w14:paraId="1DCF0823">
      <w:pPr>
        <w:spacing w:line="360" w:lineRule="auto"/>
        <w:ind w:firstLine="480" w:firstLineChars="200"/>
      </w:pPr>
      <w:r>
        <w:rPr>
          <w:rFonts w:hint="eastAsia"/>
        </w:rPr>
        <w:t>相对标准：方案设计好的定标候选人优于方案设计一般的定标候选人。</w:t>
      </w:r>
    </w:p>
    <w:p w14:paraId="2A77DA44">
      <w:pPr>
        <w:spacing w:line="360" w:lineRule="auto"/>
        <w:ind w:firstLine="480" w:firstLineChars="200"/>
      </w:pPr>
      <w:r>
        <w:rPr>
          <w:rFonts w:hint="eastAsia"/>
        </w:rPr>
        <w:t>（4）履约及后续服务（包括履约保障承诺、过程响应机制、后期服务与维护方案等。）</w:t>
      </w:r>
    </w:p>
    <w:p w14:paraId="52FD3B58">
      <w:pPr>
        <w:spacing w:line="360" w:lineRule="auto"/>
        <w:ind w:firstLine="480" w:firstLineChars="200"/>
        <w:rPr>
          <w:b/>
          <w:bCs/>
          <w:shd w:val="clear" w:color="auto" w:fill="FFFFFF"/>
        </w:rPr>
      </w:pPr>
      <w:r>
        <w:rPr>
          <w:rFonts w:hint="eastAsia"/>
        </w:rPr>
        <w:t>相对标准：服务能力好的定标候选人优于服务能力一般的定标候选人。</w:t>
      </w:r>
    </w:p>
    <w:p w14:paraId="57DA743C">
      <w:pPr>
        <w:spacing w:line="360" w:lineRule="auto"/>
        <w:ind w:firstLine="482" w:firstLineChars="200"/>
        <w:rPr>
          <w:b/>
          <w:bCs/>
          <w:shd w:val="clear" w:color="auto" w:fill="FFFFFF"/>
        </w:rPr>
      </w:pPr>
      <w:r>
        <w:rPr>
          <w:rFonts w:hint="eastAsia"/>
          <w:b/>
          <w:bCs/>
          <w:shd w:val="clear" w:color="auto" w:fill="FFFFFF"/>
        </w:rPr>
        <w:t>6.定标结果公示</w:t>
      </w:r>
    </w:p>
    <w:p w14:paraId="72AA16C2">
      <w:pPr>
        <w:spacing w:line="360" w:lineRule="auto"/>
        <w:ind w:firstLine="480" w:firstLineChars="200"/>
        <w:rPr>
          <w:rStyle w:val="198"/>
        </w:rPr>
      </w:pPr>
      <w:r>
        <w:rPr>
          <w:rFonts w:hint="eastAsia"/>
          <w:shd w:val="clear" w:color="auto" w:fill="FFFFFF"/>
        </w:rPr>
        <w:t>定标委员会完成定标</w:t>
      </w:r>
      <w:r>
        <w:rPr>
          <w:rStyle w:val="198"/>
          <w:rFonts w:hint="eastAsia"/>
        </w:rPr>
        <w:t>后，招标人应于定标会结束后3日内将中标候选人和定标情况在广东省招标投标监管网和韶关市公共资源交易中心工程交易系统上公示，公示时间不少于3日。</w:t>
      </w:r>
      <w:r>
        <w:rPr>
          <w:rStyle w:val="198"/>
          <w:rFonts w:hint="eastAsia"/>
          <w:lang w:eastAsia="zh-CN"/>
        </w:rPr>
        <w:t>公示</w:t>
      </w:r>
      <w:r>
        <w:rPr>
          <w:rStyle w:val="198"/>
          <w:rFonts w:hint="eastAsia"/>
        </w:rPr>
        <w:t>主要内容包括：定标报告（定标成员信息除外）、中标人名单、中标价和拟投入本项目的项目负责人、技术负责人及各专业负责人（如有）等内容。</w:t>
      </w:r>
    </w:p>
    <w:p w14:paraId="0237FF13">
      <w:pPr>
        <w:spacing w:before="78" w:line="220" w:lineRule="auto"/>
        <w:ind w:left="9"/>
        <w:jc w:val="center"/>
        <w:outlineLvl w:val="1"/>
        <w:rPr>
          <w:b/>
          <w:bCs/>
          <w:spacing w:val="-3"/>
        </w:rPr>
      </w:pPr>
    </w:p>
    <w:p w14:paraId="39413346">
      <w:pPr>
        <w:rPr>
          <w:b/>
          <w:bCs/>
          <w:spacing w:val="-3"/>
        </w:rPr>
      </w:pPr>
      <w:r>
        <w:rPr>
          <w:rFonts w:hint="eastAsia"/>
          <w:b/>
          <w:bCs/>
          <w:spacing w:val="-3"/>
        </w:rPr>
        <w:br w:type="page"/>
      </w:r>
    </w:p>
    <w:p w14:paraId="1558E731">
      <w:pPr>
        <w:spacing w:before="78" w:line="220" w:lineRule="auto"/>
        <w:ind w:left="9"/>
        <w:jc w:val="center"/>
        <w:outlineLvl w:val="1"/>
        <w:rPr>
          <w:b/>
          <w:bCs/>
          <w:spacing w:val="-3"/>
        </w:rPr>
      </w:pPr>
      <w:r>
        <w:rPr>
          <w:rFonts w:hint="eastAsia"/>
          <w:b/>
          <w:bCs/>
          <w:spacing w:val="-3"/>
        </w:rPr>
        <w:t>第六节 中标确认</w:t>
      </w:r>
    </w:p>
    <w:p w14:paraId="0EA9F65B">
      <w:pPr>
        <w:spacing w:line="360" w:lineRule="auto"/>
        <w:ind w:firstLine="482" w:firstLineChars="200"/>
        <w:rPr>
          <w:b/>
          <w:bCs/>
          <w:shd w:val="clear" w:color="auto" w:fill="FFFFFF"/>
        </w:rPr>
      </w:pPr>
      <w:r>
        <w:rPr>
          <w:rFonts w:hint="eastAsia"/>
          <w:b/>
          <w:bCs/>
          <w:shd w:val="clear" w:color="auto" w:fill="FFFFFF"/>
        </w:rPr>
        <w:t>1.中标人确定</w:t>
      </w:r>
    </w:p>
    <w:p w14:paraId="295CB356">
      <w:pPr>
        <w:spacing w:line="360" w:lineRule="auto"/>
        <w:ind w:firstLine="480" w:firstLineChars="200"/>
        <w:rPr>
          <w:shd w:val="clear" w:color="auto" w:fill="FFFFFF"/>
        </w:rPr>
      </w:pPr>
      <w:r>
        <w:rPr>
          <w:rFonts w:hint="eastAsia"/>
          <w:shd w:val="clear" w:color="auto" w:fill="FFFFFF"/>
        </w:rPr>
        <w:t>1.1 中标人确定。中标结果公示期满无异议的，招标人确认票数排名第一的中标候选人为中标人，中标人的投标报价即为中标价。</w:t>
      </w:r>
    </w:p>
    <w:p w14:paraId="6458BF82">
      <w:pPr>
        <w:spacing w:line="360" w:lineRule="auto"/>
        <w:ind w:firstLine="480" w:firstLineChars="200"/>
        <w:rPr>
          <w:shd w:val="clear" w:color="auto" w:fill="FFFFFF"/>
        </w:rPr>
      </w:pPr>
      <w:r>
        <w:rPr>
          <w:rFonts w:hint="eastAsia"/>
          <w:shd w:val="clear" w:color="auto" w:fill="FFFFFF"/>
        </w:rPr>
        <w:t>1.2 中标人确定后，招标人应当于7日内在线完成加盖招标人单位电子签章的中标通知书并发放至中标人及各相关单位。招标人最迟应当在投标有效期届满30日前发出中标通知书，否则，应当按照本投标人须知</w:t>
      </w:r>
      <w:r>
        <w:rPr>
          <w:rFonts w:hint="eastAsia"/>
          <w:shd w:val="clear" w:color="auto" w:fill="FFFFFF"/>
          <w:lang w:eastAsia="zh-CN"/>
        </w:rPr>
        <w:t>中关于投标</w:t>
      </w:r>
      <w:r>
        <w:rPr>
          <w:rFonts w:hint="eastAsia"/>
          <w:shd w:val="clear" w:color="auto" w:fill="FFFFFF"/>
        </w:rPr>
        <w:t>有效期的规定延长投标有效期。</w:t>
      </w:r>
      <w:r>
        <w:rPr>
          <w:rFonts w:hint="eastAsia"/>
          <w:snapToGrid w:val="0"/>
        </w:rPr>
        <w:t>在中标通知书发出后5个工作日内，韶关市公共资源交易中心将投标保证金退还给</w:t>
      </w:r>
      <w:r>
        <w:rPr>
          <w:rFonts w:hint="eastAsia"/>
          <w:snapToGrid w:val="0"/>
          <w:color w:val="auto"/>
        </w:rPr>
        <w:t>中标</w:t>
      </w:r>
      <w:r>
        <w:rPr>
          <w:rFonts w:hint="eastAsia"/>
          <w:snapToGrid w:val="0"/>
          <w:color w:val="auto"/>
          <w:lang w:eastAsia="zh-CN"/>
        </w:rPr>
        <w:t>人</w:t>
      </w:r>
      <w:r>
        <w:rPr>
          <w:rFonts w:hint="eastAsia"/>
          <w:snapToGrid w:val="0"/>
        </w:rPr>
        <w:t>以外的投标人。</w:t>
      </w:r>
    </w:p>
    <w:p w14:paraId="3BB7D331">
      <w:pPr>
        <w:spacing w:line="360" w:lineRule="auto"/>
        <w:ind w:firstLine="480" w:firstLineChars="200"/>
        <w:rPr>
          <w:shd w:val="clear" w:color="auto" w:fill="FFFFFF"/>
        </w:rPr>
      </w:pPr>
      <w:r>
        <w:rPr>
          <w:rFonts w:hint="eastAsia"/>
          <w:shd w:val="clear" w:color="auto" w:fill="FFFFFF"/>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162DC709">
      <w:pPr>
        <w:spacing w:line="360" w:lineRule="auto"/>
        <w:ind w:firstLine="482" w:firstLineChars="200"/>
        <w:rPr>
          <w:b/>
        </w:rPr>
      </w:pPr>
      <w:r>
        <w:rPr>
          <w:rFonts w:hint="eastAsia"/>
          <w:b/>
          <w:bCs/>
        </w:rPr>
        <w:t>2.异议和投诉</w:t>
      </w:r>
    </w:p>
    <w:p w14:paraId="75395BA3">
      <w:pPr>
        <w:spacing w:line="360" w:lineRule="auto"/>
        <w:ind w:firstLine="480" w:firstLineChars="200"/>
        <w:rPr>
          <w:shd w:val="clear" w:color="auto" w:fill="FFFFFF"/>
        </w:rPr>
      </w:pPr>
      <w:r>
        <w:rPr>
          <w:rFonts w:hint="eastAsia"/>
          <w:shd w:val="clear" w:color="auto" w:fill="FFFFFF"/>
        </w:rPr>
        <w:t>2.1 投标人或者其他利害关系人对招标项目的评标和中标结果有异议的，应当在定标候选人和中标候选人公示期间按规定</w:t>
      </w:r>
      <w:r>
        <w:rPr>
          <w:rFonts w:hint="eastAsia"/>
          <w:shd w:val="clear" w:color="auto" w:fill="FFFFFF"/>
          <w:lang w:eastAsia="zh-CN"/>
        </w:rPr>
        <w:t>在线</w:t>
      </w:r>
      <w:r>
        <w:rPr>
          <w:rFonts w:hint="eastAsia"/>
          <w:shd w:val="clear" w:color="auto" w:fill="FFFFFF"/>
        </w:rPr>
        <w:t>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347D8556">
      <w:pPr>
        <w:spacing w:line="360" w:lineRule="auto"/>
        <w:ind w:firstLine="480" w:firstLineChars="200"/>
        <w:rPr>
          <w:shd w:val="clear" w:color="auto" w:fill="FFFFFF"/>
        </w:rPr>
      </w:pPr>
      <w:r>
        <w:rPr>
          <w:rFonts w:hint="eastAsia"/>
          <w:shd w:val="clear" w:color="auto" w:fill="FFFFFF"/>
        </w:rPr>
        <w:t>2.2</w:t>
      </w:r>
      <w:r>
        <w:rPr>
          <w:rFonts w:hint="eastAsia"/>
          <w:shd w:val="clear" w:color="auto" w:fill="FFFFFF"/>
          <w:lang w:eastAsia="zh-CN"/>
        </w:rPr>
        <w:t xml:space="preserve"> 在</w:t>
      </w:r>
      <w:r>
        <w:rPr>
          <w:rFonts w:hint="eastAsia"/>
          <w:shd w:val="clear" w:color="auto" w:fill="FFFFFF"/>
        </w:rPr>
        <w:t>定标候选人和中标候选人公示期间有关评标结果的异议成立的，招标人原则上应当组织原评标委员会和原定标委员会对有关的问题予以纠正，问题纠正后再公示定标候选人和中标候选人。</w:t>
      </w:r>
    </w:p>
    <w:p w14:paraId="4E70F727">
      <w:pPr>
        <w:spacing w:line="360" w:lineRule="auto"/>
        <w:ind w:firstLine="480" w:firstLineChars="200"/>
        <w:rPr>
          <w:shd w:val="clear" w:color="auto" w:fill="FFFFFF"/>
        </w:rPr>
      </w:pPr>
      <w:r>
        <w:rPr>
          <w:rFonts w:hint="eastAsia"/>
          <w:shd w:val="clear" w:color="auto" w:fill="FFFFFF"/>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5EC674DF">
      <w:pPr>
        <w:pStyle w:val="27"/>
        <w:widowControl w:val="0"/>
        <w:spacing w:before="0" w:after="0" w:line="360" w:lineRule="auto"/>
        <w:ind w:firstLine="482" w:firstLineChars="200"/>
        <w:jc w:val="both"/>
        <w:rPr>
          <w:b/>
          <w:bCs/>
          <w:i/>
          <w:color w:val="auto"/>
        </w:rPr>
      </w:pPr>
      <w:r>
        <w:rPr>
          <w:rStyle w:val="36"/>
          <w:rFonts w:hint="eastAsia"/>
          <w:b/>
          <w:bCs/>
          <w:color w:val="auto"/>
        </w:rPr>
        <w:t>3.废除授标及授标</w:t>
      </w:r>
    </w:p>
    <w:p w14:paraId="7E7E89D1">
      <w:pPr>
        <w:spacing w:line="360" w:lineRule="auto"/>
        <w:ind w:firstLine="480" w:firstLineChars="200"/>
        <w:rPr>
          <w:shd w:val="clear" w:color="auto" w:fill="FFFFFF"/>
        </w:rPr>
      </w:pPr>
      <w:r>
        <w:rPr>
          <w:rFonts w:hint="eastAsia"/>
          <w:shd w:val="clear" w:color="auto" w:fill="FFFFFF"/>
        </w:rPr>
        <w:t>3.1</w:t>
      </w:r>
      <w:r>
        <w:rPr>
          <w:rFonts w:hint="eastAsia"/>
          <w:shd w:val="clear" w:color="auto" w:fill="FFFFFF"/>
          <w:lang w:eastAsia="zh-CN"/>
        </w:rPr>
        <w:t xml:space="preserve"> 定标</w:t>
      </w:r>
      <w:r>
        <w:rPr>
          <w:rFonts w:hint="eastAsia"/>
          <w:shd w:val="clear" w:color="auto" w:fill="FFFFFF"/>
        </w:rPr>
        <w:t>完成后，中标候选人有下列情形之一的，招标人应按规定取消中标候选人资格或废除授标：</w:t>
      </w:r>
    </w:p>
    <w:p w14:paraId="577A0BF6">
      <w:pPr>
        <w:spacing w:line="360" w:lineRule="auto"/>
        <w:ind w:firstLine="480" w:firstLineChars="200"/>
        <w:rPr>
          <w:shd w:val="clear" w:color="auto" w:fill="FFFFFF"/>
        </w:rPr>
      </w:pPr>
      <w:r>
        <w:rPr>
          <w:rFonts w:hint="eastAsia"/>
          <w:shd w:val="clear" w:color="auto" w:fill="FFFFFF"/>
        </w:rPr>
        <w:t>（1）以他人名义投标或者以其他方式弄虚作假骗取中标的；</w:t>
      </w:r>
    </w:p>
    <w:p w14:paraId="0029D1EF">
      <w:pPr>
        <w:spacing w:line="360" w:lineRule="auto"/>
        <w:ind w:firstLine="480" w:firstLineChars="200"/>
        <w:rPr>
          <w:shd w:val="clear" w:color="auto" w:fill="FFFFFF"/>
        </w:rPr>
      </w:pPr>
      <w:r>
        <w:rPr>
          <w:rFonts w:hint="eastAsia"/>
          <w:shd w:val="clear" w:color="auto" w:fill="FFFFFF"/>
        </w:rPr>
        <w:t>（2）与其他投标人串通投标或以行贿的手段谋取中标的；</w:t>
      </w:r>
    </w:p>
    <w:p w14:paraId="5F677113">
      <w:pPr>
        <w:spacing w:line="360" w:lineRule="auto"/>
        <w:ind w:firstLine="480" w:firstLineChars="200"/>
        <w:rPr>
          <w:shd w:val="clear" w:color="auto" w:fill="FFFFFF"/>
        </w:rPr>
      </w:pPr>
      <w:r>
        <w:rPr>
          <w:rFonts w:hint="eastAsia"/>
          <w:shd w:val="clear" w:color="auto" w:fill="FFFFFF"/>
        </w:rPr>
        <w:t>（3）不是从本投标企业基本账户提交投标担保或以虚假方式提交投标保证金保函（保单）的；</w:t>
      </w:r>
    </w:p>
    <w:p w14:paraId="1E69C909">
      <w:pPr>
        <w:spacing w:line="360" w:lineRule="auto"/>
        <w:ind w:firstLine="480" w:firstLineChars="200"/>
        <w:rPr>
          <w:shd w:val="clear" w:color="auto" w:fill="FFFFFF"/>
        </w:rPr>
      </w:pPr>
      <w:r>
        <w:rPr>
          <w:rFonts w:hint="eastAsia"/>
          <w:shd w:val="clear" w:color="auto" w:fill="FFFFFF"/>
        </w:rPr>
        <w:t>（4）中标人于投标有效期终止之前撤回投标文件，或者排名第一的中标候选人放弃中标资格的；</w:t>
      </w:r>
    </w:p>
    <w:p w14:paraId="5B522C0B">
      <w:pPr>
        <w:spacing w:line="360" w:lineRule="auto"/>
        <w:ind w:firstLine="480" w:firstLineChars="200"/>
        <w:rPr>
          <w:highlight w:val="yellow"/>
          <w:shd w:val="clear" w:color="auto" w:fill="FFFFFF"/>
        </w:rPr>
      </w:pPr>
      <w:r>
        <w:rPr>
          <w:rFonts w:hint="eastAsia"/>
          <w:highlight w:val="none"/>
          <w:shd w:val="clear" w:color="auto" w:fill="FFFFFF"/>
        </w:rPr>
        <w:t>（5）因中标人过错而未能按照规定与招标人签订设计合同或中标人因不可抗力提出不能履行合同的；</w:t>
      </w:r>
    </w:p>
    <w:p w14:paraId="7A7090A9">
      <w:pPr>
        <w:spacing w:line="360" w:lineRule="auto"/>
        <w:ind w:firstLine="480" w:firstLineChars="200"/>
        <w:rPr>
          <w:shd w:val="clear" w:color="auto" w:fill="FFFFFF"/>
        </w:rPr>
      </w:pPr>
      <w:r>
        <w:rPr>
          <w:rFonts w:hint="eastAsia"/>
          <w:shd w:val="clear" w:color="auto" w:fill="FFFFFF"/>
        </w:rPr>
        <w:t>（6）因中标人过错而未能按照招标文件要求向招标人提交履约担保的；</w:t>
      </w:r>
    </w:p>
    <w:p w14:paraId="4B6AAE76">
      <w:pPr>
        <w:spacing w:line="360" w:lineRule="auto"/>
        <w:ind w:firstLine="480" w:firstLineChars="200"/>
        <w:rPr>
          <w:shd w:val="clear" w:color="auto" w:fill="FFFFFF"/>
        </w:rPr>
      </w:pPr>
      <w:r>
        <w:rPr>
          <w:rFonts w:hint="eastAsia"/>
          <w:shd w:val="clear" w:color="auto" w:fill="FFFFFF"/>
        </w:rPr>
        <w:t>（7）中标人被有关部门查实存在影响中标结果的违法行为，不符合中标条件的；</w:t>
      </w:r>
    </w:p>
    <w:p w14:paraId="56B3C380">
      <w:pPr>
        <w:spacing w:line="360" w:lineRule="auto"/>
        <w:ind w:firstLine="480" w:firstLineChars="200"/>
        <w:rPr>
          <w:shd w:val="clear" w:color="auto" w:fill="FFFFFF"/>
        </w:rPr>
      </w:pPr>
      <w:r>
        <w:rPr>
          <w:rFonts w:hint="eastAsia"/>
          <w:shd w:val="clear" w:color="auto" w:fill="FFFFFF"/>
        </w:rPr>
        <w:t>（8）中标人在参加本项目投标时有本企业投标承诺书所列被依法限制或暂停承揽业务或停业的处罚的；</w:t>
      </w:r>
    </w:p>
    <w:p w14:paraId="495FEF26">
      <w:pPr>
        <w:spacing w:line="360" w:lineRule="auto"/>
        <w:ind w:firstLine="480" w:firstLineChars="200"/>
        <w:rPr>
          <w:shd w:val="clear" w:color="auto" w:fill="FFFFFF"/>
        </w:rPr>
      </w:pPr>
      <w:r>
        <w:rPr>
          <w:rFonts w:hint="eastAsia"/>
          <w:shd w:val="clear" w:color="auto" w:fill="FFFFFF"/>
        </w:rPr>
        <w:t>（9）招标文件明确规定可以废除授标的其他情形。</w:t>
      </w:r>
    </w:p>
    <w:p w14:paraId="006662FE">
      <w:pPr>
        <w:spacing w:line="360" w:lineRule="auto"/>
        <w:ind w:firstLine="480" w:firstLineChars="200"/>
        <w:rPr>
          <w:shd w:val="clear" w:color="auto" w:fill="FFFFFF"/>
        </w:rPr>
      </w:pPr>
      <w:r>
        <w:rPr>
          <w:rFonts w:hint="eastAsia"/>
          <w:shd w:val="clear" w:color="auto" w:fill="FFFFFF"/>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72F06A1C">
      <w:pPr>
        <w:spacing w:line="360" w:lineRule="auto"/>
        <w:ind w:firstLine="480" w:firstLineChars="200"/>
        <w:rPr>
          <w:shd w:val="clear" w:color="auto" w:fill="FFFFFF"/>
        </w:rPr>
      </w:pPr>
      <w:r>
        <w:rPr>
          <w:rFonts w:hint="eastAsia"/>
          <w:shd w:val="clear" w:color="auto" w:fill="FFFFFF"/>
        </w:rPr>
        <w:t>3.3 招标人有下列情形之一的，应依法承担相应的责任：</w:t>
      </w:r>
    </w:p>
    <w:p w14:paraId="0C23AB17">
      <w:pPr>
        <w:spacing w:line="360" w:lineRule="auto"/>
        <w:ind w:firstLine="480" w:firstLineChars="200"/>
        <w:rPr>
          <w:shd w:val="clear" w:color="auto" w:fill="FFFFFF"/>
        </w:rPr>
      </w:pPr>
      <w:r>
        <w:rPr>
          <w:rFonts w:hint="eastAsia"/>
          <w:shd w:val="clear" w:color="auto" w:fill="FFFFFF"/>
        </w:rPr>
        <w:t>（1）无正当理由不发出中标通知书的；</w:t>
      </w:r>
    </w:p>
    <w:p w14:paraId="4F6736E5">
      <w:pPr>
        <w:spacing w:line="360" w:lineRule="auto"/>
        <w:ind w:firstLine="480" w:firstLineChars="200"/>
        <w:rPr>
          <w:shd w:val="clear" w:color="auto" w:fill="FFFFFF"/>
        </w:rPr>
      </w:pPr>
      <w:r>
        <w:rPr>
          <w:rFonts w:hint="eastAsia"/>
          <w:shd w:val="clear" w:color="auto" w:fill="FFFFFF"/>
        </w:rPr>
        <w:t>（2）招标人不按照规定确定中标人的；</w:t>
      </w:r>
    </w:p>
    <w:p w14:paraId="45B1C91B">
      <w:pPr>
        <w:spacing w:line="360" w:lineRule="auto"/>
        <w:ind w:firstLine="480" w:firstLineChars="200"/>
        <w:rPr>
          <w:shd w:val="clear" w:color="auto" w:fill="FFFFFF"/>
        </w:rPr>
      </w:pPr>
      <w:r>
        <w:rPr>
          <w:rFonts w:hint="eastAsia"/>
          <w:shd w:val="clear" w:color="auto" w:fill="FFFFFF"/>
        </w:rPr>
        <w:t>（3）中标通知书发出后无正当理由改变中标结果的；</w:t>
      </w:r>
    </w:p>
    <w:p w14:paraId="507CE973">
      <w:pPr>
        <w:spacing w:line="360" w:lineRule="auto"/>
        <w:ind w:firstLine="480" w:firstLineChars="200"/>
        <w:rPr>
          <w:highlight w:val="none"/>
          <w:shd w:val="clear" w:color="auto" w:fill="FFFFFF"/>
        </w:rPr>
      </w:pPr>
      <w:r>
        <w:rPr>
          <w:rFonts w:hint="eastAsia"/>
          <w:highlight w:val="none"/>
          <w:shd w:val="clear" w:color="auto" w:fill="FFFFFF"/>
        </w:rPr>
        <w:t>（4）无正当理由不与中标人签订设计合同的</w:t>
      </w:r>
      <w:r>
        <w:rPr>
          <w:rFonts w:hint="eastAsia"/>
          <w:highlight w:val="none"/>
          <w:shd w:val="clear" w:color="auto" w:fill="FFFFFF"/>
          <w:lang w:eastAsia="zh-CN"/>
        </w:rPr>
        <w:t>。</w:t>
      </w:r>
    </w:p>
    <w:p w14:paraId="6314B60B">
      <w:pPr>
        <w:spacing w:before="120" w:after="120" w:line="400" w:lineRule="exact"/>
        <w:jc w:val="center"/>
        <w:outlineLvl w:val="0"/>
        <w:rPr>
          <w:rStyle w:val="39"/>
          <w:b/>
          <w:bCs/>
          <w:sz w:val="24"/>
        </w:rPr>
      </w:pPr>
      <w:r>
        <w:rPr>
          <w:rStyle w:val="39"/>
          <w:rFonts w:hint="eastAsia"/>
          <w:b/>
          <w:bCs/>
          <w:sz w:val="24"/>
        </w:rPr>
        <w:br w:type="page"/>
      </w:r>
      <w:bookmarkStart w:id="244" w:name="_Toc5463"/>
      <w:bookmarkStart w:id="245" w:name="_Toc9797"/>
      <w:bookmarkStart w:id="246" w:name="_Toc3987"/>
      <w:bookmarkStart w:id="247" w:name="_Toc15434"/>
      <w:r>
        <w:rPr>
          <w:rStyle w:val="39"/>
          <w:rFonts w:hint="eastAsia"/>
          <w:b/>
          <w:bCs/>
          <w:sz w:val="24"/>
        </w:rPr>
        <w:t>第二章</w:t>
      </w:r>
      <w:bookmarkStart w:id="248" w:name="_Hlt87793831"/>
      <w:bookmarkEnd w:id="248"/>
      <w:r>
        <w:rPr>
          <w:rStyle w:val="39"/>
          <w:rFonts w:hint="eastAsia"/>
          <w:b/>
          <w:bCs/>
          <w:sz w:val="24"/>
        </w:rPr>
        <w:t xml:space="preserve"> </w:t>
      </w:r>
      <w:bookmarkEnd w:id="221"/>
      <w:r>
        <w:rPr>
          <w:rStyle w:val="39"/>
          <w:rFonts w:hint="eastAsia"/>
          <w:b/>
          <w:bCs/>
          <w:sz w:val="24"/>
        </w:rPr>
        <w:t>拟签订合同的主要条款</w:t>
      </w:r>
      <w:bookmarkEnd w:id="244"/>
      <w:bookmarkEnd w:id="245"/>
    </w:p>
    <w:bookmarkEnd w:id="222"/>
    <w:bookmarkEnd w:id="223"/>
    <w:bookmarkEnd w:id="246"/>
    <w:bookmarkEnd w:id="247"/>
    <w:p w14:paraId="2C98B8F6">
      <w:pPr>
        <w:spacing w:line="360" w:lineRule="auto"/>
        <w:outlineLvl w:val="1"/>
        <w:rPr>
          <w:b/>
        </w:rPr>
      </w:pPr>
      <w:bookmarkStart w:id="249" w:name="_Toc353462211"/>
      <w:bookmarkStart w:id="250" w:name="_Toc353462320"/>
      <w:bookmarkStart w:id="251" w:name="_Toc371968727"/>
      <w:bookmarkStart w:id="252" w:name="_Toc25729"/>
      <w:bookmarkStart w:id="253" w:name="_Toc143765509"/>
      <w:bookmarkStart w:id="254" w:name="_Toc27580"/>
      <w:bookmarkStart w:id="255" w:name="_Toc18268"/>
      <w:bookmarkStart w:id="256" w:name="_Toc143766475"/>
      <w:bookmarkStart w:id="257" w:name="_Toc24616749"/>
      <w:bookmarkStart w:id="258" w:name="_Toc21399"/>
      <w:bookmarkStart w:id="259" w:name="_Toc26730"/>
      <w:bookmarkStart w:id="260" w:name="_Hlt69698722"/>
      <w:bookmarkStart w:id="261" w:name="_Hlt69698769"/>
      <w:bookmarkStart w:id="262" w:name="_Hlt69698741"/>
      <w:r>
        <w:rPr>
          <w:rFonts w:hint="eastAsia"/>
          <w:b/>
          <w:kern w:val="2"/>
          <w:lang w:eastAsia="zh-CN"/>
        </w:rPr>
        <w:t>1.</w:t>
      </w:r>
      <w:r>
        <w:rPr>
          <w:rFonts w:hint="eastAsia"/>
          <w:b/>
          <w:kern w:val="2"/>
        </w:rPr>
        <w:t>承包方式</w:t>
      </w:r>
      <w:bookmarkEnd w:id="249"/>
      <w:bookmarkEnd w:id="250"/>
      <w:bookmarkEnd w:id="251"/>
      <w:bookmarkEnd w:id="252"/>
      <w:bookmarkEnd w:id="253"/>
      <w:bookmarkEnd w:id="254"/>
      <w:bookmarkEnd w:id="255"/>
      <w:bookmarkEnd w:id="256"/>
      <w:bookmarkEnd w:id="257"/>
      <w:bookmarkEnd w:id="258"/>
    </w:p>
    <w:p w14:paraId="79FC7D98">
      <w:pPr>
        <w:snapToGrid w:val="0"/>
        <w:spacing w:line="360" w:lineRule="auto"/>
        <w:ind w:firstLine="480" w:firstLineChars="200"/>
      </w:pPr>
      <w:r>
        <w:rPr>
          <w:rFonts w:hint="eastAsia"/>
        </w:rPr>
        <w:t>中标人以中标价按合同约定</w:t>
      </w:r>
      <w:r>
        <w:rPr>
          <w:rFonts w:hint="eastAsia"/>
          <w:lang w:eastAsia="zh-CN"/>
        </w:rPr>
        <w:t>、</w:t>
      </w:r>
      <w:r>
        <w:rPr>
          <w:rFonts w:hint="eastAsia"/>
        </w:rPr>
        <w:t>招标文件内容要求</w:t>
      </w:r>
      <w:r>
        <w:rPr>
          <w:rFonts w:hint="eastAsia"/>
          <w:lang w:eastAsia="zh-CN"/>
        </w:rPr>
        <w:t>、</w:t>
      </w:r>
      <w:r>
        <w:rPr>
          <w:rFonts w:hint="eastAsia"/>
        </w:rPr>
        <w:t>法律法规及国家强制性标准要求，提供完整的最新初步方案设计文件和建设期的服务内容</w:t>
      </w:r>
      <w:r>
        <w:rPr>
          <w:rFonts w:hint="eastAsia"/>
          <w:lang w:eastAsia="zh-CN"/>
        </w:rPr>
        <w:t>。</w:t>
      </w:r>
      <w:r>
        <w:rPr>
          <w:rFonts w:hint="eastAsia"/>
        </w:rPr>
        <w:t>未经甲方允许</w:t>
      </w:r>
      <w:r>
        <w:rPr>
          <w:rFonts w:hint="eastAsia"/>
          <w:lang w:eastAsia="zh-CN"/>
        </w:rPr>
        <w:t>，不得</w:t>
      </w:r>
      <w:r>
        <w:rPr>
          <w:rFonts w:hint="eastAsia"/>
        </w:rPr>
        <w:t>私自转包，双方约束内容以实际签订合同为准。</w:t>
      </w:r>
    </w:p>
    <w:p w14:paraId="666B3451">
      <w:pPr>
        <w:pStyle w:val="3"/>
        <w:spacing w:line="360" w:lineRule="auto"/>
        <w:jc w:val="both"/>
        <w:rPr>
          <w:rFonts w:ascii="宋体" w:hAnsi="宋体"/>
          <w:sz w:val="24"/>
        </w:rPr>
      </w:pPr>
      <w:bookmarkStart w:id="263" w:name="_Toc371968728"/>
      <w:bookmarkStart w:id="264" w:name="_Toc353462212"/>
      <w:bookmarkStart w:id="265" w:name="_Toc353462321"/>
      <w:bookmarkStart w:id="266" w:name="_Toc143766476"/>
      <w:bookmarkStart w:id="267" w:name="_Toc143765510"/>
      <w:bookmarkStart w:id="268" w:name="_Toc12037"/>
      <w:bookmarkStart w:id="269" w:name="_Hlt87951777"/>
      <w:bookmarkStart w:id="270" w:name="_Toc15760"/>
      <w:bookmarkStart w:id="271" w:name="_Toc14534"/>
      <w:bookmarkStart w:id="272" w:name="_Toc2890"/>
      <w:bookmarkStart w:id="273" w:name="_Toc18577"/>
      <w:bookmarkStart w:id="274" w:name="_Toc19364"/>
      <w:bookmarkStart w:id="275" w:name="_Toc24616750"/>
      <w:r>
        <w:rPr>
          <w:rFonts w:hint="eastAsia" w:ascii="宋体" w:hAnsi="宋体"/>
          <w:b/>
          <w:kern w:val="2"/>
          <w:sz w:val="24"/>
          <w:lang w:eastAsia="zh-CN"/>
        </w:rPr>
        <w:t>2.</w:t>
      </w:r>
      <w:r>
        <w:rPr>
          <w:rFonts w:hint="eastAsia" w:ascii="宋体" w:hAnsi="宋体"/>
          <w:b/>
          <w:kern w:val="2"/>
          <w:sz w:val="24"/>
        </w:rPr>
        <w:t>合同价款支付办法</w:t>
      </w:r>
      <w:bookmarkEnd w:id="263"/>
      <w:bookmarkEnd w:id="264"/>
      <w:bookmarkEnd w:id="265"/>
      <w:bookmarkEnd w:id="266"/>
      <w:bookmarkEnd w:id="267"/>
      <w:r>
        <w:rPr>
          <w:rFonts w:hint="eastAsia" w:ascii="宋体" w:hAnsi="宋体"/>
          <w:b/>
          <w:kern w:val="2"/>
          <w:sz w:val="24"/>
        </w:rPr>
        <w:t>及结算原则</w:t>
      </w:r>
      <w:bookmarkEnd w:id="268"/>
      <w:bookmarkEnd w:id="269"/>
      <w:bookmarkEnd w:id="270"/>
      <w:bookmarkEnd w:id="271"/>
      <w:bookmarkEnd w:id="272"/>
      <w:bookmarkEnd w:id="273"/>
      <w:bookmarkEnd w:id="274"/>
      <w:bookmarkEnd w:id="275"/>
    </w:p>
    <w:p w14:paraId="39C2EA42">
      <w:pPr>
        <w:spacing w:line="360" w:lineRule="auto"/>
        <w:ind w:firstLine="240" w:firstLineChars="100"/>
      </w:pPr>
      <w:bookmarkStart w:id="276" w:name="_Toc27909"/>
      <w:r>
        <w:rPr>
          <w:rFonts w:hint="eastAsia"/>
        </w:rPr>
        <w:t>2.1 本合同工程按中标人的投标报价，中标价即为合同价。</w:t>
      </w:r>
      <w:bookmarkEnd w:id="276"/>
    </w:p>
    <w:p w14:paraId="05A1AFDC">
      <w:pPr>
        <w:snapToGrid w:val="0"/>
        <w:spacing w:line="360" w:lineRule="auto"/>
        <w:ind w:firstLine="482" w:firstLineChars="200"/>
        <w:rPr>
          <w:b/>
          <w:bCs/>
        </w:rPr>
      </w:pPr>
      <w:r>
        <w:rPr>
          <w:rFonts w:hint="eastAsia"/>
          <w:b/>
          <w:bCs/>
        </w:rPr>
        <w:t>2.2 合同价款支付方式</w:t>
      </w:r>
    </w:p>
    <w:p w14:paraId="40E1EF38">
      <w:pPr>
        <w:spacing w:before="120" w:beforeLines="50" w:line="360" w:lineRule="auto"/>
        <w:ind w:firstLine="482" w:firstLineChars="200"/>
        <w:rPr>
          <w:rFonts w:hint="eastAsia"/>
          <w:b/>
          <w:bCs/>
          <w:highlight w:val="none"/>
        </w:rPr>
      </w:pPr>
      <w:r>
        <w:rPr>
          <w:rFonts w:hint="eastAsia"/>
          <w:b/>
          <w:bCs/>
          <w:highlight w:val="none"/>
        </w:rPr>
        <w:t>2.2.1设计费的支付：</w:t>
      </w:r>
    </w:p>
    <w:p w14:paraId="26E44225">
      <w:pPr>
        <w:spacing w:before="120" w:beforeLines="50" w:line="360" w:lineRule="auto"/>
        <w:ind w:firstLine="482" w:firstLineChars="200"/>
        <w:rPr>
          <w:b/>
          <w:bCs/>
          <w:color w:val="auto"/>
          <w:highlight w:val="none"/>
        </w:rPr>
      </w:pPr>
      <w:r>
        <w:rPr>
          <w:rFonts w:hint="eastAsia"/>
          <w:b/>
          <w:bCs/>
          <w:color w:val="auto"/>
          <w:highlight w:val="none"/>
          <w:lang w:val="en-US" w:eastAsia="zh-CN"/>
        </w:rPr>
        <w:t>2.2.1.1 百年东街改造升级（一期）设计费支付：</w:t>
      </w:r>
    </w:p>
    <w:tbl>
      <w:tblPr>
        <w:tblStyle w:val="31"/>
        <w:tblW w:w="9062" w:type="dxa"/>
        <w:tblInd w:w="118" w:type="dxa"/>
        <w:tblLayout w:type="autofit"/>
        <w:tblCellMar>
          <w:top w:w="0" w:type="dxa"/>
          <w:left w:w="108" w:type="dxa"/>
          <w:bottom w:w="0" w:type="dxa"/>
          <w:right w:w="108" w:type="dxa"/>
        </w:tblCellMar>
      </w:tblPr>
      <w:tblGrid>
        <w:gridCol w:w="1800"/>
        <w:gridCol w:w="1800"/>
        <w:gridCol w:w="1635"/>
        <w:gridCol w:w="3827"/>
      </w:tblGrid>
      <w:tr w14:paraId="6FC9B2C1">
        <w:tblPrEx>
          <w:tblCellMar>
            <w:top w:w="0" w:type="dxa"/>
            <w:left w:w="108" w:type="dxa"/>
            <w:bottom w:w="0" w:type="dxa"/>
            <w:right w:w="108" w:type="dxa"/>
          </w:tblCellMar>
        </w:tblPrEx>
        <w:trPr>
          <w:trHeight w:val="660" w:hRule="atLeast"/>
        </w:trPr>
        <w:tc>
          <w:tcPr>
            <w:tcW w:w="1800" w:type="dxa"/>
            <w:tcBorders>
              <w:top w:val="single" w:color="auto" w:sz="8" w:space="0"/>
              <w:left w:val="single" w:color="auto" w:sz="8" w:space="0"/>
              <w:bottom w:val="single" w:color="auto" w:sz="8" w:space="0"/>
              <w:right w:val="single" w:color="auto" w:sz="8" w:space="0"/>
            </w:tcBorders>
            <w:shd w:val="clear" w:color="auto" w:fill="auto"/>
            <w:vAlign w:val="center"/>
          </w:tcPr>
          <w:p w14:paraId="1DCA5A43">
            <w:pPr>
              <w:jc w:val="center"/>
              <w:rPr>
                <w:color w:val="auto"/>
              </w:rPr>
            </w:pPr>
            <w:r>
              <w:rPr>
                <w:rFonts w:hint="eastAsia"/>
                <w:color w:val="auto"/>
              </w:rPr>
              <w:t>阶段</w:t>
            </w:r>
          </w:p>
        </w:tc>
        <w:tc>
          <w:tcPr>
            <w:tcW w:w="1800" w:type="dxa"/>
            <w:tcBorders>
              <w:top w:val="single" w:color="auto" w:sz="8" w:space="0"/>
              <w:left w:val="nil"/>
              <w:bottom w:val="single" w:color="auto" w:sz="8" w:space="0"/>
              <w:right w:val="single" w:color="auto" w:sz="8" w:space="0"/>
            </w:tcBorders>
            <w:shd w:val="clear" w:color="auto" w:fill="auto"/>
            <w:vAlign w:val="center"/>
          </w:tcPr>
          <w:p w14:paraId="76F5877D">
            <w:pPr>
              <w:jc w:val="center"/>
              <w:rPr>
                <w:color w:val="auto"/>
              </w:rPr>
            </w:pPr>
            <w:r>
              <w:rPr>
                <w:rFonts w:hint="eastAsia"/>
                <w:color w:val="auto"/>
              </w:rPr>
              <w:t>占该区域总设计费比例</w:t>
            </w:r>
          </w:p>
        </w:tc>
        <w:tc>
          <w:tcPr>
            <w:tcW w:w="1635" w:type="dxa"/>
            <w:tcBorders>
              <w:top w:val="single" w:color="auto" w:sz="8" w:space="0"/>
              <w:left w:val="nil"/>
              <w:bottom w:val="single" w:color="auto" w:sz="8" w:space="0"/>
              <w:right w:val="single" w:color="auto" w:sz="8" w:space="0"/>
            </w:tcBorders>
            <w:shd w:val="clear" w:color="auto" w:fill="auto"/>
            <w:vAlign w:val="center"/>
          </w:tcPr>
          <w:p w14:paraId="445BCDBB">
            <w:pPr>
              <w:jc w:val="center"/>
              <w:rPr>
                <w:color w:val="auto"/>
              </w:rPr>
            </w:pPr>
            <w:r>
              <w:rPr>
                <w:rFonts w:hint="eastAsia"/>
                <w:color w:val="auto"/>
              </w:rPr>
              <w:t>设计费（元）</w:t>
            </w:r>
          </w:p>
        </w:tc>
        <w:tc>
          <w:tcPr>
            <w:tcW w:w="3827" w:type="dxa"/>
            <w:tcBorders>
              <w:top w:val="single" w:color="auto" w:sz="8" w:space="0"/>
              <w:left w:val="nil"/>
              <w:bottom w:val="single" w:color="auto" w:sz="8" w:space="0"/>
              <w:right w:val="single" w:color="auto" w:sz="8" w:space="0"/>
            </w:tcBorders>
            <w:shd w:val="clear" w:color="auto" w:fill="auto"/>
            <w:vAlign w:val="center"/>
          </w:tcPr>
          <w:p w14:paraId="10F05A6D">
            <w:pPr>
              <w:jc w:val="center"/>
              <w:rPr>
                <w:color w:val="auto"/>
              </w:rPr>
            </w:pPr>
            <w:r>
              <w:rPr>
                <w:rFonts w:hint="eastAsia"/>
                <w:color w:val="auto"/>
              </w:rPr>
              <w:t>付款条件</w:t>
            </w:r>
          </w:p>
        </w:tc>
      </w:tr>
      <w:tr w14:paraId="195F672F">
        <w:tblPrEx>
          <w:tblCellMar>
            <w:top w:w="0" w:type="dxa"/>
            <w:left w:w="108" w:type="dxa"/>
            <w:bottom w:w="0" w:type="dxa"/>
            <w:right w:w="108" w:type="dxa"/>
          </w:tblCellMar>
        </w:tblPrEx>
        <w:trPr>
          <w:trHeight w:val="660" w:hRule="atLeast"/>
        </w:trPr>
        <w:tc>
          <w:tcPr>
            <w:tcW w:w="1800" w:type="dxa"/>
            <w:tcBorders>
              <w:top w:val="nil"/>
              <w:left w:val="single" w:color="auto" w:sz="8" w:space="0"/>
              <w:bottom w:val="single" w:color="auto" w:sz="8" w:space="0"/>
              <w:right w:val="single" w:color="auto" w:sz="8" w:space="0"/>
            </w:tcBorders>
            <w:shd w:val="clear" w:color="auto" w:fill="auto"/>
            <w:vAlign w:val="center"/>
          </w:tcPr>
          <w:p w14:paraId="27DB87EE">
            <w:pPr>
              <w:jc w:val="center"/>
              <w:rPr>
                <w:rFonts w:hint="eastAsia" w:eastAsia="宋体"/>
                <w:color w:val="auto"/>
                <w:lang w:eastAsia="zh-CN"/>
              </w:rPr>
            </w:pPr>
            <w:r>
              <w:rPr>
                <w:rFonts w:hint="eastAsia"/>
                <w:color w:val="auto"/>
                <w:lang w:val="en-US" w:eastAsia="zh-CN"/>
              </w:rPr>
              <w:t>预付款</w:t>
            </w:r>
          </w:p>
        </w:tc>
        <w:tc>
          <w:tcPr>
            <w:tcW w:w="1800" w:type="dxa"/>
            <w:tcBorders>
              <w:top w:val="nil"/>
              <w:left w:val="nil"/>
              <w:bottom w:val="single" w:color="auto" w:sz="8" w:space="0"/>
              <w:right w:val="single" w:color="auto" w:sz="8" w:space="0"/>
            </w:tcBorders>
            <w:shd w:val="clear" w:color="auto" w:fill="auto"/>
            <w:vAlign w:val="center"/>
          </w:tcPr>
          <w:p w14:paraId="2BFA8C01">
            <w:pPr>
              <w:jc w:val="center"/>
              <w:rPr>
                <w:color w:val="auto"/>
              </w:rPr>
            </w:pPr>
            <w:r>
              <w:rPr>
                <w:rFonts w:hint="eastAsia"/>
                <w:color w:val="auto"/>
              </w:rPr>
              <w:t>20%</w:t>
            </w:r>
          </w:p>
        </w:tc>
        <w:tc>
          <w:tcPr>
            <w:tcW w:w="1635" w:type="dxa"/>
            <w:tcBorders>
              <w:top w:val="nil"/>
              <w:left w:val="nil"/>
              <w:bottom w:val="single" w:color="auto" w:sz="8" w:space="0"/>
              <w:right w:val="single" w:color="auto" w:sz="8" w:space="0"/>
            </w:tcBorders>
            <w:shd w:val="clear" w:color="auto" w:fill="auto"/>
            <w:vAlign w:val="center"/>
          </w:tcPr>
          <w:p w14:paraId="45D9D456">
            <w:pPr>
              <w:jc w:val="center"/>
              <w:rPr>
                <w:color w:val="auto"/>
              </w:rPr>
            </w:pPr>
            <w:r>
              <w:rPr>
                <w:rFonts w:hint="eastAsia"/>
                <w:color w:val="auto"/>
              </w:rPr>
              <w:t>/</w:t>
            </w:r>
          </w:p>
        </w:tc>
        <w:tc>
          <w:tcPr>
            <w:tcW w:w="3827" w:type="dxa"/>
            <w:tcBorders>
              <w:top w:val="nil"/>
              <w:left w:val="nil"/>
              <w:bottom w:val="single" w:color="auto" w:sz="8" w:space="0"/>
              <w:right w:val="single" w:color="auto" w:sz="8" w:space="0"/>
            </w:tcBorders>
            <w:shd w:val="clear" w:color="auto" w:fill="auto"/>
            <w:vAlign w:val="center"/>
          </w:tcPr>
          <w:p w14:paraId="50B3B624">
            <w:pPr>
              <w:rPr>
                <w:color w:val="auto"/>
              </w:rPr>
            </w:pPr>
            <w:r>
              <w:rPr>
                <w:rFonts w:hint="eastAsia"/>
                <w:color w:val="auto"/>
              </w:rPr>
              <w:t>合同签订后，甲方在15 日内支付</w:t>
            </w:r>
            <w:r>
              <w:rPr>
                <w:rFonts w:hint="eastAsia"/>
                <w:color w:val="auto"/>
                <w:lang w:val="en-US" w:eastAsia="zh-CN"/>
              </w:rPr>
              <w:t>预付款</w:t>
            </w:r>
            <w:r>
              <w:rPr>
                <w:rFonts w:hint="eastAsia"/>
                <w:color w:val="auto"/>
              </w:rPr>
              <w:t>。</w:t>
            </w:r>
          </w:p>
        </w:tc>
      </w:tr>
      <w:tr w14:paraId="74555CBE">
        <w:tblPrEx>
          <w:tblCellMar>
            <w:top w:w="0" w:type="dxa"/>
            <w:left w:w="108" w:type="dxa"/>
            <w:bottom w:w="0" w:type="dxa"/>
            <w:right w:w="108" w:type="dxa"/>
          </w:tblCellMar>
        </w:tblPrEx>
        <w:trPr>
          <w:trHeight w:val="980" w:hRule="atLeast"/>
        </w:trPr>
        <w:tc>
          <w:tcPr>
            <w:tcW w:w="1800" w:type="dxa"/>
            <w:tcBorders>
              <w:top w:val="nil"/>
              <w:left w:val="single" w:color="auto" w:sz="8" w:space="0"/>
              <w:bottom w:val="single" w:color="auto" w:sz="8" w:space="0"/>
              <w:right w:val="single" w:color="auto" w:sz="8" w:space="0"/>
            </w:tcBorders>
            <w:shd w:val="clear" w:color="auto" w:fill="auto"/>
            <w:vAlign w:val="center"/>
          </w:tcPr>
          <w:p w14:paraId="7C064352">
            <w:pPr>
              <w:jc w:val="center"/>
              <w:rPr>
                <w:color w:val="auto"/>
              </w:rPr>
            </w:pPr>
            <w:r>
              <w:rPr>
                <w:rFonts w:hint="eastAsia"/>
                <w:color w:val="auto"/>
              </w:rPr>
              <w:t>方案设计</w:t>
            </w:r>
          </w:p>
        </w:tc>
        <w:tc>
          <w:tcPr>
            <w:tcW w:w="1800" w:type="dxa"/>
            <w:tcBorders>
              <w:top w:val="nil"/>
              <w:left w:val="nil"/>
              <w:bottom w:val="single" w:color="auto" w:sz="8" w:space="0"/>
              <w:right w:val="single" w:color="auto" w:sz="8" w:space="0"/>
            </w:tcBorders>
            <w:shd w:val="clear" w:color="auto" w:fill="auto"/>
            <w:vAlign w:val="center"/>
          </w:tcPr>
          <w:p w14:paraId="1751AB69">
            <w:pPr>
              <w:jc w:val="center"/>
              <w:rPr>
                <w:color w:val="auto"/>
              </w:rPr>
            </w:pPr>
            <w:r>
              <w:rPr>
                <w:rFonts w:hint="eastAsia"/>
                <w:color w:val="auto"/>
              </w:rPr>
              <w:t>20%</w:t>
            </w:r>
          </w:p>
        </w:tc>
        <w:tc>
          <w:tcPr>
            <w:tcW w:w="1635" w:type="dxa"/>
            <w:tcBorders>
              <w:top w:val="nil"/>
              <w:left w:val="nil"/>
              <w:bottom w:val="single" w:color="auto" w:sz="8" w:space="0"/>
              <w:right w:val="single" w:color="auto" w:sz="8" w:space="0"/>
            </w:tcBorders>
            <w:shd w:val="clear" w:color="auto" w:fill="auto"/>
            <w:vAlign w:val="center"/>
          </w:tcPr>
          <w:p w14:paraId="33298FF8">
            <w:pPr>
              <w:jc w:val="center"/>
              <w:rPr>
                <w:color w:val="auto"/>
              </w:rPr>
            </w:pPr>
            <w:r>
              <w:rPr>
                <w:rFonts w:hint="eastAsia"/>
                <w:color w:val="auto"/>
              </w:rPr>
              <w:t>/</w:t>
            </w:r>
          </w:p>
        </w:tc>
        <w:tc>
          <w:tcPr>
            <w:tcW w:w="3827" w:type="dxa"/>
            <w:tcBorders>
              <w:top w:val="nil"/>
              <w:left w:val="nil"/>
              <w:bottom w:val="single" w:color="auto" w:sz="8" w:space="0"/>
              <w:right w:val="single" w:color="auto" w:sz="8" w:space="0"/>
            </w:tcBorders>
            <w:shd w:val="clear" w:color="auto" w:fill="auto"/>
            <w:vAlign w:val="center"/>
          </w:tcPr>
          <w:p w14:paraId="5C84F91B">
            <w:pPr>
              <w:rPr>
                <w:color w:val="auto"/>
              </w:rPr>
            </w:pPr>
            <w:r>
              <w:rPr>
                <w:rFonts w:hint="eastAsia"/>
                <w:color w:val="auto"/>
              </w:rPr>
              <w:t>乙方完成方案设计并经甲方书面确认或提交方案设计评审会会议纪要，甲方在15 日内支付本阶段设计费。</w:t>
            </w:r>
          </w:p>
        </w:tc>
      </w:tr>
      <w:tr w14:paraId="6CF61A10">
        <w:tblPrEx>
          <w:tblCellMar>
            <w:top w:w="0" w:type="dxa"/>
            <w:left w:w="108" w:type="dxa"/>
            <w:bottom w:w="0" w:type="dxa"/>
            <w:right w:w="108" w:type="dxa"/>
          </w:tblCellMar>
        </w:tblPrEx>
        <w:trPr>
          <w:trHeight w:val="980" w:hRule="atLeast"/>
        </w:trPr>
        <w:tc>
          <w:tcPr>
            <w:tcW w:w="1800" w:type="dxa"/>
            <w:tcBorders>
              <w:top w:val="nil"/>
              <w:left w:val="single" w:color="auto" w:sz="8" w:space="0"/>
              <w:bottom w:val="single" w:color="auto" w:sz="8" w:space="0"/>
              <w:right w:val="single" w:color="auto" w:sz="8" w:space="0"/>
            </w:tcBorders>
            <w:shd w:val="clear" w:color="auto" w:fill="auto"/>
            <w:vAlign w:val="center"/>
          </w:tcPr>
          <w:p w14:paraId="09D3E05C">
            <w:pPr>
              <w:jc w:val="center"/>
              <w:rPr>
                <w:color w:val="auto"/>
              </w:rPr>
            </w:pPr>
            <w:r>
              <w:rPr>
                <w:rFonts w:hint="eastAsia"/>
                <w:color w:val="auto"/>
                <w:lang w:eastAsia="zh-CN"/>
              </w:rPr>
              <w:t>初步</w:t>
            </w:r>
            <w:r>
              <w:rPr>
                <w:rFonts w:hint="eastAsia"/>
                <w:color w:val="auto"/>
              </w:rPr>
              <w:t>设计</w:t>
            </w:r>
          </w:p>
        </w:tc>
        <w:tc>
          <w:tcPr>
            <w:tcW w:w="1800" w:type="dxa"/>
            <w:tcBorders>
              <w:top w:val="nil"/>
              <w:left w:val="nil"/>
              <w:bottom w:val="single" w:color="auto" w:sz="8" w:space="0"/>
              <w:right w:val="single" w:color="auto" w:sz="8" w:space="0"/>
            </w:tcBorders>
            <w:shd w:val="clear" w:color="auto" w:fill="auto"/>
            <w:vAlign w:val="center"/>
          </w:tcPr>
          <w:p w14:paraId="2052DC27">
            <w:pPr>
              <w:jc w:val="center"/>
              <w:rPr>
                <w:color w:val="auto"/>
              </w:rPr>
            </w:pPr>
            <w:r>
              <w:rPr>
                <w:rFonts w:hint="eastAsia"/>
                <w:color w:val="auto"/>
                <w:lang w:val="en-US" w:eastAsia="zh-CN"/>
              </w:rPr>
              <w:t>5</w:t>
            </w:r>
            <w:r>
              <w:rPr>
                <w:rFonts w:hint="eastAsia"/>
                <w:color w:val="auto"/>
              </w:rPr>
              <w:t>0%</w:t>
            </w:r>
          </w:p>
        </w:tc>
        <w:tc>
          <w:tcPr>
            <w:tcW w:w="1635" w:type="dxa"/>
            <w:tcBorders>
              <w:top w:val="nil"/>
              <w:left w:val="nil"/>
              <w:bottom w:val="single" w:color="auto" w:sz="8" w:space="0"/>
              <w:right w:val="single" w:color="auto" w:sz="8" w:space="0"/>
            </w:tcBorders>
            <w:shd w:val="clear" w:color="auto" w:fill="auto"/>
            <w:vAlign w:val="center"/>
          </w:tcPr>
          <w:p w14:paraId="25D47686">
            <w:pPr>
              <w:jc w:val="center"/>
              <w:rPr>
                <w:color w:val="auto"/>
              </w:rPr>
            </w:pPr>
            <w:r>
              <w:rPr>
                <w:rFonts w:hint="eastAsia"/>
                <w:color w:val="auto"/>
              </w:rPr>
              <w:t>/</w:t>
            </w:r>
          </w:p>
        </w:tc>
        <w:tc>
          <w:tcPr>
            <w:tcW w:w="3827" w:type="dxa"/>
            <w:tcBorders>
              <w:top w:val="nil"/>
              <w:left w:val="nil"/>
              <w:bottom w:val="single" w:color="auto" w:sz="8" w:space="0"/>
              <w:right w:val="single" w:color="auto" w:sz="8" w:space="0"/>
            </w:tcBorders>
            <w:shd w:val="clear" w:color="auto" w:fill="auto"/>
            <w:vAlign w:val="center"/>
          </w:tcPr>
          <w:p w14:paraId="62D3A88D">
            <w:pPr>
              <w:rPr>
                <w:color w:val="auto"/>
              </w:rPr>
            </w:pPr>
            <w:bookmarkStart w:id="277" w:name="RANGE!D4"/>
            <w:r>
              <w:rPr>
                <w:rFonts w:hint="eastAsia"/>
                <w:color w:val="auto"/>
              </w:rPr>
              <w:t>乙方完成</w:t>
            </w:r>
            <w:r>
              <w:rPr>
                <w:rFonts w:hint="eastAsia"/>
                <w:color w:val="auto"/>
                <w:lang w:eastAsia="zh-CN"/>
              </w:rPr>
              <w:t>初步</w:t>
            </w:r>
            <w:r>
              <w:rPr>
                <w:rFonts w:hint="eastAsia"/>
                <w:color w:val="auto"/>
              </w:rPr>
              <w:t>设计文件及</w:t>
            </w:r>
            <w:r>
              <w:rPr>
                <w:rFonts w:hint="eastAsia"/>
                <w:color w:val="auto"/>
                <w:lang w:eastAsia="zh-CN"/>
              </w:rPr>
              <w:t>初步</w:t>
            </w:r>
            <w:r>
              <w:rPr>
                <w:rFonts w:hint="eastAsia"/>
                <w:color w:val="auto"/>
              </w:rPr>
              <w:t>设计概算经专家评审通过并提交符合送审要求的初步设计成果及概算</w:t>
            </w:r>
            <w:r>
              <w:rPr>
                <w:rFonts w:hint="eastAsia"/>
                <w:color w:val="auto"/>
                <w:lang w:eastAsia="zh-CN"/>
              </w:rPr>
              <w:t>文件</w:t>
            </w:r>
            <w:r>
              <w:rPr>
                <w:rFonts w:hint="eastAsia"/>
                <w:color w:val="auto"/>
              </w:rPr>
              <w:t>，甲方在15 日内支付本阶段设计费。</w:t>
            </w:r>
            <w:bookmarkEnd w:id="277"/>
          </w:p>
        </w:tc>
      </w:tr>
      <w:tr w14:paraId="622B174C">
        <w:tblPrEx>
          <w:tblCellMar>
            <w:top w:w="0" w:type="dxa"/>
            <w:left w:w="108" w:type="dxa"/>
            <w:bottom w:w="0" w:type="dxa"/>
            <w:right w:w="108" w:type="dxa"/>
          </w:tblCellMar>
        </w:tblPrEx>
        <w:trPr>
          <w:trHeight w:val="660" w:hRule="atLeast"/>
        </w:trPr>
        <w:tc>
          <w:tcPr>
            <w:tcW w:w="1800" w:type="dxa"/>
            <w:tcBorders>
              <w:top w:val="nil"/>
              <w:left w:val="single" w:color="auto" w:sz="8" w:space="0"/>
              <w:bottom w:val="single" w:color="auto" w:sz="8" w:space="0"/>
              <w:right w:val="single" w:color="auto" w:sz="8" w:space="0"/>
            </w:tcBorders>
            <w:shd w:val="clear" w:color="auto" w:fill="auto"/>
            <w:vAlign w:val="center"/>
          </w:tcPr>
          <w:p w14:paraId="3852C6C8">
            <w:pPr>
              <w:jc w:val="center"/>
              <w:rPr>
                <w:color w:val="auto"/>
              </w:rPr>
            </w:pPr>
            <w:r>
              <w:rPr>
                <w:rFonts w:hint="eastAsia"/>
                <w:color w:val="auto"/>
              </w:rPr>
              <w:t>配合招标及尾款</w:t>
            </w:r>
          </w:p>
        </w:tc>
        <w:tc>
          <w:tcPr>
            <w:tcW w:w="1800" w:type="dxa"/>
            <w:tcBorders>
              <w:top w:val="nil"/>
              <w:left w:val="nil"/>
              <w:bottom w:val="single" w:color="auto" w:sz="8" w:space="0"/>
              <w:right w:val="single" w:color="auto" w:sz="8" w:space="0"/>
            </w:tcBorders>
            <w:shd w:val="clear" w:color="auto" w:fill="auto"/>
            <w:vAlign w:val="center"/>
          </w:tcPr>
          <w:p w14:paraId="5AA0C0F2">
            <w:pPr>
              <w:jc w:val="center"/>
              <w:rPr>
                <w:color w:val="auto"/>
              </w:rPr>
            </w:pPr>
            <w:r>
              <w:rPr>
                <w:rFonts w:hint="eastAsia"/>
                <w:color w:val="auto"/>
                <w:lang w:val="en-US" w:eastAsia="zh-CN"/>
              </w:rPr>
              <w:t>1</w:t>
            </w:r>
            <w:r>
              <w:rPr>
                <w:rFonts w:hint="eastAsia"/>
                <w:color w:val="auto"/>
              </w:rPr>
              <w:t>0%</w:t>
            </w:r>
          </w:p>
        </w:tc>
        <w:tc>
          <w:tcPr>
            <w:tcW w:w="1635" w:type="dxa"/>
            <w:tcBorders>
              <w:top w:val="nil"/>
              <w:left w:val="nil"/>
              <w:bottom w:val="single" w:color="auto" w:sz="8" w:space="0"/>
              <w:right w:val="single" w:color="auto" w:sz="8" w:space="0"/>
            </w:tcBorders>
            <w:shd w:val="clear" w:color="auto" w:fill="auto"/>
            <w:vAlign w:val="center"/>
          </w:tcPr>
          <w:p w14:paraId="6416D908">
            <w:pPr>
              <w:jc w:val="center"/>
              <w:rPr>
                <w:color w:val="auto"/>
              </w:rPr>
            </w:pPr>
            <w:r>
              <w:rPr>
                <w:rFonts w:hint="eastAsia"/>
                <w:color w:val="auto"/>
              </w:rPr>
              <w:t>/</w:t>
            </w:r>
          </w:p>
        </w:tc>
        <w:tc>
          <w:tcPr>
            <w:tcW w:w="3827" w:type="dxa"/>
            <w:tcBorders>
              <w:top w:val="nil"/>
              <w:left w:val="nil"/>
              <w:bottom w:val="single" w:color="auto" w:sz="8" w:space="0"/>
              <w:right w:val="single" w:color="auto" w:sz="8" w:space="0"/>
            </w:tcBorders>
            <w:shd w:val="clear" w:color="auto" w:fill="auto"/>
            <w:vAlign w:val="center"/>
          </w:tcPr>
          <w:p w14:paraId="5B90EEEE">
            <w:pPr>
              <w:rPr>
                <w:color w:val="auto"/>
              </w:rPr>
            </w:pPr>
            <w:r>
              <w:rPr>
                <w:rFonts w:hint="eastAsia"/>
                <w:color w:val="auto"/>
              </w:rPr>
              <w:t>乙方配合完成施工招标和完成施工图设计阶段技术配合，项目拿到施工图审图合格证后</w:t>
            </w:r>
            <w:r>
              <w:rPr>
                <w:rFonts w:hint="eastAsia"/>
                <w:color w:val="auto"/>
                <w:lang w:eastAsia="zh-CN"/>
              </w:rPr>
              <w:t>，</w:t>
            </w:r>
            <w:r>
              <w:rPr>
                <w:rFonts w:hint="eastAsia"/>
                <w:color w:val="auto"/>
              </w:rPr>
              <w:t>甲方在15 日内支付剩余设计费。</w:t>
            </w:r>
          </w:p>
        </w:tc>
      </w:tr>
      <w:tr w14:paraId="6EE35F14">
        <w:tblPrEx>
          <w:tblCellMar>
            <w:top w:w="0" w:type="dxa"/>
            <w:left w:w="108" w:type="dxa"/>
            <w:bottom w:w="0" w:type="dxa"/>
            <w:right w:w="108" w:type="dxa"/>
          </w:tblCellMar>
        </w:tblPrEx>
        <w:trPr>
          <w:trHeight w:val="340" w:hRule="atLeast"/>
        </w:trPr>
        <w:tc>
          <w:tcPr>
            <w:tcW w:w="1800" w:type="dxa"/>
            <w:tcBorders>
              <w:top w:val="nil"/>
              <w:left w:val="single" w:color="auto" w:sz="8" w:space="0"/>
              <w:bottom w:val="single" w:color="auto" w:sz="8" w:space="0"/>
              <w:right w:val="single" w:color="auto" w:sz="8" w:space="0"/>
            </w:tcBorders>
            <w:shd w:val="clear" w:color="auto" w:fill="auto"/>
            <w:vAlign w:val="center"/>
          </w:tcPr>
          <w:p w14:paraId="2A299B99">
            <w:pPr>
              <w:jc w:val="center"/>
              <w:rPr>
                <w:color w:val="auto"/>
              </w:rPr>
            </w:pPr>
            <w:r>
              <w:rPr>
                <w:rFonts w:hint="eastAsia"/>
                <w:color w:val="auto"/>
              </w:rPr>
              <w:t>总计</w:t>
            </w:r>
          </w:p>
        </w:tc>
        <w:tc>
          <w:tcPr>
            <w:tcW w:w="1800" w:type="dxa"/>
            <w:tcBorders>
              <w:top w:val="nil"/>
              <w:left w:val="nil"/>
              <w:bottom w:val="single" w:color="auto" w:sz="8" w:space="0"/>
              <w:right w:val="single" w:color="auto" w:sz="8" w:space="0"/>
            </w:tcBorders>
            <w:shd w:val="clear" w:color="auto" w:fill="auto"/>
            <w:vAlign w:val="center"/>
          </w:tcPr>
          <w:p w14:paraId="19430005">
            <w:pPr>
              <w:jc w:val="center"/>
              <w:rPr>
                <w:color w:val="auto"/>
              </w:rPr>
            </w:pPr>
            <w:r>
              <w:rPr>
                <w:rFonts w:hint="eastAsia"/>
                <w:color w:val="auto"/>
              </w:rPr>
              <w:t>100%</w:t>
            </w:r>
          </w:p>
        </w:tc>
        <w:tc>
          <w:tcPr>
            <w:tcW w:w="1635" w:type="dxa"/>
            <w:tcBorders>
              <w:top w:val="nil"/>
              <w:left w:val="nil"/>
              <w:bottom w:val="single" w:color="auto" w:sz="8" w:space="0"/>
              <w:right w:val="single" w:color="auto" w:sz="8" w:space="0"/>
            </w:tcBorders>
            <w:shd w:val="clear" w:color="auto" w:fill="auto"/>
            <w:vAlign w:val="center"/>
          </w:tcPr>
          <w:p w14:paraId="3A648593">
            <w:pPr>
              <w:jc w:val="center"/>
              <w:rPr>
                <w:color w:val="auto"/>
              </w:rPr>
            </w:pPr>
            <w:r>
              <w:rPr>
                <w:rFonts w:hint="eastAsia"/>
                <w:color w:val="auto"/>
              </w:rPr>
              <w:t>/</w:t>
            </w:r>
          </w:p>
        </w:tc>
        <w:tc>
          <w:tcPr>
            <w:tcW w:w="3827" w:type="dxa"/>
            <w:tcBorders>
              <w:top w:val="nil"/>
              <w:left w:val="nil"/>
              <w:bottom w:val="single" w:color="auto" w:sz="8" w:space="0"/>
              <w:right w:val="single" w:color="auto" w:sz="8" w:space="0"/>
            </w:tcBorders>
            <w:shd w:val="clear" w:color="auto" w:fill="auto"/>
            <w:vAlign w:val="center"/>
          </w:tcPr>
          <w:p w14:paraId="3D65365D">
            <w:pPr>
              <w:jc w:val="center"/>
              <w:rPr>
                <w:color w:val="auto"/>
              </w:rPr>
            </w:pPr>
            <w:r>
              <w:rPr>
                <w:rFonts w:hint="eastAsia"/>
                <w:color w:val="auto"/>
              </w:rPr>
              <w:t>　</w:t>
            </w:r>
          </w:p>
        </w:tc>
      </w:tr>
    </w:tbl>
    <w:p w14:paraId="790F625D">
      <w:pPr>
        <w:spacing w:before="120" w:beforeLines="50" w:line="360" w:lineRule="auto"/>
        <w:ind w:firstLine="480" w:firstLineChars="0"/>
        <w:rPr>
          <w:rFonts w:hint="eastAsia"/>
          <w:b/>
          <w:bCs/>
          <w:color w:val="auto"/>
          <w:lang w:val="en-US" w:eastAsia="zh-CN"/>
        </w:rPr>
      </w:pPr>
      <w:r>
        <w:rPr>
          <w:rFonts w:hint="eastAsia"/>
          <w:b/>
          <w:bCs/>
          <w:color w:val="auto"/>
          <w:lang w:val="en-US" w:eastAsia="zh-CN"/>
        </w:rPr>
        <w:t xml:space="preserve">2.2.1.2 </w:t>
      </w:r>
      <w:r>
        <w:rPr>
          <w:rFonts w:hint="eastAsia"/>
          <w:b/>
          <w:bCs/>
          <w:color w:val="auto"/>
        </w:rPr>
        <w:t>周边历史街区（包括升平路、广富新街、峰前街、群众巷</w:t>
      </w:r>
      <w:r>
        <w:rPr>
          <w:rFonts w:hint="eastAsia"/>
          <w:b/>
          <w:bCs/>
          <w:color w:val="auto"/>
          <w:lang w:val="en-US" w:eastAsia="zh-CN"/>
        </w:rPr>
        <w:t>等</w:t>
      </w:r>
      <w:r>
        <w:rPr>
          <w:rFonts w:hint="eastAsia"/>
          <w:b/>
          <w:bCs/>
          <w:color w:val="auto"/>
        </w:rPr>
        <w:t>）更新改造</w:t>
      </w:r>
      <w:r>
        <w:rPr>
          <w:rFonts w:hint="eastAsia"/>
          <w:b/>
          <w:bCs/>
          <w:color w:val="auto"/>
          <w:lang w:eastAsia="zh-CN"/>
        </w:rPr>
        <w:t>（</w:t>
      </w:r>
      <w:r>
        <w:rPr>
          <w:rFonts w:hint="eastAsia"/>
          <w:b/>
          <w:bCs/>
          <w:color w:val="auto"/>
          <w:lang w:val="en-US" w:eastAsia="zh-CN"/>
        </w:rPr>
        <w:t>二期</w:t>
      </w:r>
      <w:r>
        <w:rPr>
          <w:rFonts w:hint="eastAsia"/>
          <w:b/>
          <w:bCs/>
          <w:color w:val="auto"/>
          <w:lang w:eastAsia="zh-CN"/>
        </w:rPr>
        <w:t>）</w:t>
      </w:r>
      <w:r>
        <w:rPr>
          <w:rFonts w:hint="eastAsia"/>
          <w:b/>
          <w:bCs/>
          <w:color w:val="auto"/>
          <w:lang w:val="en-US" w:eastAsia="zh-CN"/>
        </w:rPr>
        <w:t>设计费支付：</w:t>
      </w:r>
    </w:p>
    <w:tbl>
      <w:tblPr>
        <w:tblStyle w:val="31"/>
        <w:tblW w:w="9062" w:type="dxa"/>
        <w:tblInd w:w="118" w:type="dxa"/>
        <w:tblLayout w:type="autofit"/>
        <w:tblCellMar>
          <w:top w:w="0" w:type="dxa"/>
          <w:left w:w="108" w:type="dxa"/>
          <w:bottom w:w="0" w:type="dxa"/>
          <w:right w:w="108" w:type="dxa"/>
        </w:tblCellMar>
      </w:tblPr>
      <w:tblGrid>
        <w:gridCol w:w="1800"/>
        <w:gridCol w:w="1800"/>
        <w:gridCol w:w="1635"/>
        <w:gridCol w:w="3827"/>
      </w:tblGrid>
      <w:tr w14:paraId="14F0F556">
        <w:trPr>
          <w:trHeight w:val="660" w:hRule="atLeast"/>
        </w:trPr>
        <w:tc>
          <w:tcPr>
            <w:tcW w:w="1800" w:type="dxa"/>
            <w:tcBorders>
              <w:top w:val="single" w:color="auto" w:sz="8" w:space="0"/>
              <w:left w:val="single" w:color="auto" w:sz="8" w:space="0"/>
              <w:bottom w:val="single" w:color="auto" w:sz="8" w:space="0"/>
              <w:right w:val="single" w:color="auto" w:sz="8" w:space="0"/>
            </w:tcBorders>
            <w:shd w:val="clear" w:color="auto" w:fill="auto"/>
            <w:vAlign w:val="center"/>
          </w:tcPr>
          <w:p w14:paraId="5CCF6A3E">
            <w:pPr>
              <w:jc w:val="center"/>
              <w:rPr>
                <w:color w:val="auto"/>
              </w:rPr>
            </w:pPr>
            <w:r>
              <w:rPr>
                <w:rFonts w:hint="eastAsia"/>
                <w:color w:val="auto"/>
              </w:rPr>
              <w:t>阶段</w:t>
            </w:r>
          </w:p>
        </w:tc>
        <w:tc>
          <w:tcPr>
            <w:tcW w:w="1800" w:type="dxa"/>
            <w:tcBorders>
              <w:top w:val="single" w:color="auto" w:sz="8" w:space="0"/>
              <w:left w:val="nil"/>
              <w:bottom w:val="single" w:color="auto" w:sz="8" w:space="0"/>
              <w:right w:val="single" w:color="auto" w:sz="8" w:space="0"/>
            </w:tcBorders>
            <w:shd w:val="clear" w:color="auto" w:fill="auto"/>
            <w:vAlign w:val="center"/>
          </w:tcPr>
          <w:p w14:paraId="01A22EA0">
            <w:pPr>
              <w:jc w:val="center"/>
              <w:rPr>
                <w:color w:val="auto"/>
              </w:rPr>
            </w:pPr>
            <w:r>
              <w:rPr>
                <w:rFonts w:hint="eastAsia"/>
                <w:color w:val="auto"/>
              </w:rPr>
              <w:t>占该区域总设计费比例</w:t>
            </w:r>
          </w:p>
        </w:tc>
        <w:tc>
          <w:tcPr>
            <w:tcW w:w="1635" w:type="dxa"/>
            <w:tcBorders>
              <w:top w:val="single" w:color="auto" w:sz="8" w:space="0"/>
              <w:left w:val="nil"/>
              <w:bottom w:val="single" w:color="auto" w:sz="8" w:space="0"/>
              <w:right w:val="single" w:color="auto" w:sz="8" w:space="0"/>
            </w:tcBorders>
            <w:shd w:val="clear" w:color="auto" w:fill="auto"/>
            <w:vAlign w:val="center"/>
          </w:tcPr>
          <w:p w14:paraId="59485B2B">
            <w:pPr>
              <w:jc w:val="center"/>
              <w:rPr>
                <w:color w:val="auto"/>
              </w:rPr>
            </w:pPr>
            <w:r>
              <w:rPr>
                <w:rFonts w:hint="eastAsia"/>
                <w:color w:val="auto"/>
              </w:rPr>
              <w:t>设计费（元）</w:t>
            </w:r>
          </w:p>
        </w:tc>
        <w:tc>
          <w:tcPr>
            <w:tcW w:w="3827" w:type="dxa"/>
            <w:tcBorders>
              <w:top w:val="single" w:color="auto" w:sz="8" w:space="0"/>
              <w:left w:val="nil"/>
              <w:bottom w:val="single" w:color="auto" w:sz="8" w:space="0"/>
              <w:right w:val="single" w:color="auto" w:sz="8" w:space="0"/>
            </w:tcBorders>
            <w:shd w:val="clear" w:color="auto" w:fill="auto"/>
            <w:vAlign w:val="center"/>
          </w:tcPr>
          <w:p w14:paraId="04440912">
            <w:pPr>
              <w:jc w:val="center"/>
              <w:rPr>
                <w:color w:val="auto"/>
              </w:rPr>
            </w:pPr>
            <w:r>
              <w:rPr>
                <w:rFonts w:hint="eastAsia"/>
                <w:color w:val="auto"/>
              </w:rPr>
              <w:t>付款条件</w:t>
            </w:r>
          </w:p>
        </w:tc>
      </w:tr>
      <w:tr w14:paraId="46AAE658">
        <w:tblPrEx>
          <w:tblCellMar>
            <w:top w:w="0" w:type="dxa"/>
            <w:left w:w="108" w:type="dxa"/>
            <w:bottom w:w="0" w:type="dxa"/>
            <w:right w:w="108" w:type="dxa"/>
          </w:tblCellMar>
        </w:tblPrEx>
        <w:trPr>
          <w:trHeight w:val="660" w:hRule="atLeast"/>
        </w:trPr>
        <w:tc>
          <w:tcPr>
            <w:tcW w:w="1800" w:type="dxa"/>
            <w:tcBorders>
              <w:top w:val="nil"/>
              <w:left w:val="single" w:color="auto" w:sz="8" w:space="0"/>
              <w:bottom w:val="single" w:color="auto" w:sz="8" w:space="0"/>
              <w:right w:val="single" w:color="auto" w:sz="8" w:space="0"/>
            </w:tcBorders>
            <w:shd w:val="clear" w:color="auto" w:fill="auto"/>
            <w:vAlign w:val="center"/>
          </w:tcPr>
          <w:p w14:paraId="00B57188">
            <w:pPr>
              <w:jc w:val="center"/>
              <w:rPr>
                <w:rFonts w:hint="eastAsia" w:eastAsia="宋体"/>
                <w:color w:val="auto"/>
                <w:lang w:eastAsia="zh-CN"/>
              </w:rPr>
            </w:pPr>
            <w:r>
              <w:rPr>
                <w:rFonts w:hint="eastAsia"/>
                <w:color w:val="auto"/>
                <w:lang w:val="en-US" w:eastAsia="zh-CN"/>
              </w:rPr>
              <w:t>预付款</w:t>
            </w:r>
          </w:p>
        </w:tc>
        <w:tc>
          <w:tcPr>
            <w:tcW w:w="1800" w:type="dxa"/>
            <w:tcBorders>
              <w:top w:val="nil"/>
              <w:left w:val="nil"/>
              <w:bottom w:val="single" w:color="auto" w:sz="8" w:space="0"/>
              <w:right w:val="single" w:color="auto" w:sz="8" w:space="0"/>
            </w:tcBorders>
            <w:shd w:val="clear" w:color="auto" w:fill="auto"/>
            <w:vAlign w:val="center"/>
          </w:tcPr>
          <w:p w14:paraId="5F786E77">
            <w:pPr>
              <w:jc w:val="center"/>
              <w:rPr>
                <w:color w:val="auto"/>
              </w:rPr>
            </w:pPr>
            <w:r>
              <w:rPr>
                <w:rFonts w:hint="eastAsia"/>
                <w:color w:val="auto"/>
              </w:rPr>
              <w:t>20%</w:t>
            </w:r>
          </w:p>
        </w:tc>
        <w:tc>
          <w:tcPr>
            <w:tcW w:w="1635" w:type="dxa"/>
            <w:tcBorders>
              <w:top w:val="nil"/>
              <w:left w:val="nil"/>
              <w:bottom w:val="single" w:color="auto" w:sz="8" w:space="0"/>
              <w:right w:val="single" w:color="auto" w:sz="8" w:space="0"/>
            </w:tcBorders>
            <w:shd w:val="clear" w:color="auto" w:fill="auto"/>
            <w:vAlign w:val="center"/>
          </w:tcPr>
          <w:p w14:paraId="39159563">
            <w:pPr>
              <w:jc w:val="center"/>
              <w:rPr>
                <w:color w:val="auto"/>
              </w:rPr>
            </w:pPr>
            <w:r>
              <w:rPr>
                <w:rFonts w:hint="eastAsia"/>
                <w:color w:val="auto"/>
              </w:rPr>
              <w:t>/</w:t>
            </w:r>
          </w:p>
        </w:tc>
        <w:tc>
          <w:tcPr>
            <w:tcW w:w="3827" w:type="dxa"/>
            <w:tcBorders>
              <w:top w:val="nil"/>
              <w:left w:val="nil"/>
              <w:bottom w:val="single" w:color="auto" w:sz="8" w:space="0"/>
              <w:right w:val="single" w:color="auto" w:sz="8" w:space="0"/>
            </w:tcBorders>
            <w:shd w:val="clear" w:color="auto" w:fill="auto"/>
            <w:vAlign w:val="center"/>
          </w:tcPr>
          <w:p w14:paraId="4FD9D764">
            <w:pPr>
              <w:rPr>
                <w:color w:val="auto"/>
              </w:rPr>
            </w:pPr>
            <w:r>
              <w:rPr>
                <w:rFonts w:hint="eastAsia"/>
                <w:color w:val="auto"/>
                <w:lang w:val="en-US" w:eastAsia="zh-CN"/>
              </w:rPr>
              <w:t>乙方收到甲方设计任务书及开展设计工作的书面通知后</w:t>
            </w:r>
            <w:r>
              <w:rPr>
                <w:rFonts w:hint="eastAsia"/>
                <w:color w:val="auto"/>
              </w:rPr>
              <w:t>，甲方在15 日内支付</w:t>
            </w:r>
            <w:r>
              <w:rPr>
                <w:rFonts w:hint="eastAsia"/>
                <w:color w:val="auto"/>
                <w:lang w:val="en-US" w:eastAsia="zh-CN"/>
              </w:rPr>
              <w:t>预付款</w:t>
            </w:r>
            <w:r>
              <w:rPr>
                <w:rFonts w:hint="eastAsia"/>
                <w:color w:val="auto"/>
              </w:rPr>
              <w:t>。</w:t>
            </w:r>
          </w:p>
        </w:tc>
      </w:tr>
      <w:tr w14:paraId="1CBBAC3D">
        <w:tblPrEx>
          <w:tblCellMar>
            <w:top w:w="0" w:type="dxa"/>
            <w:left w:w="108" w:type="dxa"/>
            <w:bottom w:w="0" w:type="dxa"/>
            <w:right w:w="108" w:type="dxa"/>
          </w:tblCellMar>
        </w:tblPrEx>
        <w:trPr>
          <w:trHeight w:val="980" w:hRule="atLeast"/>
        </w:trPr>
        <w:tc>
          <w:tcPr>
            <w:tcW w:w="1800" w:type="dxa"/>
            <w:tcBorders>
              <w:top w:val="nil"/>
              <w:left w:val="single" w:color="auto" w:sz="8" w:space="0"/>
              <w:bottom w:val="single" w:color="auto" w:sz="8" w:space="0"/>
              <w:right w:val="single" w:color="auto" w:sz="8" w:space="0"/>
            </w:tcBorders>
            <w:shd w:val="clear" w:color="auto" w:fill="auto"/>
            <w:vAlign w:val="center"/>
          </w:tcPr>
          <w:p w14:paraId="4A170D6A">
            <w:pPr>
              <w:jc w:val="center"/>
              <w:rPr>
                <w:color w:val="auto"/>
              </w:rPr>
            </w:pPr>
            <w:r>
              <w:rPr>
                <w:rFonts w:hint="eastAsia"/>
                <w:color w:val="auto"/>
              </w:rPr>
              <w:t>方案设计</w:t>
            </w:r>
          </w:p>
        </w:tc>
        <w:tc>
          <w:tcPr>
            <w:tcW w:w="1800" w:type="dxa"/>
            <w:tcBorders>
              <w:top w:val="nil"/>
              <w:left w:val="nil"/>
              <w:bottom w:val="single" w:color="auto" w:sz="8" w:space="0"/>
              <w:right w:val="single" w:color="auto" w:sz="8" w:space="0"/>
            </w:tcBorders>
            <w:shd w:val="clear" w:color="auto" w:fill="auto"/>
            <w:vAlign w:val="center"/>
          </w:tcPr>
          <w:p w14:paraId="62BF2AE4">
            <w:pPr>
              <w:jc w:val="center"/>
              <w:rPr>
                <w:color w:val="auto"/>
              </w:rPr>
            </w:pPr>
            <w:r>
              <w:rPr>
                <w:rFonts w:hint="eastAsia"/>
                <w:color w:val="auto"/>
              </w:rPr>
              <w:t>20%</w:t>
            </w:r>
          </w:p>
        </w:tc>
        <w:tc>
          <w:tcPr>
            <w:tcW w:w="1635" w:type="dxa"/>
            <w:tcBorders>
              <w:top w:val="nil"/>
              <w:left w:val="nil"/>
              <w:bottom w:val="single" w:color="auto" w:sz="8" w:space="0"/>
              <w:right w:val="single" w:color="auto" w:sz="8" w:space="0"/>
            </w:tcBorders>
            <w:shd w:val="clear" w:color="auto" w:fill="auto"/>
            <w:vAlign w:val="center"/>
          </w:tcPr>
          <w:p w14:paraId="53B56802">
            <w:pPr>
              <w:jc w:val="center"/>
              <w:rPr>
                <w:color w:val="auto"/>
              </w:rPr>
            </w:pPr>
            <w:r>
              <w:rPr>
                <w:rFonts w:hint="eastAsia"/>
                <w:color w:val="auto"/>
              </w:rPr>
              <w:t>/</w:t>
            </w:r>
          </w:p>
        </w:tc>
        <w:tc>
          <w:tcPr>
            <w:tcW w:w="3827" w:type="dxa"/>
            <w:tcBorders>
              <w:top w:val="nil"/>
              <w:left w:val="nil"/>
              <w:bottom w:val="single" w:color="auto" w:sz="8" w:space="0"/>
              <w:right w:val="single" w:color="auto" w:sz="8" w:space="0"/>
            </w:tcBorders>
            <w:shd w:val="clear" w:color="auto" w:fill="auto"/>
            <w:vAlign w:val="center"/>
          </w:tcPr>
          <w:p w14:paraId="27F19FC6">
            <w:pPr>
              <w:rPr>
                <w:color w:val="auto"/>
              </w:rPr>
            </w:pPr>
            <w:r>
              <w:rPr>
                <w:rFonts w:hint="eastAsia"/>
                <w:color w:val="auto"/>
              </w:rPr>
              <w:t>乙方完成方案设计并经甲方书面确认或提交方案设计评审会会议纪要，甲方在15 日内支付本阶段设计费。</w:t>
            </w:r>
          </w:p>
        </w:tc>
      </w:tr>
      <w:tr w14:paraId="5CE45E7D">
        <w:tblPrEx>
          <w:tblCellMar>
            <w:top w:w="0" w:type="dxa"/>
            <w:left w:w="108" w:type="dxa"/>
            <w:bottom w:w="0" w:type="dxa"/>
            <w:right w:w="108" w:type="dxa"/>
          </w:tblCellMar>
        </w:tblPrEx>
        <w:trPr>
          <w:trHeight w:val="980" w:hRule="atLeast"/>
        </w:trPr>
        <w:tc>
          <w:tcPr>
            <w:tcW w:w="1800" w:type="dxa"/>
            <w:tcBorders>
              <w:top w:val="nil"/>
              <w:left w:val="single" w:color="auto" w:sz="8" w:space="0"/>
              <w:bottom w:val="single" w:color="auto" w:sz="8" w:space="0"/>
              <w:right w:val="single" w:color="auto" w:sz="8" w:space="0"/>
            </w:tcBorders>
            <w:shd w:val="clear" w:color="auto" w:fill="auto"/>
            <w:vAlign w:val="center"/>
          </w:tcPr>
          <w:p w14:paraId="579CBD02">
            <w:pPr>
              <w:jc w:val="center"/>
              <w:rPr>
                <w:color w:val="auto"/>
              </w:rPr>
            </w:pPr>
            <w:r>
              <w:rPr>
                <w:rFonts w:hint="eastAsia"/>
                <w:color w:val="auto"/>
                <w:lang w:eastAsia="zh-CN"/>
              </w:rPr>
              <w:t>初步</w:t>
            </w:r>
            <w:r>
              <w:rPr>
                <w:rFonts w:hint="eastAsia"/>
                <w:color w:val="auto"/>
              </w:rPr>
              <w:t>设计</w:t>
            </w:r>
          </w:p>
        </w:tc>
        <w:tc>
          <w:tcPr>
            <w:tcW w:w="1800" w:type="dxa"/>
            <w:tcBorders>
              <w:top w:val="nil"/>
              <w:left w:val="nil"/>
              <w:bottom w:val="single" w:color="auto" w:sz="8" w:space="0"/>
              <w:right w:val="single" w:color="auto" w:sz="8" w:space="0"/>
            </w:tcBorders>
            <w:shd w:val="clear" w:color="auto" w:fill="auto"/>
            <w:vAlign w:val="center"/>
          </w:tcPr>
          <w:p w14:paraId="7D8812B2">
            <w:pPr>
              <w:jc w:val="center"/>
              <w:rPr>
                <w:color w:val="auto"/>
              </w:rPr>
            </w:pPr>
            <w:r>
              <w:rPr>
                <w:rFonts w:hint="eastAsia"/>
                <w:color w:val="auto"/>
                <w:lang w:val="en-US" w:eastAsia="zh-CN"/>
              </w:rPr>
              <w:t>5</w:t>
            </w:r>
            <w:r>
              <w:rPr>
                <w:rFonts w:hint="eastAsia"/>
                <w:color w:val="auto"/>
              </w:rPr>
              <w:t>0%</w:t>
            </w:r>
          </w:p>
        </w:tc>
        <w:tc>
          <w:tcPr>
            <w:tcW w:w="1635" w:type="dxa"/>
            <w:tcBorders>
              <w:top w:val="nil"/>
              <w:left w:val="nil"/>
              <w:bottom w:val="single" w:color="auto" w:sz="8" w:space="0"/>
              <w:right w:val="single" w:color="auto" w:sz="8" w:space="0"/>
            </w:tcBorders>
            <w:shd w:val="clear" w:color="auto" w:fill="auto"/>
            <w:vAlign w:val="center"/>
          </w:tcPr>
          <w:p w14:paraId="3DE4D717">
            <w:pPr>
              <w:jc w:val="center"/>
              <w:rPr>
                <w:color w:val="auto"/>
              </w:rPr>
            </w:pPr>
            <w:r>
              <w:rPr>
                <w:rFonts w:hint="eastAsia"/>
                <w:color w:val="auto"/>
              </w:rPr>
              <w:t>/</w:t>
            </w:r>
          </w:p>
        </w:tc>
        <w:tc>
          <w:tcPr>
            <w:tcW w:w="3827" w:type="dxa"/>
            <w:tcBorders>
              <w:top w:val="nil"/>
              <w:left w:val="nil"/>
              <w:bottom w:val="single" w:color="auto" w:sz="8" w:space="0"/>
              <w:right w:val="single" w:color="auto" w:sz="8" w:space="0"/>
            </w:tcBorders>
            <w:shd w:val="clear" w:color="auto" w:fill="auto"/>
            <w:vAlign w:val="center"/>
          </w:tcPr>
          <w:p w14:paraId="06BA6BEC">
            <w:pPr>
              <w:rPr>
                <w:color w:val="auto"/>
              </w:rPr>
            </w:pPr>
            <w:r>
              <w:rPr>
                <w:rFonts w:hint="eastAsia"/>
                <w:color w:val="auto"/>
              </w:rPr>
              <w:t>乙方完成</w:t>
            </w:r>
            <w:r>
              <w:rPr>
                <w:rFonts w:hint="eastAsia"/>
                <w:color w:val="auto"/>
                <w:lang w:eastAsia="zh-CN"/>
              </w:rPr>
              <w:t>初步</w:t>
            </w:r>
            <w:r>
              <w:rPr>
                <w:rFonts w:hint="eastAsia"/>
                <w:color w:val="auto"/>
              </w:rPr>
              <w:t>设计文件及</w:t>
            </w:r>
            <w:r>
              <w:rPr>
                <w:rFonts w:hint="eastAsia"/>
                <w:color w:val="auto"/>
                <w:lang w:eastAsia="zh-CN"/>
              </w:rPr>
              <w:t>初步</w:t>
            </w:r>
            <w:r>
              <w:rPr>
                <w:rFonts w:hint="eastAsia"/>
                <w:color w:val="auto"/>
              </w:rPr>
              <w:t>设计概算经专家评审通过并提交符合送审要求的初步设计成果及概算，甲方在15 日内支付本阶段设计费。</w:t>
            </w:r>
          </w:p>
        </w:tc>
      </w:tr>
      <w:tr w14:paraId="545BEE01">
        <w:tblPrEx>
          <w:tblCellMar>
            <w:top w:w="0" w:type="dxa"/>
            <w:left w:w="108" w:type="dxa"/>
            <w:bottom w:w="0" w:type="dxa"/>
            <w:right w:w="108" w:type="dxa"/>
          </w:tblCellMar>
        </w:tblPrEx>
        <w:trPr>
          <w:trHeight w:val="660" w:hRule="atLeast"/>
        </w:trPr>
        <w:tc>
          <w:tcPr>
            <w:tcW w:w="1800" w:type="dxa"/>
            <w:tcBorders>
              <w:top w:val="nil"/>
              <w:left w:val="single" w:color="auto" w:sz="8" w:space="0"/>
              <w:bottom w:val="single" w:color="auto" w:sz="8" w:space="0"/>
              <w:right w:val="single" w:color="auto" w:sz="8" w:space="0"/>
            </w:tcBorders>
            <w:shd w:val="clear" w:color="auto" w:fill="auto"/>
            <w:vAlign w:val="center"/>
          </w:tcPr>
          <w:p w14:paraId="122341DD">
            <w:pPr>
              <w:jc w:val="center"/>
              <w:rPr>
                <w:color w:val="auto"/>
              </w:rPr>
            </w:pPr>
            <w:r>
              <w:rPr>
                <w:rFonts w:hint="eastAsia"/>
                <w:color w:val="auto"/>
              </w:rPr>
              <w:t>配合招标及尾款</w:t>
            </w:r>
          </w:p>
        </w:tc>
        <w:tc>
          <w:tcPr>
            <w:tcW w:w="1800" w:type="dxa"/>
            <w:tcBorders>
              <w:top w:val="nil"/>
              <w:left w:val="nil"/>
              <w:bottom w:val="single" w:color="auto" w:sz="8" w:space="0"/>
              <w:right w:val="single" w:color="auto" w:sz="8" w:space="0"/>
            </w:tcBorders>
            <w:shd w:val="clear" w:color="auto" w:fill="auto"/>
            <w:vAlign w:val="center"/>
          </w:tcPr>
          <w:p w14:paraId="1DEF30A0">
            <w:pPr>
              <w:jc w:val="center"/>
              <w:rPr>
                <w:color w:val="auto"/>
              </w:rPr>
            </w:pPr>
            <w:r>
              <w:rPr>
                <w:rFonts w:hint="eastAsia"/>
                <w:color w:val="auto"/>
                <w:lang w:val="en-US" w:eastAsia="zh-CN"/>
              </w:rPr>
              <w:t>1</w:t>
            </w:r>
            <w:r>
              <w:rPr>
                <w:rFonts w:hint="eastAsia"/>
                <w:color w:val="auto"/>
              </w:rPr>
              <w:t>0%</w:t>
            </w:r>
          </w:p>
        </w:tc>
        <w:tc>
          <w:tcPr>
            <w:tcW w:w="1635" w:type="dxa"/>
            <w:tcBorders>
              <w:top w:val="nil"/>
              <w:left w:val="nil"/>
              <w:bottom w:val="single" w:color="auto" w:sz="8" w:space="0"/>
              <w:right w:val="single" w:color="auto" w:sz="8" w:space="0"/>
            </w:tcBorders>
            <w:shd w:val="clear" w:color="auto" w:fill="auto"/>
            <w:vAlign w:val="center"/>
          </w:tcPr>
          <w:p w14:paraId="5F3AD449">
            <w:pPr>
              <w:jc w:val="center"/>
              <w:rPr>
                <w:color w:val="auto"/>
              </w:rPr>
            </w:pPr>
            <w:r>
              <w:rPr>
                <w:rFonts w:hint="eastAsia"/>
                <w:color w:val="auto"/>
              </w:rPr>
              <w:t>/</w:t>
            </w:r>
          </w:p>
        </w:tc>
        <w:tc>
          <w:tcPr>
            <w:tcW w:w="3827" w:type="dxa"/>
            <w:tcBorders>
              <w:top w:val="nil"/>
              <w:left w:val="nil"/>
              <w:bottom w:val="single" w:color="auto" w:sz="8" w:space="0"/>
              <w:right w:val="single" w:color="auto" w:sz="8" w:space="0"/>
            </w:tcBorders>
            <w:shd w:val="clear" w:color="auto" w:fill="auto"/>
            <w:vAlign w:val="center"/>
          </w:tcPr>
          <w:p w14:paraId="01BE9F97">
            <w:pPr>
              <w:rPr>
                <w:color w:val="auto"/>
              </w:rPr>
            </w:pPr>
            <w:r>
              <w:rPr>
                <w:rFonts w:hint="eastAsia"/>
                <w:color w:val="auto"/>
              </w:rPr>
              <w:t>乙方配合完成施工招标和完成施工图设计阶段技术配合，项目拿到施工图审图合格证后</w:t>
            </w:r>
            <w:r>
              <w:rPr>
                <w:rFonts w:hint="eastAsia"/>
                <w:color w:val="auto"/>
                <w:lang w:eastAsia="zh-CN"/>
              </w:rPr>
              <w:t>，</w:t>
            </w:r>
            <w:r>
              <w:rPr>
                <w:rFonts w:hint="eastAsia"/>
                <w:color w:val="auto"/>
              </w:rPr>
              <w:t>甲方在15 日内支付剩余设计费。</w:t>
            </w:r>
          </w:p>
        </w:tc>
      </w:tr>
      <w:tr w14:paraId="6B8B42AF">
        <w:tblPrEx>
          <w:tblCellMar>
            <w:top w:w="0" w:type="dxa"/>
            <w:left w:w="108" w:type="dxa"/>
            <w:bottom w:w="0" w:type="dxa"/>
            <w:right w:w="108" w:type="dxa"/>
          </w:tblCellMar>
        </w:tblPrEx>
        <w:trPr>
          <w:trHeight w:val="340" w:hRule="atLeast"/>
        </w:trPr>
        <w:tc>
          <w:tcPr>
            <w:tcW w:w="1800" w:type="dxa"/>
            <w:tcBorders>
              <w:top w:val="nil"/>
              <w:left w:val="single" w:color="auto" w:sz="8" w:space="0"/>
              <w:bottom w:val="single" w:color="auto" w:sz="8" w:space="0"/>
              <w:right w:val="single" w:color="auto" w:sz="8" w:space="0"/>
            </w:tcBorders>
            <w:shd w:val="clear" w:color="auto" w:fill="auto"/>
            <w:vAlign w:val="center"/>
          </w:tcPr>
          <w:p w14:paraId="14690CDF">
            <w:pPr>
              <w:jc w:val="center"/>
              <w:rPr>
                <w:color w:val="auto"/>
              </w:rPr>
            </w:pPr>
            <w:r>
              <w:rPr>
                <w:rFonts w:hint="eastAsia"/>
                <w:color w:val="auto"/>
              </w:rPr>
              <w:t>总计</w:t>
            </w:r>
          </w:p>
        </w:tc>
        <w:tc>
          <w:tcPr>
            <w:tcW w:w="1800" w:type="dxa"/>
            <w:tcBorders>
              <w:top w:val="nil"/>
              <w:left w:val="nil"/>
              <w:bottom w:val="single" w:color="auto" w:sz="8" w:space="0"/>
              <w:right w:val="single" w:color="auto" w:sz="8" w:space="0"/>
            </w:tcBorders>
            <w:shd w:val="clear" w:color="auto" w:fill="auto"/>
            <w:vAlign w:val="center"/>
          </w:tcPr>
          <w:p w14:paraId="3799C3F1">
            <w:pPr>
              <w:jc w:val="center"/>
              <w:rPr>
                <w:color w:val="auto"/>
              </w:rPr>
            </w:pPr>
            <w:r>
              <w:rPr>
                <w:rFonts w:hint="eastAsia"/>
                <w:color w:val="auto"/>
              </w:rPr>
              <w:t>100%</w:t>
            </w:r>
          </w:p>
        </w:tc>
        <w:tc>
          <w:tcPr>
            <w:tcW w:w="1635" w:type="dxa"/>
            <w:tcBorders>
              <w:top w:val="nil"/>
              <w:left w:val="nil"/>
              <w:bottom w:val="single" w:color="auto" w:sz="8" w:space="0"/>
              <w:right w:val="single" w:color="auto" w:sz="8" w:space="0"/>
            </w:tcBorders>
            <w:shd w:val="clear" w:color="auto" w:fill="auto"/>
            <w:vAlign w:val="center"/>
          </w:tcPr>
          <w:p w14:paraId="31D2BA81">
            <w:pPr>
              <w:jc w:val="center"/>
              <w:rPr>
                <w:color w:val="auto"/>
              </w:rPr>
            </w:pPr>
            <w:r>
              <w:rPr>
                <w:rFonts w:hint="eastAsia"/>
                <w:color w:val="auto"/>
              </w:rPr>
              <w:t>/</w:t>
            </w:r>
          </w:p>
        </w:tc>
        <w:tc>
          <w:tcPr>
            <w:tcW w:w="3827" w:type="dxa"/>
            <w:tcBorders>
              <w:top w:val="nil"/>
              <w:left w:val="nil"/>
              <w:bottom w:val="single" w:color="auto" w:sz="8" w:space="0"/>
              <w:right w:val="single" w:color="auto" w:sz="8" w:space="0"/>
            </w:tcBorders>
            <w:shd w:val="clear" w:color="auto" w:fill="auto"/>
            <w:vAlign w:val="center"/>
          </w:tcPr>
          <w:p w14:paraId="73C11D4A">
            <w:pPr>
              <w:jc w:val="center"/>
              <w:rPr>
                <w:color w:val="auto"/>
              </w:rPr>
            </w:pPr>
            <w:r>
              <w:rPr>
                <w:rFonts w:hint="eastAsia"/>
                <w:color w:val="auto"/>
              </w:rPr>
              <w:t>　</w:t>
            </w:r>
          </w:p>
        </w:tc>
      </w:tr>
    </w:tbl>
    <w:p w14:paraId="0D0DAFC4">
      <w:pPr>
        <w:spacing w:before="120" w:beforeLines="50" w:line="360" w:lineRule="auto"/>
        <w:ind w:firstLine="0" w:firstLineChars="0"/>
        <w:rPr>
          <w:rFonts w:hint="eastAsia"/>
          <w:color w:val="auto"/>
        </w:rPr>
      </w:pPr>
      <w:r>
        <w:rPr>
          <w:rFonts w:hint="eastAsia"/>
          <w:color w:val="auto"/>
        </w:rPr>
        <w:t>注：</w:t>
      </w:r>
      <w:r>
        <w:rPr>
          <w:rFonts w:hint="eastAsia"/>
          <w:color w:val="auto"/>
          <w:lang w:eastAsia="zh-CN"/>
        </w:rPr>
        <w:t>中标人</w:t>
      </w:r>
      <w:r>
        <w:rPr>
          <w:rFonts w:hint="eastAsia"/>
          <w:color w:val="auto"/>
        </w:rPr>
        <w:t>在提交支付申请时，须向</w:t>
      </w:r>
      <w:r>
        <w:rPr>
          <w:rFonts w:hint="eastAsia"/>
          <w:color w:val="auto"/>
          <w:lang w:eastAsia="zh-CN"/>
        </w:rPr>
        <w:t>招标人</w:t>
      </w:r>
      <w:r>
        <w:rPr>
          <w:rFonts w:hint="eastAsia"/>
          <w:color w:val="auto"/>
        </w:rPr>
        <w:t>提供等额有效的增值税发票。</w:t>
      </w:r>
    </w:p>
    <w:p w14:paraId="1EE6E1F7">
      <w:pPr>
        <w:snapToGrid w:val="0"/>
        <w:spacing w:line="360" w:lineRule="auto"/>
        <w:ind w:firstLine="482" w:firstLineChars="200"/>
        <w:rPr>
          <w:b/>
          <w:bCs/>
          <w:color w:val="auto"/>
        </w:rPr>
      </w:pPr>
      <w:r>
        <w:rPr>
          <w:rFonts w:hint="eastAsia"/>
          <w:b/>
          <w:bCs/>
          <w:color w:val="auto"/>
        </w:rPr>
        <w:t>2.3</w:t>
      </w:r>
      <w:r>
        <w:rPr>
          <w:rFonts w:hint="eastAsia"/>
          <w:b/>
          <w:bCs/>
          <w:color w:val="auto"/>
          <w:lang w:val="en-US" w:eastAsia="zh-CN"/>
        </w:rPr>
        <w:t>设计费</w:t>
      </w:r>
      <w:r>
        <w:rPr>
          <w:rFonts w:hint="eastAsia"/>
          <w:b/>
          <w:bCs/>
          <w:color w:val="auto"/>
        </w:rPr>
        <w:t>结算原则：</w:t>
      </w:r>
    </w:p>
    <w:p w14:paraId="5CB047C3">
      <w:pPr>
        <w:spacing w:before="120" w:beforeLines="50" w:line="360" w:lineRule="auto"/>
        <w:ind w:firstLine="480" w:firstLineChars="200"/>
        <w:rPr>
          <w:rFonts w:hint="eastAsia"/>
          <w:color w:val="auto"/>
          <w:lang w:eastAsia="zh-CN"/>
        </w:rPr>
      </w:pPr>
      <w:r>
        <w:rPr>
          <w:rFonts w:hint="eastAsia"/>
          <w:color w:val="auto"/>
          <w:lang w:val="en-US" w:eastAsia="zh-CN"/>
        </w:rPr>
        <w:t>2.3.1</w:t>
      </w:r>
      <w:r>
        <w:rPr>
          <w:rFonts w:hint="eastAsia"/>
          <w:b/>
          <w:bCs/>
          <w:color w:val="auto"/>
          <w:highlight w:val="none"/>
          <w:lang w:val="en-US" w:eastAsia="zh-CN"/>
        </w:rPr>
        <w:t>百年东街改造升级（一期）</w:t>
      </w:r>
      <w:r>
        <w:rPr>
          <w:color w:val="auto"/>
        </w:rPr>
        <w:t>设计费</w:t>
      </w:r>
      <w:r>
        <w:rPr>
          <w:rFonts w:hint="eastAsia"/>
          <w:color w:val="auto"/>
        </w:rPr>
        <w:t>合同价即为结算价</w:t>
      </w:r>
      <w:r>
        <w:rPr>
          <w:color w:val="auto"/>
        </w:rPr>
        <w:t>，</w:t>
      </w:r>
      <w:r>
        <w:rPr>
          <w:rFonts w:hint="eastAsia"/>
          <w:color w:val="auto"/>
          <w:lang w:val="en-US" w:eastAsia="zh-CN"/>
        </w:rPr>
        <w:t>结算时不</w:t>
      </w:r>
      <w:r>
        <w:rPr>
          <w:rFonts w:hint="eastAsia"/>
          <w:color w:val="auto"/>
        </w:rPr>
        <w:t>调整设计费</w:t>
      </w:r>
      <w:r>
        <w:rPr>
          <w:rFonts w:hint="eastAsia"/>
          <w:color w:val="auto"/>
          <w:lang w:eastAsia="zh-CN"/>
        </w:rPr>
        <w:t>。</w:t>
      </w:r>
    </w:p>
    <w:p w14:paraId="65D69D96">
      <w:pPr>
        <w:spacing w:before="120" w:beforeLines="50" w:line="360" w:lineRule="auto"/>
        <w:rPr>
          <w:rFonts w:hint="default"/>
          <w:color w:val="auto"/>
          <w:lang w:val="en-US" w:eastAsia="zh-CN"/>
        </w:rPr>
      </w:pPr>
      <w:r>
        <w:rPr>
          <w:rFonts w:hint="eastAsia"/>
          <w:color w:val="auto"/>
          <w:lang w:val="en-US" w:eastAsia="zh-CN"/>
        </w:rPr>
        <w:t xml:space="preserve">    2.3.2</w:t>
      </w:r>
      <w:r>
        <w:rPr>
          <w:rFonts w:hint="eastAsia"/>
          <w:b/>
          <w:bCs/>
          <w:color w:val="auto"/>
        </w:rPr>
        <w:t>周边历史街区（包括升平路、广富新街、峰前街、群众巷</w:t>
      </w:r>
      <w:r>
        <w:rPr>
          <w:rFonts w:hint="eastAsia"/>
          <w:b/>
          <w:bCs/>
          <w:color w:val="auto"/>
          <w:lang w:val="en-US" w:eastAsia="zh-CN"/>
        </w:rPr>
        <w:t>等</w:t>
      </w:r>
      <w:r>
        <w:rPr>
          <w:rFonts w:hint="eastAsia"/>
          <w:b/>
          <w:bCs/>
          <w:color w:val="auto"/>
        </w:rPr>
        <w:t>）更新改造</w:t>
      </w:r>
      <w:r>
        <w:rPr>
          <w:rFonts w:hint="eastAsia"/>
          <w:b/>
          <w:bCs/>
          <w:color w:val="auto"/>
          <w:lang w:eastAsia="zh-CN"/>
        </w:rPr>
        <w:t>（</w:t>
      </w:r>
      <w:r>
        <w:rPr>
          <w:rFonts w:hint="eastAsia"/>
          <w:b/>
          <w:bCs/>
          <w:color w:val="auto"/>
          <w:lang w:val="en-US" w:eastAsia="zh-CN"/>
        </w:rPr>
        <w:t>二期</w:t>
      </w:r>
      <w:r>
        <w:rPr>
          <w:rFonts w:hint="eastAsia"/>
          <w:b/>
          <w:bCs/>
          <w:color w:val="auto"/>
          <w:lang w:eastAsia="zh-CN"/>
        </w:rPr>
        <w:t>）</w:t>
      </w:r>
      <w:r>
        <w:rPr>
          <w:rFonts w:hint="eastAsia"/>
          <w:b/>
          <w:bCs/>
          <w:color w:val="auto"/>
          <w:lang w:val="en-US" w:eastAsia="zh-CN"/>
        </w:rPr>
        <w:t>建设规模未出现重大调整，设计费合同价即为结算价。若建设规模出现重大调整（重大调整指项目工程费用增加或减少超过估算18000万元的10%），以设计概算中的工程费用为基数，参照《工程勘察设计收费标准（2002年修订本）》规定重新计算设计费（复杂程度系数1.15、改扩建和技术改造建设项目附加调整系数1.4、专业调整系数1.1，其余系数不计取）。</w:t>
      </w:r>
    </w:p>
    <w:p w14:paraId="770D6041">
      <w:pPr>
        <w:spacing w:before="120" w:beforeLines="50" w:line="360" w:lineRule="auto"/>
        <w:ind w:firstLine="480" w:firstLineChars="200"/>
        <w:rPr>
          <w:color w:val="auto"/>
        </w:rPr>
      </w:pPr>
      <w:r>
        <w:rPr>
          <w:rFonts w:hint="eastAsia"/>
          <w:color w:val="auto"/>
          <w:lang w:val="en-US" w:eastAsia="zh-CN"/>
        </w:rPr>
        <w:t>2.3.3若项目设计中途停止实施，按2.2.1款约定的阶段及支付比例支付设计费。</w:t>
      </w:r>
    </w:p>
    <w:p w14:paraId="573298CB">
      <w:pPr>
        <w:pStyle w:val="56"/>
        <w:ind w:firstLine="482" w:firstLineChars="200"/>
        <w:rPr>
          <w:rFonts w:hAnsi="宋体" w:cs="宋体"/>
          <w:bCs/>
          <w:szCs w:val="24"/>
        </w:rPr>
      </w:pPr>
      <w:r>
        <w:rPr>
          <w:rFonts w:hint="eastAsia" w:hAnsi="宋体" w:cs="宋体"/>
          <w:b/>
          <w:szCs w:val="24"/>
          <w:lang w:eastAsia="zh-CN"/>
        </w:rPr>
        <w:t>3.</w:t>
      </w:r>
      <w:r>
        <w:rPr>
          <w:rFonts w:hint="eastAsia" w:hAnsi="宋体" w:cs="宋体"/>
          <w:bCs/>
          <w:szCs w:val="24"/>
        </w:rPr>
        <w:t>中标人拟分包的工作：</w:t>
      </w:r>
    </w:p>
    <w:p w14:paraId="4B1C9543">
      <w:pPr>
        <w:pStyle w:val="56"/>
        <w:ind w:firstLine="480" w:firstLineChars="200"/>
        <w:rPr>
          <w:rFonts w:hAnsi="宋体" w:cs="宋体"/>
          <w:bCs/>
          <w:szCs w:val="24"/>
        </w:rPr>
      </w:pPr>
      <w:r>
        <w:rPr>
          <w:rFonts w:hint="eastAsia" w:hAnsi="宋体" w:cs="宋体"/>
          <w:bCs/>
          <w:szCs w:val="24"/>
        </w:rPr>
        <w:t>3.1对于非主体、非关键性工程，</w:t>
      </w:r>
      <w:r>
        <w:rPr>
          <w:rFonts w:hint="eastAsia" w:hAnsi="宋体" w:cs="宋体"/>
          <w:bCs/>
          <w:szCs w:val="24"/>
          <w:lang w:eastAsia="zh-CN"/>
        </w:rPr>
        <w:t>中标人</w:t>
      </w:r>
      <w:r>
        <w:rPr>
          <w:rFonts w:hint="eastAsia" w:hAnsi="宋体" w:cs="宋体"/>
          <w:bCs/>
          <w:szCs w:val="24"/>
        </w:rPr>
        <w:t>不具备相应资质的，可自行分包给具有相应资质和能力的专业单位实施，但不能再次分包。费用已包含在本次招标费用中。</w:t>
      </w:r>
    </w:p>
    <w:p w14:paraId="22970C4D">
      <w:pPr>
        <w:rPr>
          <w:rStyle w:val="39"/>
          <w:b/>
          <w:bCs/>
          <w:sz w:val="24"/>
        </w:rPr>
      </w:pPr>
      <w:r>
        <w:rPr>
          <w:rStyle w:val="39"/>
          <w:rFonts w:hint="eastAsia"/>
          <w:b/>
          <w:bCs/>
          <w:sz w:val="24"/>
        </w:rPr>
        <w:br w:type="page"/>
      </w:r>
    </w:p>
    <w:p w14:paraId="17BF9B19">
      <w:pPr>
        <w:spacing w:line="360" w:lineRule="auto"/>
        <w:jc w:val="center"/>
        <w:outlineLvl w:val="0"/>
      </w:pPr>
      <w:bookmarkStart w:id="278" w:name="_Toc25196"/>
      <w:bookmarkStart w:id="279" w:name="_Toc5520"/>
      <w:bookmarkStart w:id="280" w:name="_Toc30834"/>
      <w:bookmarkStart w:id="281" w:name="_Toc29460"/>
      <w:r>
        <w:rPr>
          <w:rStyle w:val="39"/>
          <w:rFonts w:hint="eastAsia"/>
          <w:b/>
          <w:bCs/>
          <w:sz w:val="24"/>
        </w:rPr>
        <w:t>第</w:t>
      </w:r>
      <w:bookmarkStart w:id="282" w:name="_Hlt69669171"/>
      <w:bookmarkEnd w:id="282"/>
      <w:r>
        <w:rPr>
          <w:rStyle w:val="39"/>
          <w:rFonts w:hint="eastAsia"/>
          <w:b/>
          <w:bCs/>
          <w:sz w:val="24"/>
        </w:rPr>
        <w:t>三章</w:t>
      </w:r>
      <w:bookmarkStart w:id="283" w:name="_Hlt87793839"/>
      <w:bookmarkEnd w:id="283"/>
      <w:r>
        <w:rPr>
          <w:rStyle w:val="39"/>
          <w:rFonts w:hint="eastAsia"/>
          <w:b/>
          <w:bCs/>
          <w:sz w:val="24"/>
        </w:rPr>
        <w:t xml:space="preserve"> 中标人须知</w:t>
      </w:r>
      <w:bookmarkEnd w:id="259"/>
      <w:bookmarkEnd w:id="278"/>
      <w:bookmarkEnd w:id="279"/>
      <w:bookmarkEnd w:id="280"/>
      <w:bookmarkEnd w:id="281"/>
    </w:p>
    <w:bookmarkEnd w:id="4"/>
    <w:bookmarkEnd w:id="260"/>
    <w:bookmarkEnd w:id="261"/>
    <w:bookmarkEnd w:id="262"/>
    <w:p w14:paraId="2CADDF9B">
      <w:pPr>
        <w:spacing w:line="360" w:lineRule="auto"/>
        <w:ind w:firstLine="562"/>
        <w:outlineLvl w:val="1"/>
        <w:rPr>
          <w:snapToGrid w:val="0"/>
        </w:rPr>
      </w:pPr>
      <w:bookmarkStart w:id="284" w:name="_Toc5752"/>
      <w:bookmarkStart w:id="285" w:name="_Toc6320"/>
      <w:bookmarkStart w:id="286" w:name="_Toc466640610"/>
      <w:bookmarkStart w:id="287" w:name="_Toc28264"/>
      <w:r>
        <w:rPr>
          <w:rFonts w:hint="eastAsia"/>
          <w:b/>
          <w:snapToGrid w:val="0"/>
          <w:lang w:eastAsia="zh-CN"/>
        </w:rPr>
        <w:t>1.</w:t>
      </w:r>
      <w:r>
        <w:rPr>
          <w:rFonts w:hint="eastAsia"/>
          <w:b/>
          <w:snapToGrid w:val="0"/>
        </w:rPr>
        <w:t>中标通知书</w:t>
      </w:r>
      <w:bookmarkEnd w:id="284"/>
      <w:bookmarkEnd w:id="285"/>
    </w:p>
    <w:p w14:paraId="256808C3">
      <w:pPr>
        <w:spacing w:line="360" w:lineRule="auto"/>
        <w:ind w:firstLine="562"/>
        <w:rPr>
          <w:snapToGrid w:val="0"/>
        </w:rPr>
      </w:pPr>
      <w:r>
        <w:rPr>
          <w:rFonts w:hint="eastAsia"/>
          <w:snapToGrid w:val="0"/>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2324F74F">
      <w:pPr>
        <w:spacing w:line="360" w:lineRule="auto"/>
        <w:ind w:firstLine="562"/>
        <w:outlineLvl w:val="1"/>
        <w:rPr>
          <w:snapToGrid w:val="0"/>
          <w:highlight w:val="none"/>
        </w:rPr>
      </w:pPr>
      <w:bookmarkStart w:id="288" w:name="_Toc20916"/>
      <w:bookmarkStart w:id="289" w:name="_Toc10383"/>
      <w:r>
        <w:rPr>
          <w:rFonts w:hint="eastAsia"/>
          <w:b/>
          <w:bCs/>
          <w:snapToGrid w:val="0"/>
          <w:highlight w:val="none"/>
          <w:lang w:eastAsia="zh-CN"/>
        </w:rPr>
        <w:t>2.</w:t>
      </w:r>
      <w:r>
        <w:rPr>
          <w:rFonts w:hint="eastAsia"/>
          <w:b/>
          <w:bCs/>
          <w:snapToGrid w:val="0"/>
          <w:highlight w:val="none"/>
        </w:rPr>
        <w:t>中标结果公示</w:t>
      </w:r>
      <w:bookmarkEnd w:id="288"/>
      <w:bookmarkEnd w:id="289"/>
    </w:p>
    <w:p w14:paraId="5C305CB3">
      <w:pPr>
        <w:spacing w:line="360" w:lineRule="auto"/>
        <w:ind w:firstLine="560"/>
        <w:rPr>
          <w:snapToGrid w:val="0"/>
          <w:highlight w:val="none"/>
        </w:rPr>
      </w:pPr>
      <w:r>
        <w:rPr>
          <w:rFonts w:hint="eastAsia"/>
          <w:snapToGrid w:val="0"/>
          <w:highlight w:val="none"/>
        </w:rPr>
        <w:t>中标通知书发出后15日内，招标人应将中标结果在广东省招标投标监管网（https://www.gdzwfw.gov.cn/ztbjg-portal/#/index）及全国公共资源交易平台（广东省·韶关市）（https://ygp.gdzwfw.gov.cn/ggzy-portal/#/440200/index）发布。</w:t>
      </w:r>
    </w:p>
    <w:p w14:paraId="46613869">
      <w:pPr>
        <w:spacing w:line="360" w:lineRule="auto"/>
        <w:ind w:firstLine="562"/>
        <w:outlineLvl w:val="1"/>
        <w:rPr>
          <w:snapToGrid w:val="0"/>
        </w:rPr>
      </w:pPr>
      <w:bookmarkStart w:id="290" w:name="_Toc15710"/>
      <w:bookmarkStart w:id="291" w:name="_Toc17724"/>
      <w:r>
        <w:rPr>
          <w:rFonts w:hint="eastAsia"/>
          <w:b/>
          <w:bCs/>
          <w:snapToGrid w:val="0"/>
          <w:lang w:eastAsia="zh-CN"/>
        </w:rPr>
        <w:t>3.</w:t>
      </w:r>
      <w:r>
        <w:rPr>
          <w:rFonts w:hint="eastAsia"/>
          <w:b/>
          <w:bCs/>
          <w:snapToGrid w:val="0"/>
        </w:rPr>
        <w:t>履约保证</w:t>
      </w:r>
      <w:bookmarkEnd w:id="290"/>
      <w:bookmarkEnd w:id="291"/>
    </w:p>
    <w:p w14:paraId="1ABDF7E0">
      <w:pPr>
        <w:spacing w:line="360" w:lineRule="auto"/>
        <w:ind w:firstLine="560"/>
        <w:rPr>
          <w:snapToGrid w:val="0"/>
        </w:rPr>
      </w:pPr>
      <w:r>
        <w:rPr>
          <w:rFonts w:hint="eastAsia"/>
          <w:snapToGrid w:val="0"/>
        </w:rPr>
        <w:t>3.1 中标人须在领取中标通知书之日起5个工作日内签订合同前向招标人提交金额为中标价3%的履约保证。联合体投标的，由联合体牵头人缴纳。</w:t>
      </w:r>
    </w:p>
    <w:p w14:paraId="04DB1D27">
      <w:pPr>
        <w:spacing w:line="360" w:lineRule="auto"/>
        <w:ind w:firstLine="560"/>
        <w:rPr>
          <w:snapToGrid w:val="0"/>
        </w:rPr>
      </w:pPr>
      <w:r>
        <w:rPr>
          <w:rFonts w:hint="eastAsia"/>
          <w:snapToGrid w:val="0"/>
        </w:rPr>
        <w:t>3.2 履约保证的形式包括履约保证金、履约保证担保、履约保证保险三种，由中标人自主选择。</w:t>
      </w:r>
    </w:p>
    <w:p w14:paraId="64FA0D4C">
      <w:pPr>
        <w:spacing w:line="360" w:lineRule="auto"/>
        <w:ind w:firstLine="560"/>
        <w:rPr>
          <w:snapToGrid w:val="0"/>
        </w:rPr>
      </w:pPr>
      <w:r>
        <w:rPr>
          <w:rFonts w:hint="eastAsia"/>
          <w:snapToGrid w:val="0"/>
        </w:rPr>
        <w:t>（1）采用履约保证金的，中标人在招标人发起收缴</w:t>
      </w:r>
      <w:r>
        <w:rPr>
          <w:rFonts w:hint="eastAsia"/>
          <w:snapToGrid w:val="0"/>
          <w:lang w:eastAsia="zh-CN"/>
        </w:rPr>
        <w:t>履约保证金</w:t>
      </w:r>
      <w:r>
        <w:rPr>
          <w:rFonts w:hint="eastAsia"/>
          <w:snapToGrid w:val="0"/>
        </w:rPr>
        <w:t>，即可在建设工程交易系统申请缴纳履约保证金，获取本次中标履约保证金缴纳账号。中标人必须于履约保证金到账截止时间（以建设工程交易系统提示为准）前，从其基本账户将履约保证金转账到指定的缴纳账号。逾期到账的、从非投标人基本账户转出的，视其放弃中标，并由招标人通报建设行政管理部门。</w:t>
      </w:r>
    </w:p>
    <w:p w14:paraId="67DD1C49">
      <w:pPr>
        <w:spacing w:line="360" w:lineRule="auto"/>
        <w:ind w:firstLine="560"/>
        <w:rPr>
          <w:snapToGrid w:val="0"/>
        </w:rPr>
      </w:pPr>
      <w:r>
        <w:rPr>
          <w:rFonts w:hint="eastAsia"/>
          <w:snapToGrid w:val="0"/>
        </w:rPr>
        <w:t>（2）采用履约保证担保的，中标人应提交有效的银行电子保函，银行电子保函的有效期应当自合同生效之日起至初步设计（含概算）由招标人审核通过并提交设计成果后28天止。中标人必须在履约保证担保截止时间（以建设工程交易系统提示为准）前，使用工程建设交易系统完成网上办理电子保函。</w:t>
      </w:r>
    </w:p>
    <w:p w14:paraId="28930A24">
      <w:pPr>
        <w:spacing w:line="360" w:lineRule="auto"/>
        <w:ind w:firstLine="560"/>
        <w:rPr>
          <w:snapToGrid w:val="0"/>
        </w:rPr>
      </w:pPr>
      <w:r>
        <w:rPr>
          <w:rFonts w:hint="eastAsia"/>
          <w:snapToGrid w:val="0"/>
        </w:rPr>
        <w:t>（3）采用履约保证保险的，中标人须在履约保证保险投保截止时间（以建设工程交易系统提示为准）前，使用建设工程交易系统完成网上投保。中标人可在系统选择保险机构、录入投保信息、支付保费、下载电子保单，电子保单的有效期应当自合同生效之日起至初步设计（含概算）由招标人审核通过并提交设计成果后28天止的有效期不得短于投标有效期。</w:t>
      </w:r>
    </w:p>
    <w:p w14:paraId="2BF8D6F4">
      <w:pPr>
        <w:spacing w:line="360" w:lineRule="auto"/>
        <w:ind w:firstLine="560"/>
        <w:rPr>
          <w:snapToGrid w:val="0"/>
        </w:rPr>
      </w:pPr>
      <w:r>
        <w:rPr>
          <w:rFonts w:hint="eastAsia"/>
          <w:snapToGrid w:val="0"/>
        </w:rPr>
        <w:t>3.3 中标人在领取中标通知书之日起5个工作日内仍未提交履约保证的，招标人发出第一次提醒函；在领取中标通知书之日起10个工作日内仍未提交的，招标人发出第二次提醒函；在领取中标通知书之日起15个工作日内仍未提交的，视其放弃中标。</w:t>
      </w:r>
    </w:p>
    <w:p w14:paraId="045B1A3F">
      <w:pPr>
        <w:spacing w:line="360" w:lineRule="auto"/>
        <w:ind w:firstLine="560"/>
        <w:rPr>
          <w:snapToGrid w:val="0"/>
        </w:rPr>
      </w:pPr>
      <w:r>
        <w:rPr>
          <w:rFonts w:hint="eastAsia"/>
          <w:snapToGrid w:val="0"/>
        </w:rPr>
        <w:t>3.4在项目实施过程中，如果中标人由于自身的资金、技术、质量、非不可抗力等原因给招标人造成经济损失，扣除相应履约保证。</w:t>
      </w:r>
    </w:p>
    <w:p w14:paraId="360AA0EE">
      <w:pPr>
        <w:spacing w:line="360" w:lineRule="auto"/>
        <w:ind w:firstLine="560"/>
      </w:pPr>
      <w:r>
        <w:rPr>
          <w:rFonts w:hint="eastAsia"/>
          <w:snapToGrid w:val="0"/>
        </w:rPr>
        <w:t>3.5</w:t>
      </w:r>
      <w:r>
        <w:rPr>
          <w:rFonts w:hint="eastAsia"/>
          <w:color w:val="auto"/>
          <w:lang w:val="en-US" w:eastAsia="zh-CN"/>
        </w:rPr>
        <w:t>中标</w:t>
      </w:r>
      <w:r>
        <w:rPr>
          <w:rFonts w:hint="eastAsia"/>
          <w:color w:val="auto"/>
          <w:lang w:eastAsia="zh-CN"/>
        </w:rPr>
        <w:t>人</w:t>
      </w:r>
      <w:r>
        <w:rPr>
          <w:rFonts w:hint="eastAsia"/>
          <w:color w:val="auto"/>
        </w:rPr>
        <w:t>配合完成施工招标和完成施工图设计阶段技术配合，项目拿到施工图审图合格证后</w:t>
      </w:r>
      <w:r>
        <w:rPr>
          <w:rFonts w:hint="eastAsia"/>
          <w:snapToGrid w:val="0"/>
        </w:rPr>
        <w:t>20天内，招标人将履约保证退还给</w:t>
      </w:r>
      <w:r>
        <w:rPr>
          <w:rFonts w:hint="eastAsia"/>
          <w:snapToGrid w:val="0"/>
          <w:lang w:val="en-US" w:eastAsia="zh-CN"/>
        </w:rPr>
        <w:t>中标</w:t>
      </w:r>
      <w:r>
        <w:rPr>
          <w:rFonts w:hint="eastAsia"/>
          <w:snapToGrid w:val="0"/>
        </w:rPr>
        <w:t>人（不计算利息）。</w:t>
      </w:r>
    </w:p>
    <w:p w14:paraId="50CC8D39">
      <w:pPr>
        <w:spacing w:line="360" w:lineRule="auto"/>
        <w:ind w:firstLine="560"/>
        <w:outlineLvl w:val="1"/>
      </w:pPr>
      <w:bookmarkStart w:id="292" w:name="_Toc23646"/>
      <w:bookmarkStart w:id="293" w:name="_Toc31390"/>
      <w:r>
        <w:rPr>
          <w:rFonts w:hint="eastAsia"/>
          <w:b/>
        </w:rPr>
        <w:t>4.</w:t>
      </w:r>
      <w:r>
        <w:rPr>
          <w:rFonts w:hint="eastAsia"/>
          <w:b/>
          <w:bCs/>
        </w:rPr>
        <w:t>合同订立</w:t>
      </w:r>
      <w:bookmarkEnd w:id="292"/>
      <w:bookmarkEnd w:id="293"/>
    </w:p>
    <w:p w14:paraId="5252977A">
      <w:pPr>
        <w:numPr>
          <w:ins w:id="0" w:author="wmy" w:date="2015-09-24T22:24:00Z"/>
        </w:numPr>
        <w:spacing w:line="360" w:lineRule="auto"/>
        <w:ind w:firstLine="470" w:firstLineChars="196"/>
      </w:pPr>
      <w:r>
        <w:rPr>
          <w:rFonts w:hint="eastAsia"/>
        </w:rPr>
        <w:t>4.1 招标人应当自中标通知书发出之日起</w:t>
      </w:r>
      <w:r>
        <w:rPr>
          <w:rFonts w:hint="eastAsia"/>
          <w:u w:val="single"/>
        </w:rPr>
        <w:t xml:space="preserve"> 30 </w:t>
      </w:r>
      <w:r>
        <w:rPr>
          <w:rFonts w:hint="eastAsia"/>
        </w:rPr>
        <w:t>日内，按照招标文件、中标人的投标文件与中标人订立书面合同。</w:t>
      </w:r>
    </w:p>
    <w:p w14:paraId="458A0002">
      <w:pPr>
        <w:spacing w:line="360" w:lineRule="auto"/>
        <w:ind w:firstLine="560"/>
      </w:pPr>
      <w:r>
        <w:rPr>
          <w:rFonts w:hint="eastAsia"/>
        </w:rPr>
        <w:t>4.2 本招标项目合同计价方式：</w:t>
      </w:r>
      <w:r>
        <w:rPr>
          <w:rFonts w:hint="eastAsia"/>
          <w:u w:val="single"/>
        </w:rPr>
        <w:t>总价合同。</w:t>
      </w:r>
    </w:p>
    <w:p w14:paraId="5A2F1AA7">
      <w:pPr>
        <w:spacing w:line="360" w:lineRule="auto"/>
        <w:ind w:firstLine="560"/>
      </w:pPr>
      <w:r>
        <w:rPr>
          <w:rFonts w:hint="eastAsia"/>
        </w:rPr>
        <w:t>4.3 合同的标的、质量、履行期限条款和合同的价款、单价、比例条款等主要条款，应当与招标文件、中标人的投标文件的内容一致。中标人在签订合同时不得向招标人提出附加条件。</w:t>
      </w:r>
    </w:p>
    <w:p w14:paraId="5C1E4EE9">
      <w:pPr>
        <w:spacing w:line="360" w:lineRule="auto"/>
        <w:ind w:firstLine="560"/>
      </w:pPr>
      <w:r>
        <w:rPr>
          <w:rFonts w:hint="eastAsia"/>
        </w:rPr>
        <w:t>4.4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11C61D1C">
      <w:pPr>
        <w:spacing w:line="360" w:lineRule="auto"/>
        <w:ind w:firstLine="560"/>
      </w:pPr>
      <w:r>
        <w:rPr>
          <w:rFonts w:hint="eastAsia"/>
        </w:rPr>
        <w:t>4.5 在书面合同订立之日起2个工作日内，由招标人授权的招标代理机构将合同上传至建设工程交易系统，并发起退还投标保证的申请。韶关市公共资源交易中心在收到申请之日起3个工作日内，将投标保证金（或银行保函）退还给中标人和其他中标候选人。</w:t>
      </w:r>
    </w:p>
    <w:p w14:paraId="78577430">
      <w:pPr>
        <w:spacing w:line="360" w:lineRule="auto"/>
        <w:ind w:firstLine="560"/>
        <w:outlineLvl w:val="1"/>
        <w:rPr>
          <w:b/>
        </w:rPr>
      </w:pPr>
      <w:bookmarkStart w:id="294" w:name="_Toc9985"/>
      <w:bookmarkStart w:id="295" w:name="_Toc27509"/>
      <w:r>
        <w:rPr>
          <w:rFonts w:hint="eastAsia"/>
          <w:b/>
        </w:rPr>
        <w:t>5.放弃中标的处理</w:t>
      </w:r>
      <w:bookmarkEnd w:id="294"/>
      <w:bookmarkEnd w:id="295"/>
    </w:p>
    <w:p w14:paraId="4E115E68">
      <w:pPr>
        <w:spacing w:line="360" w:lineRule="auto"/>
        <w:ind w:firstLine="560"/>
        <w:rPr>
          <w:bCs/>
        </w:rPr>
      </w:pPr>
      <w:r>
        <w:rPr>
          <w:rFonts w:hint="eastAsia"/>
          <w:bCs/>
        </w:rPr>
        <w:t>5.1 中标人无正当理由放弃中标的，取消其中标资格，其投标保</w:t>
      </w:r>
      <w:r>
        <w:rPr>
          <w:rFonts w:hint="eastAsia"/>
          <w:bCs/>
          <w:lang w:eastAsia="zh-CN"/>
        </w:rPr>
        <w:t>证金</w:t>
      </w:r>
      <w:r>
        <w:rPr>
          <w:rFonts w:hint="eastAsia"/>
          <w:bCs/>
        </w:rPr>
        <w:t>不予退还，给招标人造成的损失超过投标保证金额的，弃标人还应当对超过部分予以赔偿。招标人可按照定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0B5F971F">
      <w:pPr>
        <w:spacing w:line="360" w:lineRule="auto"/>
        <w:ind w:firstLine="560"/>
      </w:pPr>
      <w:r>
        <w:rPr>
          <w:rFonts w:hint="eastAsia"/>
          <w:bCs/>
        </w:rPr>
        <w:t>5.2 中标人因不可抗力提出不能履行合同的，须在领取中标通知书之日起10日内提供有关证明文件或资料，其投标保证予以退还，招标人可按照定标委员会提出的中标候选人名单排序依次确定其他中标候选人为中标人。如果招标人认为其他中标候选人的条件明显不利于招标人的，也可以重新招标。</w:t>
      </w:r>
    </w:p>
    <w:p w14:paraId="6D3543D8">
      <w:pPr>
        <w:spacing w:line="360" w:lineRule="auto"/>
        <w:ind w:firstLine="482" w:firstLineChars="200"/>
        <w:outlineLvl w:val="1"/>
        <w:rPr>
          <w:b/>
          <w:snapToGrid w:val="0"/>
        </w:rPr>
      </w:pPr>
      <w:bookmarkStart w:id="296" w:name="_Toc5762"/>
      <w:bookmarkStart w:id="297" w:name="_Toc25383"/>
      <w:bookmarkStart w:id="298" w:name="_Toc20579"/>
      <w:r>
        <w:rPr>
          <w:rFonts w:hint="eastAsia"/>
          <w:b/>
          <w:snapToGrid w:val="0"/>
          <w:lang w:eastAsia="zh-CN"/>
        </w:rPr>
        <w:t>6.</w:t>
      </w:r>
      <w:bookmarkEnd w:id="296"/>
      <w:bookmarkStart w:id="299" w:name="_Toc31321"/>
      <w:r>
        <w:rPr>
          <w:rFonts w:hint="eastAsia"/>
          <w:b/>
          <w:snapToGrid w:val="0"/>
        </w:rPr>
        <w:t>项目管理机构</w:t>
      </w:r>
      <w:bookmarkEnd w:id="297"/>
      <w:bookmarkEnd w:id="298"/>
      <w:bookmarkEnd w:id="299"/>
    </w:p>
    <w:p w14:paraId="2F78AF87">
      <w:pPr>
        <w:spacing w:line="360" w:lineRule="auto"/>
        <w:ind w:firstLine="560"/>
        <w:rPr>
          <w:bCs/>
        </w:rPr>
      </w:pPr>
      <w:r>
        <w:rPr>
          <w:rFonts w:hint="eastAsia"/>
          <w:bCs/>
        </w:rPr>
        <w:t xml:space="preserve">6.1 </w:t>
      </w:r>
      <w:r>
        <w:rPr>
          <w:rFonts w:hint="eastAsia"/>
          <w:bCs/>
          <w:lang w:eastAsia="zh-CN"/>
        </w:rPr>
        <w:t>中标人</w:t>
      </w:r>
      <w:r>
        <w:rPr>
          <w:rFonts w:hint="eastAsia"/>
          <w:bCs/>
        </w:rPr>
        <w:t>派驻的项目管理班子成员必须为其投标文件确定的人员，否则</w:t>
      </w:r>
      <w:r>
        <w:rPr>
          <w:rFonts w:hint="eastAsia"/>
          <w:bCs/>
          <w:lang w:eastAsia="zh-CN"/>
        </w:rPr>
        <w:t>招标人</w:t>
      </w:r>
      <w:r>
        <w:rPr>
          <w:rFonts w:hint="eastAsia"/>
          <w:bCs/>
        </w:rPr>
        <w:t>有权终止合同。</w:t>
      </w:r>
    </w:p>
    <w:p w14:paraId="43F2A3D6">
      <w:pPr>
        <w:spacing w:line="360" w:lineRule="auto"/>
        <w:ind w:firstLine="560"/>
        <w:rPr>
          <w:bCs/>
        </w:rPr>
      </w:pPr>
      <w:r>
        <w:rPr>
          <w:rFonts w:hint="eastAsia"/>
          <w:bCs/>
        </w:rPr>
        <w:t>6.2 项目管理班子成员不得擅自变更。其中，投标文件确定的设计负责人除发生下列情形之一外，不得更换：</w:t>
      </w:r>
    </w:p>
    <w:p w14:paraId="4E8421C2">
      <w:pPr>
        <w:spacing w:line="360" w:lineRule="auto"/>
        <w:ind w:firstLine="480" w:firstLineChars="200"/>
        <w:rPr>
          <w:bCs/>
        </w:rPr>
      </w:pPr>
      <w:r>
        <w:rPr>
          <w:rFonts w:hint="eastAsia"/>
          <w:bCs/>
        </w:rPr>
        <w:t>（一）因重病或重伤（持有县、区以上医院证明）两个月以上不能履行职责的；</w:t>
      </w:r>
    </w:p>
    <w:p w14:paraId="3E0FE139">
      <w:pPr>
        <w:spacing w:line="360" w:lineRule="auto"/>
        <w:ind w:firstLine="480" w:firstLineChars="200"/>
        <w:rPr>
          <w:bCs/>
        </w:rPr>
      </w:pPr>
      <w:r>
        <w:rPr>
          <w:rFonts w:hint="eastAsia"/>
          <w:bCs/>
        </w:rPr>
        <w:t>（二）调离原工作单位的；</w:t>
      </w:r>
    </w:p>
    <w:p w14:paraId="02402812">
      <w:pPr>
        <w:spacing w:line="360" w:lineRule="auto"/>
        <w:ind w:firstLine="480" w:firstLineChars="200"/>
        <w:rPr>
          <w:bCs/>
        </w:rPr>
      </w:pPr>
      <w:r>
        <w:rPr>
          <w:rFonts w:hint="eastAsia"/>
          <w:bCs/>
        </w:rPr>
        <w:t>（三）无能力履行合同的责任和义务，造成严重后果，建设单位要求更换的；</w:t>
      </w:r>
    </w:p>
    <w:p w14:paraId="724DDE47">
      <w:pPr>
        <w:spacing w:line="360" w:lineRule="auto"/>
        <w:ind w:firstLine="480" w:firstLineChars="200"/>
        <w:rPr>
          <w:bCs/>
        </w:rPr>
      </w:pPr>
      <w:r>
        <w:rPr>
          <w:rFonts w:hint="eastAsia"/>
          <w:bCs/>
        </w:rPr>
        <w:t>（四）因违法被责令停止执业的；</w:t>
      </w:r>
    </w:p>
    <w:p w14:paraId="30553C49">
      <w:pPr>
        <w:spacing w:line="360" w:lineRule="auto"/>
        <w:ind w:firstLine="480" w:firstLineChars="200"/>
        <w:rPr>
          <w:bCs/>
        </w:rPr>
      </w:pPr>
      <w:r>
        <w:rPr>
          <w:rFonts w:hint="eastAsia"/>
          <w:bCs/>
        </w:rPr>
        <w:t>（五）因犯罪被羁押或判刑的；</w:t>
      </w:r>
    </w:p>
    <w:p w14:paraId="50F69BE7">
      <w:pPr>
        <w:spacing w:line="360" w:lineRule="auto"/>
        <w:ind w:firstLine="480" w:firstLineChars="200"/>
        <w:rPr>
          <w:bCs/>
        </w:rPr>
      </w:pPr>
      <w:r>
        <w:rPr>
          <w:rFonts w:hint="eastAsia"/>
          <w:bCs/>
        </w:rPr>
        <w:t>（六）死亡。</w:t>
      </w:r>
    </w:p>
    <w:p w14:paraId="1FC7CF87">
      <w:pPr>
        <w:spacing w:line="360" w:lineRule="auto"/>
        <w:ind w:firstLine="560"/>
        <w:rPr>
          <w:bCs/>
        </w:rPr>
      </w:pPr>
      <w:r>
        <w:rPr>
          <w:rFonts w:hint="eastAsia"/>
          <w:bCs/>
        </w:rPr>
        <w:t>发生上述情形需要更换的，</w:t>
      </w:r>
      <w:r>
        <w:rPr>
          <w:rFonts w:hint="eastAsia"/>
          <w:bCs/>
          <w:lang w:eastAsia="zh-CN"/>
        </w:rPr>
        <w:t>中标人应</w:t>
      </w:r>
      <w:r>
        <w:rPr>
          <w:rFonts w:hint="eastAsia"/>
          <w:bCs/>
        </w:rPr>
        <w:t>填报《建设工程项目管理班子变更情况报告表》（见《广东省住房和城乡建设厅关于建设工程项目招标中标后监督检查的办法》（粤建市〔2009〕8号）附件4），并附上有关证明文件，经</w:t>
      </w:r>
      <w:r>
        <w:rPr>
          <w:rFonts w:hint="eastAsia"/>
          <w:bCs/>
          <w:lang w:eastAsia="zh-CN"/>
        </w:rPr>
        <w:t>招标人</w:t>
      </w:r>
      <w:r>
        <w:rPr>
          <w:rFonts w:hint="eastAsia"/>
          <w:bCs/>
        </w:rPr>
        <w:t>和建设行政主管部门审核同意方可变更且更换后的设计负责人应与</w:t>
      </w:r>
      <w:r>
        <w:rPr>
          <w:rFonts w:hint="eastAsia"/>
          <w:bCs/>
          <w:lang w:eastAsia="zh-CN"/>
        </w:rPr>
        <w:t>中标人</w:t>
      </w:r>
      <w:r>
        <w:rPr>
          <w:rFonts w:hint="eastAsia"/>
          <w:bCs/>
        </w:rPr>
        <w:t>的投标文件所确定的原设计负责人的主要条件一致。</w:t>
      </w:r>
    </w:p>
    <w:p w14:paraId="4F712304">
      <w:pPr>
        <w:spacing w:line="360" w:lineRule="auto"/>
        <w:ind w:firstLine="482" w:firstLineChars="200"/>
        <w:outlineLvl w:val="1"/>
        <w:rPr>
          <w:b/>
          <w:snapToGrid w:val="0"/>
        </w:rPr>
      </w:pPr>
      <w:bookmarkStart w:id="300" w:name="_Toc30672"/>
      <w:bookmarkStart w:id="301" w:name="_Toc26075"/>
      <w:bookmarkStart w:id="302" w:name="_Toc12700"/>
      <w:r>
        <w:rPr>
          <w:rFonts w:hint="eastAsia"/>
          <w:b/>
          <w:snapToGrid w:val="0"/>
          <w:lang w:eastAsia="zh-CN"/>
        </w:rPr>
        <w:t>7.</w:t>
      </w:r>
      <w:r>
        <w:rPr>
          <w:rFonts w:hint="eastAsia"/>
          <w:b/>
          <w:snapToGrid w:val="0"/>
        </w:rPr>
        <w:t>监督实施</w:t>
      </w:r>
      <w:bookmarkEnd w:id="300"/>
      <w:bookmarkEnd w:id="301"/>
      <w:bookmarkEnd w:id="302"/>
    </w:p>
    <w:p w14:paraId="42593A67">
      <w:pPr>
        <w:pStyle w:val="176"/>
        <w:spacing w:line="360" w:lineRule="auto"/>
        <w:ind w:firstLine="480" w:firstLineChars="200"/>
        <w:jc w:val="both"/>
        <w:rPr>
          <w:rFonts w:ascii="宋体" w:hAnsi="宋体" w:cs="宋体"/>
          <w:b w:val="0"/>
          <w:snapToGrid w:val="0"/>
          <w:kern w:val="0"/>
          <w:sz w:val="24"/>
          <w:highlight w:val="none"/>
        </w:rPr>
      </w:pPr>
      <w:r>
        <w:rPr>
          <w:rFonts w:hint="eastAsia" w:ascii="宋体" w:hAnsi="宋体" w:cs="宋体"/>
          <w:b w:val="0"/>
          <w:snapToGrid w:val="0"/>
          <w:kern w:val="0"/>
          <w:sz w:val="24"/>
          <w:highlight w:val="none"/>
          <w:lang w:val="en-US" w:eastAsia="zh-CN"/>
        </w:rPr>
        <w:t>中标人</w:t>
      </w:r>
      <w:r>
        <w:rPr>
          <w:rFonts w:hint="eastAsia" w:ascii="宋体" w:hAnsi="宋体" w:cs="宋体"/>
          <w:b w:val="0"/>
          <w:snapToGrid w:val="0"/>
          <w:kern w:val="0"/>
          <w:sz w:val="24"/>
          <w:highlight w:val="none"/>
        </w:rPr>
        <w:t>须服从</w:t>
      </w:r>
      <w:r>
        <w:rPr>
          <w:rFonts w:hint="eastAsia" w:ascii="宋体" w:hAnsi="宋体" w:cs="宋体"/>
          <w:b w:val="0"/>
          <w:snapToGrid w:val="0"/>
          <w:kern w:val="0"/>
          <w:sz w:val="24"/>
          <w:highlight w:val="none"/>
          <w:lang w:val="en-US" w:eastAsia="zh-CN"/>
        </w:rPr>
        <w:t>招标人</w:t>
      </w:r>
      <w:r>
        <w:rPr>
          <w:rFonts w:hint="eastAsia" w:ascii="宋体" w:hAnsi="宋体" w:cs="宋体"/>
          <w:b w:val="0"/>
          <w:snapToGrid w:val="0"/>
          <w:kern w:val="0"/>
          <w:sz w:val="24"/>
          <w:highlight w:val="none"/>
        </w:rPr>
        <w:t>对工程质量、进度、成本的全方位的监督，项目资料应及时报送招标人审查备案。</w:t>
      </w:r>
    </w:p>
    <w:p w14:paraId="7422551C">
      <w:pPr>
        <w:spacing w:line="360" w:lineRule="auto"/>
        <w:ind w:firstLine="482" w:firstLineChars="200"/>
        <w:outlineLvl w:val="1"/>
        <w:rPr>
          <w:b/>
          <w:snapToGrid w:val="0"/>
          <w:highlight w:val="none"/>
        </w:rPr>
      </w:pPr>
      <w:bookmarkStart w:id="303" w:name="_Toc1811"/>
      <w:bookmarkStart w:id="304" w:name="_Toc6268"/>
      <w:bookmarkStart w:id="305" w:name="_Toc14276"/>
      <w:r>
        <w:rPr>
          <w:rFonts w:hint="eastAsia"/>
          <w:b/>
          <w:snapToGrid w:val="0"/>
          <w:highlight w:val="none"/>
        </w:rPr>
        <w:t>8 其他事项</w:t>
      </w:r>
      <w:bookmarkEnd w:id="303"/>
      <w:bookmarkEnd w:id="304"/>
      <w:bookmarkEnd w:id="305"/>
    </w:p>
    <w:p w14:paraId="64280F40">
      <w:pPr>
        <w:pStyle w:val="176"/>
        <w:spacing w:line="360" w:lineRule="auto"/>
        <w:ind w:firstLine="482" w:firstLineChars="200"/>
        <w:jc w:val="both"/>
        <w:rPr>
          <w:rFonts w:ascii="宋体" w:hAnsi="宋体" w:cs="宋体"/>
          <w:b w:val="0"/>
          <w:snapToGrid w:val="0"/>
          <w:kern w:val="0"/>
          <w:sz w:val="24"/>
          <w:highlight w:val="none"/>
        </w:rPr>
      </w:pPr>
      <w:r>
        <w:rPr>
          <w:rFonts w:hint="eastAsia" w:ascii="宋体" w:hAnsi="宋体" w:cs="宋体"/>
          <w:bCs/>
          <w:snapToGrid w:val="0"/>
          <w:kern w:val="0"/>
          <w:sz w:val="24"/>
          <w:highlight w:val="none"/>
        </w:rPr>
        <w:t>8.1</w:t>
      </w:r>
      <w:r>
        <w:rPr>
          <w:rFonts w:hint="eastAsia" w:ascii="宋体" w:hAnsi="宋体" w:cs="宋体"/>
          <w:b w:val="0"/>
          <w:snapToGrid w:val="0"/>
          <w:kern w:val="0"/>
          <w:sz w:val="24"/>
          <w:highlight w:val="none"/>
        </w:rPr>
        <w:t xml:space="preserve"> 中标人须在收到中标通知书之</w:t>
      </w:r>
      <w:r>
        <w:rPr>
          <w:rFonts w:hint="eastAsia" w:ascii="宋体" w:hAnsi="宋体" w:cs="宋体"/>
          <w:b w:val="0"/>
          <w:snapToGrid w:val="0"/>
          <w:kern w:val="0"/>
          <w:sz w:val="24"/>
          <w:highlight w:val="none"/>
          <w:lang w:eastAsia="zh-CN"/>
        </w:rPr>
        <w:t>日起</w:t>
      </w:r>
      <w:r>
        <w:rPr>
          <w:rFonts w:hint="eastAsia" w:ascii="宋体" w:hAnsi="宋体" w:cs="宋体"/>
          <w:b w:val="0"/>
          <w:snapToGrid w:val="0"/>
          <w:kern w:val="0"/>
          <w:sz w:val="24"/>
          <w:highlight w:val="none"/>
        </w:rPr>
        <w:t>两天内向招标人提交各阶段详细的工期计划承诺书。</w:t>
      </w:r>
    </w:p>
    <w:p w14:paraId="6FDE02A8">
      <w:pPr>
        <w:pStyle w:val="176"/>
        <w:spacing w:line="360" w:lineRule="auto"/>
        <w:ind w:firstLine="482" w:firstLineChars="200"/>
        <w:jc w:val="both"/>
        <w:rPr>
          <w:rFonts w:ascii="宋体" w:hAnsi="宋体" w:cs="宋体"/>
          <w:b w:val="0"/>
          <w:snapToGrid w:val="0"/>
          <w:kern w:val="0"/>
          <w:sz w:val="24"/>
          <w:highlight w:val="none"/>
        </w:rPr>
      </w:pPr>
      <w:r>
        <w:rPr>
          <w:rFonts w:hint="eastAsia" w:ascii="宋体" w:hAnsi="宋体" w:cs="宋体"/>
          <w:bCs/>
          <w:snapToGrid w:val="0"/>
          <w:kern w:val="0"/>
          <w:sz w:val="24"/>
          <w:highlight w:val="none"/>
        </w:rPr>
        <w:t xml:space="preserve">8.2 </w:t>
      </w:r>
      <w:r>
        <w:rPr>
          <w:rFonts w:hint="eastAsia" w:ascii="宋体" w:hAnsi="宋体" w:cs="宋体"/>
          <w:b w:val="0"/>
          <w:snapToGrid w:val="0"/>
          <w:kern w:val="0"/>
          <w:sz w:val="24"/>
          <w:highlight w:val="none"/>
        </w:rPr>
        <w:t>本项目各个阶段的设计成果必须经招标人及有关审批部门同意后方可进行下</w:t>
      </w:r>
      <w:r>
        <w:rPr>
          <w:rFonts w:hint="eastAsia" w:ascii="宋体" w:hAnsi="宋体" w:cs="宋体"/>
          <w:b w:val="0"/>
          <w:snapToGrid w:val="0"/>
          <w:kern w:val="0"/>
          <w:sz w:val="24"/>
          <w:highlight w:val="none"/>
          <w:lang w:eastAsia="zh-CN"/>
        </w:rPr>
        <w:t>一道</w:t>
      </w:r>
      <w:r>
        <w:rPr>
          <w:rFonts w:hint="eastAsia" w:ascii="宋体" w:hAnsi="宋体" w:cs="宋体"/>
          <w:b w:val="0"/>
          <w:snapToGrid w:val="0"/>
          <w:kern w:val="0"/>
          <w:sz w:val="24"/>
          <w:highlight w:val="none"/>
        </w:rPr>
        <w:t>工序的设计工作，若由于招标人或有关审批部门在审批过程中提出的设计修改或变更，中标人必须无条件进行修改或变更，招标人不再支付由此而增加的设计费用。</w:t>
      </w:r>
      <w:r>
        <w:rPr>
          <w:rFonts w:hint="eastAsia" w:ascii="宋体" w:hAnsi="宋体" w:cs="宋体"/>
          <w:b w:val="0"/>
          <w:snapToGrid w:val="0"/>
          <w:color w:val="auto"/>
          <w:kern w:val="0"/>
          <w:sz w:val="24"/>
          <w:highlight w:val="none"/>
        </w:rPr>
        <w:t>若设计超过了限额标准</w:t>
      </w:r>
      <w:r>
        <w:rPr>
          <w:rFonts w:hint="eastAsia" w:ascii="宋体" w:hAnsi="宋体" w:cs="宋体"/>
          <w:b w:val="0"/>
          <w:snapToGrid w:val="0"/>
          <w:color w:val="auto"/>
          <w:kern w:val="0"/>
          <w:sz w:val="24"/>
          <w:highlight w:val="none"/>
          <w:lang w:eastAsia="zh-CN"/>
        </w:rPr>
        <w:t>（</w:t>
      </w:r>
      <w:r>
        <w:rPr>
          <w:rFonts w:hint="eastAsia" w:ascii="宋体" w:hAnsi="宋体" w:cs="宋体"/>
          <w:b w:val="0"/>
          <w:snapToGrid w:val="0"/>
          <w:color w:val="auto"/>
          <w:kern w:val="0"/>
          <w:sz w:val="24"/>
          <w:highlight w:val="none"/>
          <w:lang w:val="en-US" w:eastAsia="zh-CN"/>
        </w:rPr>
        <w:t>项目可行性研究报告中投资估算的工程费用</w:t>
      </w:r>
      <w:r>
        <w:rPr>
          <w:rFonts w:hint="eastAsia" w:ascii="宋体" w:hAnsi="宋体" w:cs="宋体"/>
          <w:b w:val="0"/>
          <w:snapToGrid w:val="0"/>
          <w:color w:val="auto"/>
          <w:kern w:val="0"/>
          <w:sz w:val="24"/>
          <w:highlight w:val="none"/>
          <w:lang w:eastAsia="zh-CN"/>
        </w:rPr>
        <w:t>）</w:t>
      </w:r>
      <w:r>
        <w:rPr>
          <w:rFonts w:hint="eastAsia" w:ascii="宋体" w:hAnsi="宋体" w:cs="宋体"/>
          <w:b w:val="0"/>
          <w:snapToGrid w:val="0"/>
          <w:kern w:val="0"/>
          <w:sz w:val="24"/>
          <w:highlight w:val="none"/>
        </w:rPr>
        <w:t>，中标人必须无条件优化，直至达到限额要求为止，设计工期</w:t>
      </w:r>
      <w:r>
        <w:rPr>
          <w:rFonts w:hint="eastAsia" w:ascii="宋体" w:hAnsi="宋体" w:cs="宋体"/>
          <w:b w:val="0"/>
          <w:snapToGrid w:val="0"/>
          <w:kern w:val="0"/>
          <w:sz w:val="24"/>
          <w:highlight w:val="none"/>
          <w:lang w:val="en-US" w:eastAsia="zh-CN"/>
        </w:rPr>
        <w:t>不</w:t>
      </w:r>
      <w:r>
        <w:rPr>
          <w:rFonts w:hint="eastAsia" w:ascii="宋体" w:hAnsi="宋体" w:cs="宋体"/>
          <w:b w:val="0"/>
          <w:snapToGrid w:val="0"/>
          <w:kern w:val="0"/>
          <w:sz w:val="24"/>
          <w:highlight w:val="none"/>
        </w:rPr>
        <w:t>予以顺延，招标人不再支付由此而增加的设计费。</w:t>
      </w:r>
    </w:p>
    <w:p w14:paraId="3318E343">
      <w:pPr>
        <w:pStyle w:val="176"/>
        <w:spacing w:line="360" w:lineRule="auto"/>
        <w:ind w:firstLine="482" w:firstLineChars="200"/>
        <w:jc w:val="both"/>
        <w:rPr>
          <w:rFonts w:ascii="宋体" w:hAnsi="宋体" w:cs="宋体"/>
          <w:b w:val="0"/>
          <w:snapToGrid w:val="0"/>
          <w:kern w:val="0"/>
          <w:sz w:val="24"/>
          <w:highlight w:val="none"/>
        </w:rPr>
      </w:pPr>
      <w:r>
        <w:rPr>
          <w:rFonts w:hint="eastAsia" w:ascii="宋体" w:hAnsi="宋体" w:cs="宋体"/>
          <w:bCs/>
          <w:snapToGrid w:val="0"/>
          <w:kern w:val="0"/>
          <w:sz w:val="24"/>
          <w:highlight w:val="none"/>
        </w:rPr>
        <w:t xml:space="preserve">8.3 </w:t>
      </w:r>
      <w:r>
        <w:rPr>
          <w:rFonts w:hint="eastAsia" w:ascii="宋体" w:hAnsi="宋体" w:cs="宋体"/>
          <w:b w:val="0"/>
          <w:snapToGrid w:val="0"/>
          <w:kern w:val="0"/>
          <w:sz w:val="24"/>
          <w:highlight w:val="none"/>
        </w:rPr>
        <w:t>每一步设计工作必须经招标人及有关部门审核批准后方可进行下一步设计。中标人提交的设计成果必须经招标人确认后，再送有资质的审图单位的进行审查，若由于招标人和审图单位在审查过程中提出的设计修改或变更，中标人必须无条件进行修改或优化设计，招标人不再支付由此而增加的设计费用。</w:t>
      </w:r>
    </w:p>
    <w:p w14:paraId="5CD36152">
      <w:pPr>
        <w:spacing w:line="360" w:lineRule="auto"/>
        <w:ind w:firstLine="482" w:firstLineChars="200"/>
        <w:rPr>
          <w:b/>
          <w:highlight w:val="none"/>
        </w:rPr>
      </w:pPr>
      <w:r>
        <w:rPr>
          <w:rFonts w:hint="eastAsia"/>
          <w:b/>
          <w:kern w:val="2"/>
          <w:highlight w:val="none"/>
        </w:rPr>
        <w:t xml:space="preserve">8.4 </w:t>
      </w:r>
      <w:r>
        <w:rPr>
          <w:rFonts w:hint="eastAsia"/>
          <w:b/>
          <w:kern w:val="2"/>
          <w:highlight w:val="none"/>
          <w:lang w:val="en-US" w:eastAsia="zh-CN"/>
        </w:rPr>
        <w:t>中标</w:t>
      </w:r>
      <w:r>
        <w:rPr>
          <w:rFonts w:hint="eastAsia"/>
          <w:b/>
          <w:kern w:val="2"/>
          <w:highlight w:val="none"/>
        </w:rPr>
        <w:t>人义务及违约责任</w:t>
      </w:r>
    </w:p>
    <w:p w14:paraId="34497AC7">
      <w:pPr>
        <w:spacing w:line="360" w:lineRule="auto"/>
        <w:ind w:firstLine="482" w:firstLineChars="200"/>
        <w:rPr>
          <w:rStyle w:val="39"/>
          <w:b/>
          <w:bCs/>
          <w:sz w:val="24"/>
          <w:highlight w:val="none"/>
        </w:rPr>
      </w:pPr>
      <w:r>
        <w:rPr>
          <w:rFonts w:hint="eastAsia"/>
          <w:b/>
          <w:kern w:val="2"/>
          <w:highlight w:val="none"/>
        </w:rPr>
        <w:t>8.4.</w:t>
      </w:r>
      <w:r>
        <w:rPr>
          <w:rStyle w:val="39"/>
          <w:rFonts w:hint="eastAsia"/>
          <w:b/>
          <w:bCs/>
          <w:sz w:val="24"/>
          <w:highlight w:val="none"/>
        </w:rPr>
        <w:t xml:space="preserve">1 </w:t>
      </w:r>
      <w:r>
        <w:rPr>
          <w:rStyle w:val="39"/>
          <w:rFonts w:hint="eastAsia"/>
          <w:b/>
          <w:bCs/>
          <w:sz w:val="24"/>
          <w:highlight w:val="none"/>
          <w:lang w:val="en-US" w:eastAsia="zh-CN"/>
        </w:rPr>
        <w:t>中标</w:t>
      </w:r>
      <w:r>
        <w:rPr>
          <w:rStyle w:val="39"/>
          <w:rFonts w:hint="eastAsia"/>
          <w:b/>
          <w:bCs/>
          <w:sz w:val="24"/>
          <w:highlight w:val="none"/>
        </w:rPr>
        <w:t>人义务</w:t>
      </w:r>
    </w:p>
    <w:p w14:paraId="01F80508">
      <w:pPr>
        <w:spacing w:line="360" w:lineRule="auto"/>
        <w:ind w:firstLine="480" w:firstLineChars="200"/>
        <w:rPr>
          <w:rStyle w:val="39"/>
          <w:sz w:val="24"/>
          <w:highlight w:val="none"/>
        </w:rPr>
      </w:pPr>
      <w:bookmarkStart w:id="306" w:name="_Toc3824"/>
      <w:bookmarkStart w:id="307" w:name="_Toc13156"/>
      <w:bookmarkStart w:id="308" w:name="_Toc22788"/>
      <w:bookmarkStart w:id="309" w:name="_Toc16326"/>
      <w:bookmarkStart w:id="310" w:name="_Toc11410"/>
      <w:bookmarkStart w:id="311" w:name="_Toc9811"/>
      <w:r>
        <w:rPr>
          <w:rStyle w:val="39"/>
          <w:rFonts w:hint="eastAsia"/>
          <w:sz w:val="24"/>
          <w:highlight w:val="none"/>
        </w:rPr>
        <w:t>（1）中标通知书发出后10天内第一中标候选人不按招标文件约定条款签订设计合同的，视为自动放弃中标资格，没收投标保证金，并确定第二中标候选人为中标人，以此类推。并上报建设行政主管部门。</w:t>
      </w:r>
    </w:p>
    <w:bookmarkEnd w:id="306"/>
    <w:bookmarkEnd w:id="307"/>
    <w:bookmarkEnd w:id="308"/>
    <w:bookmarkEnd w:id="309"/>
    <w:bookmarkEnd w:id="310"/>
    <w:bookmarkEnd w:id="311"/>
    <w:p w14:paraId="22E5A421">
      <w:pPr>
        <w:spacing w:line="360" w:lineRule="auto"/>
        <w:ind w:firstLine="480" w:firstLineChars="200"/>
        <w:rPr>
          <w:rStyle w:val="39"/>
          <w:sz w:val="24"/>
          <w:highlight w:val="none"/>
        </w:rPr>
      </w:pPr>
      <w:bookmarkStart w:id="312" w:name="_Toc23470"/>
      <w:bookmarkStart w:id="313" w:name="_Toc26853"/>
      <w:bookmarkStart w:id="314" w:name="_Toc6838"/>
      <w:bookmarkStart w:id="315" w:name="_Toc7472"/>
      <w:bookmarkStart w:id="316" w:name="_Toc31688"/>
      <w:bookmarkStart w:id="317" w:name="_Toc777"/>
      <w:r>
        <w:rPr>
          <w:rStyle w:val="39"/>
          <w:rFonts w:hint="eastAsia"/>
          <w:sz w:val="24"/>
          <w:highlight w:val="none"/>
        </w:rPr>
        <w:t>（2）合同生效后，</w:t>
      </w:r>
      <w:r>
        <w:rPr>
          <w:rStyle w:val="39"/>
          <w:rFonts w:hint="eastAsia"/>
          <w:sz w:val="24"/>
          <w:highlight w:val="none"/>
          <w:lang w:eastAsia="zh-CN"/>
        </w:rPr>
        <w:t>中标人</w:t>
      </w:r>
      <w:r>
        <w:rPr>
          <w:rStyle w:val="39"/>
          <w:rFonts w:hint="eastAsia"/>
          <w:sz w:val="24"/>
          <w:highlight w:val="none"/>
        </w:rPr>
        <w:t>要求终止或解除合同视为</w:t>
      </w:r>
      <w:r>
        <w:rPr>
          <w:rStyle w:val="39"/>
          <w:rFonts w:hint="eastAsia"/>
          <w:sz w:val="24"/>
          <w:highlight w:val="none"/>
          <w:lang w:eastAsia="zh-CN"/>
        </w:rPr>
        <w:t>中标人</w:t>
      </w:r>
      <w:r>
        <w:rPr>
          <w:rStyle w:val="39"/>
          <w:rFonts w:hint="eastAsia"/>
          <w:sz w:val="24"/>
          <w:highlight w:val="none"/>
        </w:rPr>
        <w:t>违约，扣除履约保证金。</w:t>
      </w:r>
    </w:p>
    <w:bookmarkEnd w:id="312"/>
    <w:bookmarkEnd w:id="313"/>
    <w:bookmarkEnd w:id="314"/>
    <w:bookmarkEnd w:id="315"/>
    <w:bookmarkEnd w:id="316"/>
    <w:bookmarkEnd w:id="317"/>
    <w:p w14:paraId="5ED63D83">
      <w:pPr>
        <w:spacing w:line="360" w:lineRule="auto"/>
        <w:ind w:firstLine="480" w:firstLineChars="200"/>
        <w:rPr>
          <w:rStyle w:val="39"/>
          <w:sz w:val="24"/>
          <w:highlight w:val="none"/>
        </w:rPr>
      </w:pPr>
      <w:bookmarkStart w:id="318" w:name="_Toc7352"/>
      <w:bookmarkStart w:id="319" w:name="_Toc11687"/>
      <w:bookmarkStart w:id="320" w:name="_Toc22305"/>
      <w:bookmarkStart w:id="321" w:name="_Toc5562"/>
      <w:bookmarkStart w:id="322" w:name="_Toc2915"/>
      <w:bookmarkStart w:id="323" w:name="_Toc3878"/>
      <w:r>
        <w:rPr>
          <w:rStyle w:val="39"/>
          <w:rFonts w:hint="eastAsia"/>
          <w:sz w:val="24"/>
          <w:highlight w:val="none"/>
        </w:rPr>
        <w:t>（3）</w:t>
      </w:r>
      <w:r>
        <w:rPr>
          <w:rStyle w:val="39"/>
          <w:rFonts w:hint="eastAsia"/>
          <w:sz w:val="24"/>
          <w:highlight w:val="none"/>
          <w:lang w:eastAsia="zh-CN"/>
        </w:rPr>
        <w:t>中标人</w:t>
      </w:r>
      <w:r>
        <w:rPr>
          <w:rStyle w:val="39"/>
          <w:rFonts w:hint="eastAsia"/>
          <w:sz w:val="24"/>
          <w:highlight w:val="none"/>
        </w:rPr>
        <w:t>负责按照合同规定承包范围、内容和方式，在规定时间内提交满足规定质量要求的，并完成约定的服务内容。</w:t>
      </w:r>
      <w:r>
        <w:rPr>
          <w:rStyle w:val="39"/>
          <w:rFonts w:hint="eastAsia"/>
          <w:sz w:val="24"/>
          <w:highlight w:val="none"/>
          <w:lang w:eastAsia="zh-CN"/>
        </w:rPr>
        <w:t>中标人</w:t>
      </w:r>
      <w:r>
        <w:rPr>
          <w:rStyle w:val="39"/>
          <w:rFonts w:hint="eastAsia"/>
          <w:sz w:val="24"/>
          <w:highlight w:val="none"/>
        </w:rPr>
        <w:t>交付设计文件后，按规定参加有关的设计审查，并根据审查结论负责不超出原定范围的内容做必要调</w:t>
      </w:r>
      <w:r>
        <w:rPr>
          <w:rStyle w:val="39"/>
          <w:rFonts w:hint="eastAsia"/>
          <w:sz w:val="24"/>
          <w:highlight w:val="none"/>
          <w:lang w:eastAsia="zh-CN"/>
        </w:rPr>
        <w:t>整和</w:t>
      </w:r>
      <w:r>
        <w:rPr>
          <w:rStyle w:val="39"/>
          <w:rFonts w:hint="eastAsia"/>
          <w:sz w:val="24"/>
          <w:highlight w:val="none"/>
        </w:rPr>
        <w:t>补充。</w:t>
      </w:r>
    </w:p>
    <w:bookmarkEnd w:id="318"/>
    <w:bookmarkEnd w:id="319"/>
    <w:bookmarkEnd w:id="320"/>
    <w:bookmarkEnd w:id="321"/>
    <w:bookmarkEnd w:id="322"/>
    <w:bookmarkEnd w:id="323"/>
    <w:p w14:paraId="5C02ABEC">
      <w:pPr>
        <w:spacing w:line="360" w:lineRule="auto"/>
        <w:ind w:firstLine="480" w:firstLineChars="200"/>
        <w:rPr>
          <w:rStyle w:val="39"/>
          <w:sz w:val="24"/>
          <w:highlight w:val="none"/>
        </w:rPr>
      </w:pPr>
      <w:bookmarkStart w:id="324" w:name="_Toc906"/>
      <w:bookmarkStart w:id="325" w:name="_Toc16469"/>
      <w:bookmarkStart w:id="326" w:name="_Toc17184"/>
      <w:bookmarkStart w:id="327" w:name="_Toc21480"/>
      <w:bookmarkStart w:id="328" w:name="_Toc326"/>
      <w:bookmarkStart w:id="329" w:name="_Toc3742"/>
      <w:r>
        <w:rPr>
          <w:rStyle w:val="39"/>
          <w:rFonts w:hint="eastAsia"/>
          <w:sz w:val="24"/>
          <w:highlight w:val="none"/>
        </w:rPr>
        <w:t>（4）</w:t>
      </w:r>
      <w:r>
        <w:rPr>
          <w:rStyle w:val="39"/>
          <w:rFonts w:hint="eastAsia"/>
          <w:sz w:val="24"/>
          <w:highlight w:val="none"/>
          <w:lang w:eastAsia="zh-CN"/>
        </w:rPr>
        <w:t>中标人</w:t>
      </w:r>
      <w:r>
        <w:rPr>
          <w:rStyle w:val="39"/>
          <w:rFonts w:hint="eastAsia"/>
          <w:sz w:val="24"/>
          <w:highlight w:val="none"/>
        </w:rPr>
        <w:t>应对</w:t>
      </w:r>
      <w:r>
        <w:rPr>
          <w:rStyle w:val="39"/>
          <w:rFonts w:hint="eastAsia"/>
          <w:sz w:val="24"/>
          <w:highlight w:val="none"/>
          <w:lang w:eastAsia="zh-CN"/>
        </w:rPr>
        <w:t>招标人</w:t>
      </w:r>
      <w:r>
        <w:rPr>
          <w:rStyle w:val="39"/>
          <w:rFonts w:hint="eastAsia"/>
          <w:sz w:val="24"/>
          <w:highlight w:val="none"/>
        </w:rPr>
        <w:t>提供的文件、资料进行认真研究，对本项目的特点和不确定因素进行认真考虑，并提出合理建议和评价</w:t>
      </w:r>
      <w:r>
        <w:rPr>
          <w:rStyle w:val="39"/>
          <w:rFonts w:hint="eastAsia"/>
          <w:sz w:val="24"/>
          <w:highlight w:val="none"/>
          <w:lang w:eastAsia="zh-CN"/>
        </w:rPr>
        <w:t>，</w:t>
      </w:r>
      <w:r>
        <w:rPr>
          <w:rStyle w:val="39"/>
          <w:rFonts w:hint="eastAsia"/>
          <w:sz w:val="24"/>
          <w:highlight w:val="none"/>
        </w:rPr>
        <w:t>对影响设计稳定的重大问题要进行多方案比较选择。</w:t>
      </w:r>
    </w:p>
    <w:bookmarkEnd w:id="324"/>
    <w:bookmarkEnd w:id="325"/>
    <w:bookmarkEnd w:id="326"/>
    <w:bookmarkEnd w:id="327"/>
    <w:bookmarkEnd w:id="328"/>
    <w:bookmarkEnd w:id="329"/>
    <w:p w14:paraId="6D8A54B3">
      <w:pPr>
        <w:spacing w:line="360" w:lineRule="auto"/>
        <w:ind w:firstLine="480" w:firstLineChars="200"/>
        <w:rPr>
          <w:rStyle w:val="39"/>
          <w:sz w:val="24"/>
          <w:highlight w:val="none"/>
        </w:rPr>
      </w:pPr>
      <w:bookmarkStart w:id="330" w:name="_Toc12272"/>
      <w:bookmarkStart w:id="331" w:name="_Toc10194"/>
      <w:bookmarkStart w:id="332" w:name="_Toc17802"/>
      <w:bookmarkStart w:id="333" w:name="_Toc19373"/>
      <w:bookmarkStart w:id="334" w:name="_Toc32024"/>
      <w:bookmarkStart w:id="335" w:name="_Toc24101"/>
      <w:r>
        <w:rPr>
          <w:rStyle w:val="39"/>
          <w:rFonts w:hint="eastAsia"/>
          <w:sz w:val="24"/>
          <w:highlight w:val="none"/>
        </w:rPr>
        <w:t>（5）未经</w:t>
      </w:r>
      <w:r>
        <w:rPr>
          <w:rStyle w:val="39"/>
          <w:rFonts w:hint="eastAsia"/>
          <w:sz w:val="24"/>
          <w:highlight w:val="none"/>
          <w:lang w:eastAsia="zh-CN"/>
        </w:rPr>
        <w:t>招标人</w:t>
      </w:r>
      <w:r>
        <w:rPr>
          <w:rStyle w:val="39"/>
          <w:rFonts w:hint="eastAsia"/>
          <w:sz w:val="24"/>
          <w:highlight w:val="none"/>
        </w:rPr>
        <w:t>书面同意，</w:t>
      </w:r>
      <w:r>
        <w:rPr>
          <w:rStyle w:val="39"/>
          <w:rFonts w:hint="eastAsia"/>
          <w:sz w:val="24"/>
          <w:highlight w:val="none"/>
          <w:lang w:eastAsia="zh-CN"/>
        </w:rPr>
        <w:t>中标人</w:t>
      </w:r>
      <w:r>
        <w:rPr>
          <w:rStyle w:val="39"/>
          <w:rFonts w:hint="eastAsia"/>
          <w:sz w:val="24"/>
          <w:highlight w:val="none"/>
        </w:rPr>
        <w:t>不得对已批准的设计方案作重大修改、增减或删除。</w:t>
      </w:r>
    </w:p>
    <w:bookmarkEnd w:id="330"/>
    <w:bookmarkEnd w:id="331"/>
    <w:bookmarkEnd w:id="332"/>
    <w:bookmarkEnd w:id="333"/>
    <w:bookmarkEnd w:id="334"/>
    <w:bookmarkEnd w:id="335"/>
    <w:p w14:paraId="6EE03A4E">
      <w:pPr>
        <w:spacing w:line="360" w:lineRule="auto"/>
        <w:ind w:firstLine="480" w:firstLineChars="200"/>
        <w:rPr>
          <w:rStyle w:val="39"/>
          <w:sz w:val="24"/>
          <w:highlight w:val="none"/>
        </w:rPr>
      </w:pPr>
      <w:bookmarkStart w:id="336" w:name="_Toc20435"/>
      <w:bookmarkStart w:id="337" w:name="_Toc11417"/>
      <w:bookmarkStart w:id="338" w:name="_Toc23495"/>
      <w:bookmarkStart w:id="339" w:name="_Toc31620"/>
      <w:bookmarkStart w:id="340" w:name="_Toc7247"/>
      <w:bookmarkStart w:id="341" w:name="_Toc27851"/>
      <w:r>
        <w:rPr>
          <w:rStyle w:val="39"/>
          <w:rFonts w:hint="eastAsia"/>
          <w:sz w:val="24"/>
          <w:highlight w:val="none"/>
        </w:rPr>
        <w:t>（6）</w:t>
      </w:r>
      <w:r>
        <w:rPr>
          <w:rStyle w:val="39"/>
          <w:rFonts w:hint="eastAsia"/>
          <w:sz w:val="24"/>
          <w:highlight w:val="none"/>
          <w:lang w:eastAsia="zh-CN"/>
        </w:rPr>
        <w:t>中标人</w:t>
      </w:r>
      <w:r>
        <w:rPr>
          <w:rStyle w:val="39"/>
          <w:rFonts w:hint="eastAsia"/>
          <w:sz w:val="24"/>
          <w:highlight w:val="none"/>
        </w:rPr>
        <w:t>提交的全部设计文件应考虑正常施工中可能出现的各种因素，对设计文件出现的遗漏或错误负责修改或补充。</w:t>
      </w:r>
    </w:p>
    <w:bookmarkEnd w:id="336"/>
    <w:bookmarkEnd w:id="337"/>
    <w:bookmarkEnd w:id="338"/>
    <w:bookmarkEnd w:id="339"/>
    <w:bookmarkEnd w:id="340"/>
    <w:bookmarkEnd w:id="341"/>
    <w:p w14:paraId="2B29B61A">
      <w:pPr>
        <w:spacing w:line="360" w:lineRule="auto"/>
        <w:ind w:firstLine="480" w:firstLineChars="200"/>
        <w:rPr>
          <w:rStyle w:val="39"/>
          <w:sz w:val="24"/>
          <w:highlight w:val="none"/>
        </w:rPr>
      </w:pPr>
      <w:bookmarkStart w:id="342" w:name="_Toc3820"/>
      <w:bookmarkStart w:id="343" w:name="_Toc7680"/>
      <w:bookmarkStart w:id="344" w:name="_Toc17715"/>
      <w:bookmarkStart w:id="345" w:name="_Toc10998"/>
      <w:bookmarkStart w:id="346" w:name="_Toc23688"/>
      <w:bookmarkStart w:id="347" w:name="_Toc29614"/>
      <w:r>
        <w:rPr>
          <w:rStyle w:val="39"/>
          <w:rFonts w:hint="eastAsia"/>
          <w:sz w:val="24"/>
          <w:highlight w:val="none"/>
        </w:rPr>
        <w:t>（7）</w:t>
      </w:r>
      <w:r>
        <w:rPr>
          <w:rStyle w:val="39"/>
          <w:rFonts w:hint="eastAsia"/>
          <w:sz w:val="24"/>
          <w:highlight w:val="none"/>
          <w:lang w:eastAsia="zh-CN"/>
        </w:rPr>
        <w:t>中标人</w:t>
      </w:r>
      <w:r>
        <w:rPr>
          <w:rStyle w:val="39"/>
          <w:rFonts w:hint="eastAsia"/>
          <w:sz w:val="24"/>
          <w:highlight w:val="none"/>
        </w:rPr>
        <w:t>承诺在交付项目的部分或全部设计文件后，如有更好的新工艺、新技术、新材料、新设备等适用于本项目，应及时向</w:t>
      </w:r>
      <w:r>
        <w:rPr>
          <w:rStyle w:val="39"/>
          <w:rFonts w:hint="eastAsia"/>
          <w:sz w:val="24"/>
          <w:highlight w:val="none"/>
          <w:lang w:eastAsia="zh-CN"/>
        </w:rPr>
        <w:t>招标人</w:t>
      </w:r>
      <w:r>
        <w:rPr>
          <w:rStyle w:val="39"/>
          <w:rFonts w:hint="eastAsia"/>
          <w:sz w:val="24"/>
          <w:highlight w:val="none"/>
        </w:rPr>
        <w:t>推荐并提供科学的评估和来源证明。</w:t>
      </w:r>
    </w:p>
    <w:bookmarkEnd w:id="342"/>
    <w:bookmarkEnd w:id="343"/>
    <w:bookmarkEnd w:id="344"/>
    <w:bookmarkEnd w:id="345"/>
    <w:bookmarkEnd w:id="346"/>
    <w:bookmarkEnd w:id="347"/>
    <w:p w14:paraId="7A3BCF58">
      <w:pPr>
        <w:spacing w:line="360" w:lineRule="auto"/>
        <w:ind w:firstLine="480" w:firstLineChars="200"/>
        <w:rPr>
          <w:rStyle w:val="39"/>
          <w:sz w:val="24"/>
          <w:highlight w:val="none"/>
        </w:rPr>
      </w:pPr>
      <w:bookmarkStart w:id="348" w:name="_Toc14258"/>
      <w:bookmarkStart w:id="349" w:name="_Toc14659"/>
      <w:bookmarkStart w:id="350" w:name="_Toc22815"/>
      <w:bookmarkStart w:id="351" w:name="_Toc23025"/>
      <w:bookmarkStart w:id="352" w:name="_Toc17169"/>
      <w:bookmarkStart w:id="353" w:name="_Toc27465"/>
      <w:r>
        <w:rPr>
          <w:rStyle w:val="39"/>
          <w:rFonts w:hint="eastAsia"/>
          <w:sz w:val="24"/>
          <w:highlight w:val="none"/>
        </w:rPr>
        <w:t>（8）</w:t>
      </w:r>
      <w:r>
        <w:rPr>
          <w:rStyle w:val="39"/>
          <w:rFonts w:hint="eastAsia"/>
          <w:sz w:val="24"/>
          <w:highlight w:val="none"/>
          <w:lang w:eastAsia="zh-CN"/>
        </w:rPr>
        <w:t>中标人</w:t>
      </w:r>
      <w:r>
        <w:rPr>
          <w:rStyle w:val="39"/>
          <w:rFonts w:hint="eastAsia"/>
          <w:sz w:val="24"/>
          <w:highlight w:val="none"/>
        </w:rPr>
        <w:t>编制的初步设计概算需按设计要求和概算定额等相关文件的规定编制</w:t>
      </w:r>
      <w:r>
        <w:rPr>
          <w:rStyle w:val="39"/>
          <w:rFonts w:hint="eastAsia"/>
          <w:sz w:val="24"/>
          <w:highlight w:val="none"/>
          <w:lang w:eastAsia="zh-CN"/>
        </w:rPr>
        <w:t>，</w:t>
      </w:r>
      <w:r>
        <w:rPr>
          <w:rStyle w:val="39"/>
          <w:rFonts w:hint="eastAsia"/>
          <w:sz w:val="24"/>
          <w:highlight w:val="none"/>
        </w:rPr>
        <w:t>须保证其准确并符合合同约定的要求</w:t>
      </w:r>
      <w:r>
        <w:rPr>
          <w:rStyle w:val="39"/>
          <w:rFonts w:hint="eastAsia"/>
          <w:sz w:val="24"/>
          <w:highlight w:val="none"/>
          <w:lang w:eastAsia="zh-CN"/>
        </w:rPr>
        <w:t>，中标人</w:t>
      </w:r>
      <w:r>
        <w:rPr>
          <w:rStyle w:val="39"/>
          <w:rFonts w:hint="eastAsia"/>
          <w:sz w:val="24"/>
          <w:highlight w:val="none"/>
        </w:rPr>
        <w:t>编制的初步设计概算应确保完整和相对准确。</w:t>
      </w:r>
    </w:p>
    <w:bookmarkEnd w:id="348"/>
    <w:bookmarkEnd w:id="349"/>
    <w:bookmarkEnd w:id="350"/>
    <w:bookmarkEnd w:id="351"/>
    <w:bookmarkEnd w:id="352"/>
    <w:bookmarkEnd w:id="353"/>
    <w:p w14:paraId="638E633E">
      <w:pPr>
        <w:spacing w:line="360" w:lineRule="auto"/>
        <w:ind w:firstLine="480" w:firstLineChars="200"/>
        <w:rPr>
          <w:rStyle w:val="39"/>
          <w:sz w:val="24"/>
          <w:highlight w:val="none"/>
        </w:rPr>
      </w:pPr>
      <w:bookmarkStart w:id="354" w:name="_Toc21605"/>
      <w:bookmarkStart w:id="355" w:name="_Toc19622"/>
      <w:bookmarkStart w:id="356" w:name="_Toc16786"/>
      <w:bookmarkStart w:id="357" w:name="_Toc6594"/>
      <w:bookmarkStart w:id="358" w:name="_Toc12903"/>
      <w:bookmarkStart w:id="359" w:name="_Toc16565"/>
      <w:r>
        <w:rPr>
          <w:rStyle w:val="39"/>
          <w:rFonts w:hint="eastAsia"/>
          <w:sz w:val="24"/>
          <w:highlight w:val="none"/>
        </w:rPr>
        <w:t>（9）涉及设计方案专家论证会的相关费用由</w:t>
      </w:r>
      <w:r>
        <w:rPr>
          <w:rStyle w:val="39"/>
          <w:rFonts w:hint="eastAsia"/>
          <w:sz w:val="24"/>
          <w:highlight w:val="none"/>
          <w:lang w:eastAsia="zh-CN"/>
        </w:rPr>
        <w:t>中标人</w:t>
      </w:r>
      <w:r>
        <w:rPr>
          <w:rStyle w:val="39"/>
          <w:rFonts w:hint="eastAsia"/>
          <w:sz w:val="24"/>
          <w:highlight w:val="none"/>
        </w:rPr>
        <w:t>负责。</w:t>
      </w:r>
    </w:p>
    <w:bookmarkEnd w:id="354"/>
    <w:bookmarkEnd w:id="355"/>
    <w:bookmarkEnd w:id="356"/>
    <w:bookmarkEnd w:id="357"/>
    <w:bookmarkEnd w:id="358"/>
    <w:bookmarkEnd w:id="359"/>
    <w:p w14:paraId="68824086">
      <w:pPr>
        <w:spacing w:line="360" w:lineRule="auto"/>
        <w:ind w:firstLine="480" w:firstLineChars="200"/>
        <w:rPr>
          <w:rStyle w:val="39"/>
          <w:sz w:val="24"/>
          <w:highlight w:val="none"/>
        </w:rPr>
      </w:pPr>
      <w:bookmarkStart w:id="360" w:name="_Toc23213"/>
      <w:bookmarkStart w:id="361" w:name="_Toc6592"/>
      <w:bookmarkStart w:id="362" w:name="_Toc7035"/>
      <w:bookmarkStart w:id="363" w:name="_Toc16820"/>
      <w:bookmarkStart w:id="364" w:name="_Toc2856"/>
      <w:bookmarkStart w:id="365" w:name="_Toc16029"/>
      <w:r>
        <w:rPr>
          <w:rStyle w:val="39"/>
          <w:rFonts w:hint="eastAsia"/>
          <w:sz w:val="24"/>
          <w:highlight w:val="none"/>
        </w:rPr>
        <w:t>（10）在设计过程中，与各用户单位的协调及衔接由</w:t>
      </w:r>
      <w:r>
        <w:rPr>
          <w:rStyle w:val="39"/>
          <w:rFonts w:hint="eastAsia"/>
          <w:sz w:val="24"/>
          <w:highlight w:val="none"/>
          <w:lang w:eastAsia="zh-CN"/>
        </w:rPr>
        <w:t>中标人</w:t>
      </w:r>
      <w:r>
        <w:rPr>
          <w:rStyle w:val="39"/>
          <w:rFonts w:hint="eastAsia"/>
          <w:sz w:val="24"/>
          <w:highlight w:val="none"/>
        </w:rPr>
        <w:t>负责。</w:t>
      </w:r>
    </w:p>
    <w:bookmarkEnd w:id="360"/>
    <w:bookmarkEnd w:id="361"/>
    <w:bookmarkEnd w:id="362"/>
    <w:bookmarkEnd w:id="363"/>
    <w:bookmarkEnd w:id="364"/>
    <w:bookmarkEnd w:id="365"/>
    <w:p w14:paraId="67F2504F">
      <w:pPr>
        <w:spacing w:line="360" w:lineRule="auto"/>
        <w:ind w:firstLine="480" w:firstLineChars="200"/>
        <w:rPr>
          <w:rStyle w:val="39"/>
          <w:sz w:val="24"/>
          <w:highlight w:val="none"/>
        </w:rPr>
      </w:pPr>
      <w:bookmarkStart w:id="366" w:name="_Toc2702"/>
      <w:bookmarkStart w:id="367" w:name="_Toc438"/>
      <w:bookmarkStart w:id="368" w:name="_Toc554"/>
      <w:bookmarkStart w:id="369" w:name="_Toc3262"/>
      <w:bookmarkStart w:id="370" w:name="_Toc24421"/>
      <w:bookmarkStart w:id="371" w:name="_Toc13996"/>
      <w:r>
        <w:rPr>
          <w:rStyle w:val="39"/>
          <w:rFonts w:hint="eastAsia"/>
          <w:sz w:val="24"/>
          <w:highlight w:val="none"/>
        </w:rPr>
        <w:t>（11）</w:t>
      </w:r>
      <w:r>
        <w:rPr>
          <w:rStyle w:val="39"/>
          <w:rFonts w:hint="eastAsia"/>
          <w:sz w:val="24"/>
          <w:highlight w:val="none"/>
          <w:lang w:eastAsia="zh-CN"/>
        </w:rPr>
        <w:t>中标人</w:t>
      </w:r>
      <w:r>
        <w:rPr>
          <w:rStyle w:val="39"/>
          <w:rFonts w:hint="eastAsia"/>
          <w:sz w:val="24"/>
          <w:highlight w:val="none"/>
        </w:rPr>
        <w:t>要按照批准的设计任务书及投资估算控制初步设计，即限额设计。</w:t>
      </w:r>
      <w:r>
        <w:rPr>
          <w:rStyle w:val="39"/>
          <w:rFonts w:hint="eastAsia"/>
          <w:sz w:val="24"/>
          <w:highlight w:val="none"/>
          <w:lang w:eastAsia="zh-CN"/>
        </w:rPr>
        <w:t>中标人</w:t>
      </w:r>
      <w:r>
        <w:rPr>
          <w:rStyle w:val="39"/>
          <w:rFonts w:hint="eastAsia"/>
          <w:sz w:val="24"/>
          <w:highlight w:val="none"/>
        </w:rPr>
        <w:t>要无条件对设计文件出现的遗漏或错误负责修改或补充，直到满足要求。</w:t>
      </w:r>
    </w:p>
    <w:bookmarkEnd w:id="366"/>
    <w:bookmarkEnd w:id="367"/>
    <w:bookmarkEnd w:id="368"/>
    <w:bookmarkEnd w:id="369"/>
    <w:bookmarkEnd w:id="370"/>
    <w:bookmarkEnd w:id="371"/>
    <w:p w14:paraId="55FFDBA9">
      <w:pPr>
        <w:spacing w:line="360" w:lineRule="auto"/>
        <w:ind w:firstLine="480" w:firstLineChars="200"/>
        <w:rPr>
          <w:rStyle w:val="39"/>
          <w:sz w:val="24"/>
          <w:highlight w:val="none"/>
        </w:rPr>
      </w:pPr>
      <w:bookmarkStart w:id="372" w:name="_Toc20013"/>
      <w:bookmarkStart w:id="373" w:name="_Toc29565"/>
      <w:bookmarkStart w:id="374" w:name="_Toc21157"/>
      <w:bookmarkStart w:id="375" w:name="_Toc10085"/>
      <w:bookmarkStart w:id="376" w:name="_Toc20634"/>
      <w:bookmarkStart w:id="377" w:name="_Toc23614"/>
      <w:r>
        <w:rPr>
          <w:rStyle w:val="39"/>
          <w:rFonts w:hint="eastAsia"/>
          <w:sz w:val="24"/>
          <w:highlight w:val="none"/>
        </w:rPr>
        <w:t>（12）</w:t>
      </w:r>
      <w:r>
        <w:rPr>
          <w:rStyle w:val="39"/>
          <w:rFonts w:hint="eastAsia"/>
          <w:sz w:val="24"/>
          <w:highlight w:val="none"/>
          <w:lang w:eastAsia="zh-CN"/>
        </w:rPr>
        <w:t>招标人</w:t>
      </w:r>
      <w:r>
        <w:rPr>
          <w:rStyle w:val="39"/>
          <w:rFonts w:hint="eastAsia"/>
          <w:sz w:val="24"/>
          <w:highlight w:val="none"/>
        </w:rPr>
        <w:t>及咨询单位、上级主管部门对成果（包括研究试验成果）设计文件的审查并不免除</w:t>
      </w:r>
      <w:r>
        <w:rPr>
          <w:rStyle w:val="39"/>
          <w:rFonts w:hint="eastAsia"/>
          <w:sz w:val="24"/>
          <w:highlight w:val="none"/>
          <w:lang w:eastAsia="zh-CN"/>
        </w:rPr>
        <w:t>中标人</w:t>
      </w:r>
      <w:r>
        <w:rPr>
          <w:rStyle w:val="39"/>
          <w:rFonts w:hint="eastAsia"/>
          <w:sz w:val="24"/>
          <w:highlight w:val="none"/>
        </w:rPr>
        <w:t>的责任。</w:t>
      </w:r>
    </w:p>
    <w:bookmarkEnd w:id="372"/>
    <w:bookmarkEnd w:id="373"/>
    <w:bookmarkEnd w:id="374"/>
    <w:bookmarkEnd w:id="375"/>
    <w:bookmarkEnd w:id="376"/>
    <w:bookmarkEnd w:id="377"/>
    <w:p w14:paraId="539AD0FD">
      <w:pPr>
        <w:spacing w:line="360" w:lineRule="auto"/>
        <w:ind w:firstLine="482" w:firstLineChars="200"/>
        <w:rPr>
          <w:rStyle w:val="39"/>
          <w:b/>
          <w:bCs/>
          <w:sz w:val="24"/>
          <w:highlight w:val="none"/>
        </w:rPr>
      </w:pPr>
      <w:r>
        <w:rPr>
          <w:rFonts w:hint="eastAsia"/>
          <w:b/>
          <w:kern w:val="2"/>
          <w:highlight w:val="none"/>
        </w:rPr>
        <w:t>8.4.</w:t>
      </w:r>
      <w:r>
        <w:rPr>
          <w:rStyle w:val="39"/>
          <w:rFonts w:hint="eastAsia"/>
          <w:b/>
          <w:bCs/>
          <w:sz w:val="24"/>
          <w:highlight w:val="none"/>
        </w:rPr>
        <w:t xml:space="preserve">2 </w:t>
      </w:r>
      <w:r>
        <w:rPr>
          <w:rStyle w:val="39"/>
          <w:rFonts w:hint="eastAsia"/>
          <w:b/>
          <w:bCs/>
          <w:sz w:val="24"/>
          <w:highlight w:val="none"/>
          <w:lang w:eastAsia="zh-CN"/>
        </w:rPr>
        <w:t>中标人</w:t>
      </w:r>
      <w:r>
        <w:rPr>
          <w:rStyle w:val="39"/>
          <w:rFonts w:hint="eastAsia"/>
          <w:b/>
          <w:bCs/>
          <w:sz w:val="24"/>
          <w:highlight w:val="none"/>
        </w:rPr>
        <w:t>违约责任</w:t>
      </w:r>
    </w:p>
    <w:p w14:paraId="755057A4">
      <w:pPr>
        <w:spacing w:line="360" w:lineRule="auto"/>
        <w:ind w:firstLine="480" w:firstLineChars="200"/>
        <w:rPr>
          <w:rStyle w:val="39"/>
          <w:sz w:val="24"/>
          <w:highlight w:val="none"/>
        </w:rPr>
      </w:pPr>
      <w:bookmarkStart w:id="378" w:name="_Toc18651"/>
      <w:bookmarkStart w:id="379" w:name="_Toc8363"/>
      <w:bookmarkStart w:id="380" w:name="_Toc19637"/>
      <w:bookmarkStart w:id="381" w:name="_Toc10671"/>
      <w:bookmarkStart w:id="382" w:name="_Toc11965"/>
      <w:bookmarkStart w:id="383" w:name="_Toc5484"/>
      <w:r>
        <w:rPr>
          <w:rStyle w:val="39"/>
          <w:rFonts w:hint="eastAsia"/>
          <w:sz w:val="24"/>
          <w:highlight w:val="none"/>
        </w:rPr>
        <w:t>（1）</w:t>
      </w:r>
      <w:r>
        <w:rPr>
          <w:rStyle w:val="39"/>
          <w:rFonts w:hint="eastAsia"/>
          <w:sz w:val="24"/>
          <w:highlight w:val="none"/>
          <w:lang w:eastAsia="zh-CN"/>
        </w:rPr>
        <w:t>中标人</w:t>
      </w:r>
      <w:r>
        <w:rPr>
          <w:rStyle w:val="39"/>
          <w:rFonts w:hint="eastAsia"/>
          <w:sz w:val="24"/>
          <w:highlight w:val="none"/>
        </w:rPr>
        <w:t>发生合同约定的违约情况时，无论</w:t>
      </w:r>
      <w:r>
        <w:rPr>
          <w:rStyle w:val="39"/>
          <w:rFonts w:hint="eastAsia"/>
          <w:sz w:val="24"/>
          <w:highlight w:val="none"/>
          <w:lang w:eastAsia="zh-CN"/>
        </w:rPr>
        <w:t>招标人</w:t>
      </w:r>
      <w:r>
        <w:rPr>
          <w:rStyle w:val="39"/>
          <w:rFonts w:hint="eastAsia"/>
          <w:sz w:val="24"/>
          <w:highlight w:val="none"/>
        </w:rPr>
        <w:t>是否解除合同，</w:t>
      </w:r>
      <w:r>
        <w:rPr>
          <w:rStyle w:val="39"/>
          <w:rFonts w:hint="eastAsia"/>
          <w:sz w:val="24"/>
          <w:highlight w:val="none"/>
          <w:lang w:eastAsia="zh-CN"/>
        </w:rPr>
        <w:t>招标人</w:t>
      </w:r>
      <w:r>
        <w:rPr>
          <w:rStyle w:val="39"/>
          <w:rFonts w:hint="eastAsia"/>
          <w:sz w:val="24"/>
          <w:highlight w:val="none"/>
        </w:rPr>
        <w:t>均有权按</w:t>
      </w:r>
      <w:r>
        <w:rPr>
          <w:rStyle w:val="39"/>
          <w:rFonts w:hint="eastAsia"/>
          <w:b/>
          <w:bCs/>
          <w:sz w:val="24"/>
          <w:highlight w:val="none"/>
        </w:rPr>
        <w:t xml:space="preserve">“附件一 </w:t>
      </w:r>
      <w:r>
        <w:rPr>
          <w:rStyle w:val="39"/>
          <w:rFonts w:hint="eastAsia"/>
          <w:b/>
          <w:bCs/>
          <w:sz w:val="24"/>
          <w:highlight w:val="none"/>
          <w:lang w:eastAsia="zh-CN"/>
        </w:rPr>
        <w:t>中标人</w:t>
      </w:r>
      <w:r>
        <w:rPr>
          <w:rStyle w:val="39"/>
          <w:rFonts w:hint="eastAsia"/>
          <w:b/>
          <w:bCs/>
          <w:sz w:val="24"/>
          <w:highlight w:val="none"/>
        </w:rPr>
        <w:t>违约行为及违约金一览表”</w:t>
      </w:r>
      <w:r>
        <w:rPr>
          <w:rStyle w:val="39"/>
          <w:rFonts w:hint="eastAsia"/>
          <w:sz w:val="24"/>
          <w:highlight w:val="none"/>
        </w:rPr>
        <w:t>的规定向</w:t>
      </w:r>
      <w:r>
        <w:rPr>
          <w:rStyle w:val="39"/>
          <w:rFonts w:hint="eastAsia"/>
          <w:sz w:val="24"/>
          <w:highlight w:val="none"/>
          <w:lang w:eastAsia="zh-CN"/>
        </w:rPr>
        <w:t>中标人</w:t>
      </w:r>
      <w:r>
        <w:rPr>
          <w:rStyle w:val="39"/>
          <w:rFonts w:hint="eastAsia"/>
          <w:sz w:val="24"/>
          <w:highlight w:val="none"/>
        </w:rPr>
        <w:t>课以违约金，并由</w:t>
      </w:r>
      <w:r>
        <w:rPr>
          <w:rStyle w:val="39"/>
          <w:rFonts w:hint="eastAsia"/>
          <w:sz w:val="24"/>
          <w:highlight w:val="none"/>
          <w:lang w:eastAsia="zh-CN"/>
        </w:rPr>
        <w:t>招标人</w:t>
      </w:r>
      <w:r>
        <w:rPr>
          <w:rStyle w:val="39"/>
          <w:rFonts w:hint="eastAsia"/>
          <w:sz w:val="24"/>
          <w:highlight w:val="none"/>
        </w:rPr>
        <w:t>将其违约行为记录在合同履约评价报告中，作为合同履约综合评价的依据。同时，</w:t>
      </w:r>
      <w:r>
        <w:rPr>
          <w:rStyle w:val="39"/>
          <w:rFonts w:hint="eastAsia"/>
          <w:sz w:val="24"/>
          <w:highlight w:val="none"/>
          <w:lang w:eastAsia="zh-CN"/>
        </w:rPr>
        <w:t>招标人</w:t>
      </w:r>
      <w:r>
        <w:rPr>
          <w:rStyle w:val="39"/>
          <w:rFonts w:hint="eastAsia"/>
          <w:sz w:val="24"/>
          <w:highlight w:val="none"/>
        </w:rPr>
        <w:t>将</w:t>
      </w:r>
      <w:r>
        <w:rPr>
          <w:rStyle w:val="39"/>
          <w:rFonts w:hint="eastAsia"/>
          <w:sz w:val="24"/>
          <w:highlight w:val="none"/>
          <w:lang w:eastAsia="zh-CN"/>
        </w:rPr>
        <w:t>中标人</w:t>
      </w:r>
      <w:r>
        <w:rPr>
          <w:rStyle w:val="39"/>
          <w:rFonts w:hint="eastAsia"/>
          <w:sz w:val="24"/>
          <w:highlight w:val="none"/>
        </w:rPr>
        <w:t>的违约行为上报建设行政主管部门。</w:t>
      </w:r>
    </w:p>
    <w:bookmarkEnd w:id="378"/>
    <w:bookmarkEnd w:id="379"/>
    <w:bookmarkEnd w:id="380"/>
    <w:bookmarkEnd w:id="381"/>
    <w:bookmarkEnd w:id="382"/>
    <w:bookmarkEnd w:id="383"/>
    <w:p w14:paraId="263F37B3">
      <w:pPr>
        <w:spacing w:line="360" w:lineRule="auto"/>
        <w:ind w:firstLine="480" w:firstLineChars="200"/>
        <w:rPr>
          <w:rStyle w:val="39"/>
          <w:sz w:val="24"/>
          <w:highlight w:val="none"/>
        </w:rPr>
      </w:pPr>
      <w:bookmarkStart w:id="384" w:name="_Toc3979"/>
      <w:bookmarkStart w:id="385" w:name="_Toc8468"/>
      <w:bookmarkStart w:id="386" w:name="_Toc8071"/>
      <w:bookmarkStart w:id="387" w:name="_Toc1649"/>
      <w:bookmarkStart w:id="388" w:name="_Toc26798"/>
      <w:bookmarkStart w:id="389" w:name="_Toc10628"/>
      <w:r>
        <w:rPr>
          <w:rStyle w:val="39"/>
          <w:rFonts w:hint="eastAsia"/>
          <w:sz w:val="24"/>
          <w:highlight w:val="none"/>
        </w:rPr>
        <w:t>（2）</w:t>
      </w:r>
      <w:r>
        <w:rPr>
          <w:rStyle w:val="39"/>
          <w:rFonts w:hint="eastAsia"/>
          <w:sz w:val="24"/>
          <w:highlight w:val="none"/>
          <w:lang w:eastAsia="zh-CN"/>
        </w:rPr>
        <w:t>招标人</w:t>
      </w:r>
      <w:r>
        <w:rPr>
          <w:rStyle w:val="39"/>
          <w:rFonts w:hint="eastAsia"/>
          <w:sz w:val="24"/>
          <w:highlight w:val="none"/>
        </w:rPr>
        <w:t>按合同规定向</w:t>
      </w:r>
      <w:r>
        <w:rPr>
          <w:rStyle w:val="39"/>
          <w:rFonts w:hint="eastAsia"/>
          <w:sz w:val="24"/>
          <w:highlight w:val="none"/>
          <w:lang w:eastAsia="zh-CN"/>
        </w:rPr>
        <w:t>中标人</w:t>
      </w:r>
      <w:r>
        <w:rPr>
          <w:rStyle w:val="39"/>
          <w:rFonts w:hint="eastAsia"/>
          <w:sz w:val="24"/>
          <w:highlight w:val="none"/>
        </w:rPr>
        <w:t>开出的任何违约金，除合同另有规定外，均从</w:t>
      </w:r>
      <w:r>
        <w:rPr>
          <w:rStyle w:val="39"/>
          <w:rFonts w:hint="eastAsia"/>
          <w:sz w:val="24"/>
          <w:highlight w:val="none"/>
          <w:lang w:eastAsia="zh-CN"/>
        </w:rPr>
        <w:t>招标人</w:t>
      </w:r>
      <w:r>
        <w:rPr>
          <w:rStyle w:val="39"/>
          <w:rFonts w:hint="eastAsia"/>
          <w:sz w:val="24"/>
          <w:highlight w:val="none"/>
        </w:rPr>
        <w:t>应向</w:t>
      </w:r>
      <w:r>
        <w:rPr>
          <w:rStyle w:val="39"/>
          <w:rFonts w:hint="eastAsia"/>
          <w:sz w:val="24"/>
          <w:highlight w:val="none"/>
          <w:lang w:eastAsia="zh-CN"/>
        </w:rPr>
        <w:t>中标人</w:t>
      </w:r>
      <w:r>
        <w:rPr>
          <w:rStyle w:val="39"/>
          <w:rFonts w:hint="eastAsia"/>
          <w:sz w:val="24"/>
          <w:highlight w:val="none"/>
        </w:rPr>
        <w:t>支付的工程款中直接扣除。除非合同另有规定，</w:t>
      </w:r>
      <w:r>
        <w:rPr>
          <w:rStyle w:val="39"/>
          <w:rFonts w:hint="eastAsia"/>
          <w:sz w:val="24"/>
          <w:highlight w:val="none"/>
          <w:lang w:eastAsia="zh-CN"/>
        </w:rPr>
        <w:t>招标人</w:t>
      </w:r>
      <w:r>
        <w:rPr>
          <w:rStyle w:val="39"/>
          <w:rFonts w:hint="eastAsia"/>
          <w:sz w:val="24"/>
          <w:highlight w:val="none"/>
        </w:rPr>
        <w:t>向</w:t>
      </w:r>
      <w:r>
        <w:rPr>
          <w:rStyle w:val="39"/>
          <w:rFonts w:hint="eastAsia"/>
          <w:sz w:val="24"/>
          <w:highlight w:val="none"/>
          <w:lang w:eastAsia="zh-CN"/>
        </w:rPr>
        <w:t>中标人</w:t>
      </w:r>
      <w:r>
        <w:rPr>
          <w:rStyle w:val="39"/>
          <w:rFonts w:hint="eastAsia"/>
          <w:sz w:val="24"/>
          <w:highlight w:val="none"/>
        </w:rPr>
        <w:t>开出的任何违约金将导致</w:t>
      </w:r>
      <w:r>
        <w:rPr>
          <w:rStyle w:val="39"/>
          <w:rFonts w:hint="eastAsia"/>
          <w:sz w:val="24"/>
          <w:highlight w:val="none"/>
          <w:lang w:eastAsia="zh-CN"/>
        </w:rPr>
        <w:t>中标人</w:t>
      </w:r>
      <w:r>
        <w:rPr>
          <w:rStyle w:val="39"/>
          <w:rFonts w:hint="eastAsia"/>
          <w:sz w:val="24"/>
          <w:highlight w:val="none"/>
        </w:rPr>
        <w:t>最终的应得结算价款相应地减少。</w:t>
      </w:r>
      <w:r>
        <w:rPr>
          <w:rStyle w:val="39"/>
          <w:rFonts w:hint="eastAsia"/>
          <w:sz w:val="24"/>
          <w:highlight w:val="none"/>
          <w:lang w:eastAsia="zh-CN"/>
        </w:rPr>
        <w:t>中标人</w:t>
      </w:r>
      <w:r>
        <w:rPr>
          <w:rStyle w:val="39"/>
          <w:rFonts w:hint="eastAsia"/>
          <w:sz w:val="24"/>
          <w:highlight w:val="none"/>
        </w:rPr>
        <w:t>必须完全接受上述条款。</w:t>
      </w:r>
    </w:p>
    <w:bookmarkEnd w:id="384"/>
    <w:bookmarkEnd w:id="385"/>
    <w:bookmarkEnd w:id="386"/>
    <w:bookmarkEnd w:id="387"/>
    <w:bookmarkEnd w:id="388"/>
    <w:bookmarkEnd w:id="389"/>
    <w:p w14:paraId="624890F0">
      <w:pPr>
        <w:spacing w:line="360" w:lineRule="auto"/>
        <w:ind w:firstLine="480" w:firstLineChars="200"/>
        <w:rPr>
          <w:rStyle w:val="39"/>
          <w:sz w:val="24"/>
          <w:highlight w:val="none"/>
        </w:rPr>
      </w:pPr>
      <w:bookmarkStart w:id="390" w:name="_Toc19550"/>
      <w:bookmarkStart w:id="391" w:name="_Toc13543"/>
      <w:bookmarkStart w:id="392" w:name="_Toc13012"/>
      <w:bookmarkStart w:id="393" w:name="_Toc13300"/>
      <w:bookmarkStart w:id="394" w:name="_Toc32749"/>
      <w:bookmarkStart w:id="395" w:name="_Toc31220"/>
      <w:r>
        <w:rPr>
          <w:rStyle w:val="39"/>
          <w:rFonts w:hint="eastAsia"/>
          <w:sz w:val="24"/>
          <w:highlight w:val="none"/>
        </w:rPr>
        <w:t>（3）</w:t>
      </w:r>
      <w:r>
        <w:rPr>
          <w:rStyle w:val="39"/>
          <w:rFonts w:hint="eastAsia"/>
          <w:sz w:val="24"/>
          <w:highlight w:val="none"/>
          <w:lang w:eastAsia="zh-CN"/>
        </w:rPr>
        <w:t>招标人</w:t>
      </w:r>
      <w:r>
        <w:rPr>
          <w:rStyle w:val="39"/>
          <w:rFonts w:hint="eastAsia"/>
          <w:sz w:val="24"/>
          <w:highlight w:val="none"/>
        </w:rPr>
        <w:t>按合同规定向</w:t>
      </w:r>
      <w:r>
        <w:rPr>
          <w:rStyle w:val="39"/>
          <w:rFonts w:hint="eastAsia"/>
          <w:sz w:val="24"/>
          <w:highlight w:val="none"/>
          <w:lang w:eastAsia="zh-CN"/>
        </w:rPr>
        <w:t>中标人</w:t>
      </w:r>
      <w:r>
        <w:rPr>
          <w:rStyle w:val="39"/>
          <w:rFonts w:hint="eastAsia"/>
          <w:sz w:val="24"/>
          <w:highlight w:val="none"/>
        </w:rPr>
        <w:t>开出的任何违约金的扣除时间，可以在</w:t>
      </w:r>
      <w:r>
        <w:rPr>
          <w:rStyle w:val="39"/>
          <w:rFonts w:hint="eastAsia"/>
          <w:sz w:val="24"/>
          <w:highlight w:val="none"/>
          <w:lang w:eastAsia="zh-CN"/>
        </w:rPr>
        <w:t>招标人</w:t>
      </w:r>
      <w:r>
        <w:rPr>
          <w:rStyle w:val="39"/>
          <w:rFonts w:hint="eastAsia"/>
          <w:sz w:val="24"/>
          <w:highlight w:val="none"/>
        </w:rPr>
        <w:t>认为合适的任何一期中支付月份中扣除。</w:t>
      </w:r>
      <w:r>
        <w:rPr>
          <w:rStyle w:val="39"/>
          <w:rFonts w:hint="eastAsia"/>
          <w:sz w:val="24"/>
          <w:highlight w:val="none"/>
          <w:lang w:eastAsia="zh-CN"/>
        </w:rPr>
        <w:t>招标人</w:t>
      </w:r>
      <w:r>
        <w:rPr>
          <w:rStyle w:val="39"/>
          <w:rFonts w:hint="eastAsia"/>
          <w:sz w:val="24"/>
          <w:highlight w:val="none"/>
        </w:rPr>
        <w:t>扣除违约金时间的延迟或滞后并不代表对</w:t>
      </w:r>
      <w:r>
        <w:rPr>
          <w:rStyle w:val="39"/>
          <w:rFonts w:hint="eastAsia"/>
          <w:sz w:val="24"/>
          <w:highlight w:val="none"/>
          <w:lang w:eastAsia="zh-CN"/>
        </w:rPr>
        <w:t>中标人</w:t>
      </w:r>
      <w:r>
        <w:rPr>
          <w:rStyle w:val="39"/>
          <w:rFonts w:hint="eastAsia"/>
          <w:sz w:val="24"/>
          <w:highlight w:val="none"/>
        </w:rPr>
        <w:t>当时各种行为的认可或默认。</w:t>
      </w:r>
    </w:p>
    <w:bookmarkEnd w:id="390"/>
    <w:bookmarkEnd w:id="391"/>
    <w:bookmarkEnd w:id="392"/>
    <w:bookmarkEnd w:id="393"/>
    <w:bookmarkEnd w:id="394"/>
    <w:bookmarkEnd w:id="395"/>
    <w:p w14:paraId="14ED28E6">
      <w:pPr>
        <w:spacing w:line="360" w:lineRule="auto"/>
        <w:ind w:firstLine="480" w:firstLineChars="200"/>
        <w:rPr>
          <w:rStyle w:val="39"/>
          <w:sz w:val="24"/>
          <w:highlight w:val="none"/>
        </w:rPr>
      </w:pPr>
      <w:bookmarkStart w:id="396" w:name="_Toc16383"/>
      <w:bookmarkStart w:id="397" w:name="_Toc5124"/>
      <w:bookmarkStart w:id="398" w:name="_Toc31590"/>
      <w:bookmarkStart w:id="399" w:name="_Toc7480"/>
      <w:bookmarkStart w:id="400" w:name="_Toc9132"/>
      <w:bookmarkStart w:id="401" w:name="_Toc2305"/>
      <w:r>
        <w:rPr>
          <w:rStyle w:val="39"/>
          <w:rFonts w:hint="eastAsia"/>
          <w:sz w:val="24"/>
          <w:highlight w:val="none"/>
        </w:rPr>
        <w:t>（4）</w:t>
      </w:r>
      <w:r>
        <w:rPr>
          <w:rStyle w:val="39"/>
          <w:rFonts w:hint="eastAsia"/>
          <w:sz w:val="24"/>
          <w:highlight w:val="none"/>
          <w:lang w:eastAsia="zh-CN"/>
        </w:rPr>
        <w:t>中标人</w:t>
      </w:r>
      <w:r>
        <w:rPr>
          <w:rStyle w:val="39"/>
          <w:rFonts w:hint="eastAsia"/>
          <w:sz w:val="24"/>
          <w:highlight w:val="none"/>
        </w:rPr>
        <w:t>的违约金由</w:t>
      </w:r>
      <w:r>
        <w:rPr>
          <w:rStyle w:val="39"/>
          <w:rFonts w:hint="eastAsia"/>
          <w:sz w:val="24"/>
          <w:highlight w:val="none"/>
          <w:lang w:eastAsia="zh-CN"/>
        </w:rPr>
        <w:t>招标人</w:t>
      </w:r>
      <w:r>
        <w:rPr>
          <w:rStyle w:val="39"/>
          <w:rFonts w:hint="eastAsia"/>
          <w:sz w:val="24"/>
          <w:highlight w:val="none"/>
        </w:rPr>
        <w:t>掌握使用。</w:t>
      </w:r>
    </w:p>
    <w:bookmarkEnd w:id="396"/>
    <w:bookmarkEnd w:id="397"/>
    <w:bookmarkEnd w:id="398"/>
    <w:bookmarkEnd w:id="399"/>
    <w:bookmarkEnd w:id="400"/>
    <w:bookmarkEnd w:id="401"/>
    <w:p w14:paraId="6946ADA2">
      <w:pPr>
        <w:spacing w:line="360" w:lineRule="auto"/>
        <w:ind w:firstLine="482" w:firstLineChars="200"/>
        <w:rPr>
          <w:rStyle w:val="39"/>
          <w:sz w:val="24"/>
          <w:highlight w:val="none"/>
        </w:rPr>
      </w:pPr>
      <w:bookmarkStart w:id="402" w:name="_Toc4923"/>
      <w:bookmarkStart w:id="403" w:name="_Toc26897"/>
      <w:bookmarkStart w:id="404" w:name="_Toc1396"/>
      <w:bookmarkStart w:id="405" w:name="_Toc11697"/>
      <w:bookmarkStart w:id="406" w:name="_Toc18430"/>
      <w:bookmarkStart w:id="407" w:name="_Toc10610"/>
      <w:r>
        <w:rPr>
          <w:rStyle w:val="39"/>
          <w:rFonts w:hint="eastAsia"/>
          <w:b/>
          <w:bCs/>
          <w:sz w:val="24"/>
          <w:highlight w:val="none"/>
        </w:rPr>
        <w:t xml:space="preserve">8.5 </w:t>
      </w:r>
      <w:r>
        <w:rPr>
          <w:rStyle w:val="39"/>
          <w:rFonts w:hint="eastAsia"/>
          <w:sz w:val="24"/>
          <w:highlight w:val="none"/>
        </w:rPr>
        <w:t>中标人应当知悉，项目可能存在部分区域无法实施的风险，中标人不得因此对招标人进行任何索赔；招标人可取消或变更实施区域，</w:t>
      </w:r>
      <w:r>
        <w:rPr>
          <w:rStyle w:val="39"/>
          <w:rFonts w:hint="eastAsia"/>
          <w:sz w:val="24"/>
          <w:highlight w:val="none"/>
          <w:lang w:eastAsia="zh-CN"/>
        </w:rPr>
        <w:t>按</w:t>
      </w:r>
      <w:r>
        <w:rPr>
          <w:rStyle w:val="39"/>
          <w:rFonts w:hint="eastAsia"/>
          <w:sz w:val="24"/>
          <w:highlight w:val="none"/>
        </w:rPr>
        <w:t>实际实施的项目进行结算，结算价不得超过合同总价。</w:t>
      </w:r>
    </w:p>
    <w:bookmarkEnd w:id="402"/>
    <w:bookmarkEnd w:id="403"/>
    <w:bookmarkEnd w:id="404"/>
    <w:bookmarkEnd w:id="405"/>
    <w:bookmarkEnd w:id="406"/>
    <w:bookmarkEnd w:id="407"/>
    <w:p w14:paraId="578014E3">
      <w:pPr>
        <w:keepNext/>
        <w:keepLines/>
        <w:tabs>
          <w:tab w:val="left" w:pos="885"/>
        </w:tabs>
        <w:spacing w:line="400" w:lineRule="exact"/>
        <w:ind w:left="885" w:hanging="885"/>
        <w:rPr>
          <w:b/>
          <w:kern w:val="44"/>
        </w:rPr>
      </w:pPr>
    </w:p>
    <w:p w14:paraId="67AE3E06">
      <w:pPr>
        <w:rPr>
          <w:b/>
        </w:rPr>
      </w:pPr>
      <w:r>
        <w:rPr>
          <w:rFonts w:hint="eastAsia"/>
          <w:b/>
        </w:rPr>
        <w:br w:type="page"/>
      </w:r>
    </w:p>
    <w:p w14:paraId="228E6C29">
      <w:pPr>
        <w:spacing w:line="360" w:lineRule="auto"/>
        <w:ind w:firstLine="560"/>
        <w:rPr>
          <w:b/>
        </w:rPr>
      </w:pPr>
      <w:bookmarkStart w:id="408" w:name="_Toc924"/>
      <w:bookmarkStart w:id="409" w:name="_Toc9168"/>
      <w:r>
        <w:rPr>
          <w:rFonts w:hint="eastAsia"/>
          <w:b/>
        </w:rPr>
        <w:t>附件一</w:t>
      </w:r>
      <w:bookmarkEnd w:id="408"/>
      <w:bookmarkEnd w:id="409"/>
      <w:r>
        <w:rPr>
          <w:rFonts w:hint="eastAsia"/>
          <w:b/>
        </w:rPr>
        <w:t xml:space="preserve">             </w:t>
      </w:r>
    </w:p>
    <w:p w14:paraId="4CD81DA9">
      <w:pPr>
        <w:shd w:val="clear"/>
        <w:spacing w:line="360" w:lineRule="auto"/>
        <w:jc w:val="center"/>
        <w:rPr>
          <w:highlight w:val="none"/>
        </w:rPr>
      </w:pPr>
      <w:r>
        <w:rPr>
          <w:rFonts w:hint="eastAsia"/>
          <w:b/>
          <w:highlight w:val="none"/>
          <w:lang w:eastAsia="zh-CN"/>
        </w:rPr>
        <w:t>中标人</w:t>
      </w:r>
      <w:r>
        <w:rPr>
          <w:rFonts w:hint="eastAsia"/>
          <w:b/>
          <w:highlight w:val="none"/>
        </w:rPr>
        <w:t>违约行为及违约金一览表</w:t>
      </w:r>
    </w:p>
    <w:tbl>
      <w:tblPr>
        <w:tblStyle w:val="31"/>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4081"/>
        <w:gridCol w:w="2390"/>
        <w:gridCol w:w="1858"/>
      </w:tblGrid>
      <w:tr w14:paraId="3976F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769" w:type="dxa"/>
            <w:vAlign w:val="center"/>
          </w:tcPr>
          <w:p w14:paraId="19F6C226">
            <w:pPr>
              <w:shd w:val="clear"/>
              <w:jc w:val="center"/>
              <w:rPr>
                <w:rStyle w:val="39"/>
                <w:sz w:val="24"/>
                <w:highlight w:val="none"/>
              </w:rPr>
            </w:pPr>
            <w:bookmarkStart w:id="410" w:name="_Toc923"/>
            <w:bookmarkStart w:id="411" w:name="_Toc7614"/>
            <w:bookmarkStart w:id="412" w:name="_Toc7890"/>
            <w:bookmarkStart w:id="413" w:name="_Toc3165"/>
            <w:bookmarkStart w:id="414" w:name="_Toc8252"/>
            <w:bookmarkStart w:id="415" w:name="_Toc21656"/>
            <w:r>
              <w:rPr>
                <w:rStyle w:val="39"/>
                <w:rFonts w:hint="eastAsia"/>
                <w:sz w:val="24"/>
                <w:highlight w:val="none"/>
              </w:rPr>
              <w:t>序号</w:t>
            </w:r>
          </w:p>
          <w:bookmarkEnd w:id="410"/>
          <w:bookmarkEnd w:id="411"/>
          <w:bookmarkEnd w:id="412"/>
          <w:bookmarkEnd w:id="413"/>
          <w:bookmarkEnd w:id="414"/>
          <w:bookmarkEnd w:id="415"/>
        </w:tc>
        <w:tc>
          <w:tcPr>
            <w:tcW w:w="4081" w:type="dxa"/>
            <w:vAlign w:val="center"/>
          </w:tcPr>
          <w:p w14:paraId="2A82F8E8">
            <w:pPr>
              <w:shd w:val="clear"/>
              <w:jc w:val="center"/>
              <w:rPr>
                <w:rStyle w:val="39"/>
                <w:sz w:val="24"/>
                <w:highlight w:val="none"/>
              </w:rPr>
            </w:pPr>
            <w:bookmarkStart w:id="416" w:name="_Toc6238"/>
            <w:bookmarkStart w:id="417" w:name="_Toc27970"/>
            <w:bookmarkStart w:id="418" w:name="_Toc25080"/>
            <w:bookmarkStart w:id="419" w:name="_Toc290"/>
            <w:bookmarkStart w:id="420" w:name="_Toc3090"/>
            <w:bookmarkStart w:id="421" w:name="_Toc5213"/>
            <w:r>
              <w:rPr>
                <w:rStyle w:val="39"/>
                <w:rFonts w:hint="eastAsia"/>
                <w:sz w:val="24"/>
                <w:highlight w:val="none"/>
              </w:rPr>
              <w:t>违约行为</w:t>
            </w:r>
          </w:p>
          <w:bookmarkEnd w:id="416"/>
          <w:bookmarkEnd w:id="417"/>
          <w:bookmarkEnd w:id="418"/>
          <w:bookmarkEnd w:id="419"/>
          <w:bookmarkEnd w:id="420"/>
          <w:bookmarkEnd w:id="421"/>
        </w:tc>
        <w:tc>
          <w:tcPr>
            <w:tcW w:w="2390" w:type="dxa"/>
            <w:vAlign w:val="center"/>
          </w:tcPr>
          <w:p w14:paraId="7D93B298">
            <w:pPr>
              <w:shd w:val="clear"/>
              <w:jc w:val="center"/>
              <w:rPr>
                <w:rStyle w:val="39"/>
                <w:sz w:val="24"/>
                <w:highlight w:val="none"/>
              </w:rPr>
            </w:pPr>
            <w:bookmarkStart w:id="422" w:name="_Toc5459"/>
            <w:bookmarkStart w:id="423" w:name="_Toc18308"/>
            <w:bookmarkStart w:id="424" w:name="_Toc11825"/>
            <w:bookmarkStart w:id="425" w:name="_Toc26926"/>
            <w:bookmarkStart w:id="426" w:name="_Toc12073"/>
            <w:bookmarkStart w:id="427" w:name="_Toc13906"/>
            <w:r>
              <w:rPr>
                <w:rStyle w:val="39"/>
                <w:rFonts w:hint="eastAsia"/>
                <w:sz w:val="24"/>
                <w:highlight w:val="none"/>
              </w:rPr>
              <w:t>违约金标准</w:t>
            </w:r>
          </w:p>
          <w:bookmarkEnd w:id="422"/>
          <w:bookmarkEnd w:id="423"/>
          <w:bookmarkEnd w:id="424"/>
          <w:bookmarkEnd w:id="425"/>
          <w:bookmarkEnd w:id="426"/>
          <w:bookmarkEnd w:id="427"/>
        </w:tc>
        <w:tc>
          <w:tcPr>
            <w:tcW w:w="1858" w:type="dxa"/>
            <w:vAlign w:val="center"/>
          </w:tcPr>
          <w:p w14:paraId="26377B04">
            <w:pPr>
              <w:shd w:val="clear"/>
              <w:jc w:val="center"/>
              <w:rPr>
                <w:rStyle w:val="39"/>
                <w:sz w:val="24"/>
                <w:highlight w:val="none"/>
              </w:rPr>
            </w:pPr>
            <w:bookmarkStart w:id="428" w:name="_Toc13269"/>
            <w:bookmarkStart w:id="429" w:name="_Toc23672"/>
            <w:bookmarkStart w:id="430" w:name="_Toc16986"/>
            <w:bookmarkStart w:id="431" w:name="_Toc24359"/>
            <w:bookmarkStart w:id="432" w:name="_Toc7612"/>
            <w:bookmarkStart w:id="433" w:name="_Toc29888"/>
            <w:r>
              <w:rPr>
                <w:rStyle w:val="39"/>
                <w:rFonts w:hint="eastAsia"/>
                <w:sz w:val="24"/>
                <w:highlight w:val="none"/>
              </w:rPr>
              <w:t>备注</w:t>
            </w:r>
          </w:p>
          <w:bookmarkEnd w:id="428"/>
          <w:bookmarkEnd w:id="429"/>
          <w:bookmarkEnd w:id="430"/>
          <w:bookmarkEnd w:id="431"/>
          <w:bookmarkEnd w:id="432"/>
          <w:bookmarkEnd w:id="433"/>
        </w:tc>
      </w:tr>
      <w:tr w14:paraId="43473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6" w:hRule="atLeast"/>
        </w:trPr>
        <w:tc>
          <w:tcPr>
            <w:tcW w:w="769" w:type="dxa"/>
            <w:vAlign w:val="center"/>
          </w:tcPr>
          <w:p w14:paraId="24E5288C">
            <w:pPr>
              <w:shd w:val="clear"/>
              <w:jc w:val="center"/>
              <w:rPr>
                <w:rStyle w:val="39"/>
                <w:sz w:val="24"/>
                <w:highlight w:val="none"/>
              </w:rPr>
            </w:pPr>
            <w:bookmarkStart w:id="434" w:name="_Toc7534"/>
            <w:bookmarkStart w:id="435" w:name="_Toc19991"/>
            <w:bookmarkStart w:id="436" w:name="_Toc17066"/>
            <w:bookmarkStart w:id="437" w:name="_Toc5411"/>
            <w:bookmarkStart w:id="438" w:name="_Toc18076"/>
            <w:bookmarkStart w:id="439" w:name="_Toc18516"/>
            <w:r>
              <w:rPr>
                <w:rStyle w:val="39"/>
                <w:rFonts w:hint="eastAsia"/>
                <w:sz w:val="24"/>
                <w:highlight w:val="none"/>
              </w:rPr>
              <w:t>1</w:t>
            </w:r>
          </w:p>
          <w:bookmarkEnd w:id="434"/>
          <w:bookmarkEnd w:id="435"/>
          <w:bookmarkEnd w:id="436"/>
          <w:bookmarkEnd w:id="437"/>
          <w:bookmarkEnd w:id="438"/>
          <w:bookmarkEnd w:id="439"/>
        </w:tc>
        <w:tc>
          <w:tcPr>
            <w:tcW w:w="4081" w:type="dxa"/>
            <w:vAlign w:val="center"/>
          </w:tcPr>
          <w:p w14:paraId="0651568F">
            <w:pPr>
              <w:shd w:val="clear"/>
              <w:rPr>
                <w:rStyle w:val="39"/>
                <w:sz w:val="24"/>
                <w:highlight w:val="none"/>
              </w:rPr>
            </w:pPr>
            <w:bookmarkStart w:id="440" w:name="_Toc21892"/>
            <w:bookmarkStart w:id="441" w:name="_Toc18927"/>
            <w:bookmarkStart w:id="442" w:name="_Toc7297"/>
            <w:bookmarkStart w:id="443" w:name="_Toc4732"/>
            <w:bookmarkStart w:id="444" w:name="_Toc20012"/>
            <w:bookmarkStart w:id="445" w:name="_Toc31580"/>
            <w:r>
              <w:rPr>
                <w:rStyle w:val="39"/>
                <w:rFonts w:hint="eastAsia"/>
                <w:sz w:val="24"/>
                <w:highlight w:val="none"/>
                <w:lang w:eastAsia="zh-CN"/>
              </w:rPr>
              <w:t>中标人</w:t>
            </w:r>
            <w:r>
              <w:rPr>
                <w:rStyle w:val="39"/>
                <w:rFonts w:hint="eastAsia"/>
                <w:sz w:val="24"/>
                <w:highlight w:val="none"/>
              </w:rPr>
              <w:t>应按国家规定和合同约定的技术规范、标准进行设计，按设计任务书规定的内容、时间及份数向</w:t>
            </w:r>
            <w:r>
              <w:rPr>
                <w:rStyle w:val="39"/>
                <w:rFonts w:hint="eastAsia"/>
                <w:sz w:val="24"/>
                <w:highlight w:val="none"/>
                <w:lang w:eastAsia="zh-CN"/>
              </w:rPr>
              <w:t>招标人</w:t>
            </w:r>
            <w:r>
              <w:rPr>
                <w:rStyle w:val="39"/>
                <w:rFonts w:hint="eastAsia"/>
                <w:sz w:val="24"/>
                <w:highlight w:val="none"/>
              </w:rPr>
              <w:t>一次性交付完整设计文件。因</w:t>
            </w:r>
            <w:r>
              <w:rPr>
                <w:rStyle w:val="39"/>
                <w:rFonts w:hint="eastAsia"/>
                <w:sz w:val="24"/>
                <w:highlight w:val="none"/>
                <w:lang w:eastAsia="zh-CN"/>
              </w:rPr>
              <w:t>中标人</w:t>
            </w:r>
            <w:r>
              <w:rPr>
                <w:rStyle w:val="39"/>
                <w:rFonts w:hint="eastAsia"/>
                <w:sz w:val="24"/>
                <w:highlight w:val="none"/>
              </w:rPr>
              <w:t>原因，没有按期完成设计任务。</w:t>
            </w:r>
          </w:p>
          <w:bookmarkEnd w:id="440"/>
          <w:bookmarkEnd w:id="441"/>
          <w:bookmarkEnd w:id="442"/>
          <w:bookmarkEnd w:id="443"/>
          <w:bookmarkEnd w:id="444"/>
          <w:bookmarkEnd w:id="445"/>
        </w:tc>
        <w:tc>
          <w:tcPr>
            <w:tcW w:w="2390" w:type="dxa"/>
            <w:vAlign w:val="center"/>
          </w:tcPr>
          <w:p w14:paraId="79725B4D">
            <w:pPr>
              <w:shd w:val="clear"/>
              <w:rPr>
                <w:rStyle w:val="39"/>
                <w:sz w:val="24"/>
                <w:highlight w:val="none"/>
              </w:rPr>
            </w:pPr>
            <w:bookmarkStart w:id="446" w:name="_Toc21988"/>
            <w:bookmarkStart w:id="447" w:name="_Toc11682"/>
            <w:bookmarkStart w:id="448" w:name="_Toc19798"/>
            <w:bookmarkStart w:id="449" w:name="_Toc21701"/>
            <w:bookmarkStart w:id="450" w:name="_Toc27254"/>
            <w:bookmarkStart w:id="451" w:name="_Toc23876"/>
            <w:r>
              <w:rPr>
                <w:rStyle w:val="39"/>
                <w:rFonts w:hint="eastAsia"/>
                <w:sz w:val="24"/>
                <w:highlight w:val="none"/>
              </w:rPr>
              <w:t>在逾期第壹天起每天按合同价款的1.5‰计算违约金。</w:t>
            </w:r>
          </w:p>
          <w:bookmarkEnd w:id="446"/>
          <w:bookmarkEnd w:id="447"/>
          <w:bookmarkEnd w:id="448"/>
          <w:bookmarkEnd w:id="449"/>
          <w:bookmarkEnd w:id="450"/>
          <w:bookmarkEnd w:id="451"/>
        </w:tc>
        <w:tc>
          <w:tcPr>
            <w:tcW w:w="1858" w:type="dxa"/>
            <w:vAlign w:val="center"/>
          </w:tcPr>
          <w:p w14:paraId="33259162">
            <w:pPr>
              <w:shd w:val="clear"/>
              <w:rPr>
                <w:rStyle w:val="39"/>
                <w:sz w:val="24"/>
                <w:highlight w:val="none"/>
              </w:rPr>
            </w:pPr>
            <w:bookmarkStart w:id="452" w:name="_Toc4655"/>
            <w:bookmarkStart w:id="453" w:name="_Toc17157"/>
            <w:bookmarkStart w:id="454" w:name="_Toc11226"/>
            <w:bookmarkStart w:id="455" w:name="_Toc21002"/>
            <w:bookmarkStart w:id="456" w:name="_Toc31016"/>
            <w:bookmarkStart w:id="457" w:name="_Toc19772"/>
            <w:r>
              <w:rPr>
                <w:rStyle w:val="39"/>
                <w:rFonts w:hint="eastAsia"/>
                <w:sz w:val="24"/>
                <w:highlight w:val="none"/>
              </w:rPr>
              <w:t>分别累计最高不超过设计合同价款的10%向招标人缴纳逾期违约金</w:t>
            </w:r>
          </w:p>
          <w:bookmarkEnd w:id="452"/>
          <w:bookmarkEnd w:id="453"/>
          <w:bookmarkEnd w:id="454"/>
          <w:bookmarkEnd w:id="455"/>
          <w:bookmarkEnd w:id="456"/>
          <w:bookmarkEnd w:id="457"/>
        </w:tc>
      </w:tr>
      <w:tr w14:paraId="6F4CC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exact"/>
        </w:trPr>
        <w:tc>
          <w:tcPr>
            <w:tcW w:w="769" w:type="dxa"/>
            <w:vAlign w:val="center"/>
          </w:tcPr>
          <w:p w14:paraId="1D6AE573">
            <w:pPr>
              <w:shd w:val="clear"/>
              <w:jc w:val="center"/>
              <w:rPr>
                <w:rStyle w:val="39"/>
                <w:sz w:val="24"/>
                <w:highlight w:val="none"/>
              </w:rPr>
            </w:pPr>
            <w:bookmarkStart w:id="458" w:name="_Toc8085"/>
            <w:bookmarkStart w:id="459" w:name="_Toc31003"/>
            <w:bookmarkStart w:id="460" w:name="_Toc21310"/>
            <w:bookmarkStart w:id="461" w:name="_Toc10456"/>
            <w:bookmarkStart w:id="462" w:name="_Toc27893"/>
            <w:bookmarkStart w:id="463" w:name="_Toc11991"/>
            <w:r>
              <w:rPr>
                <w:rStyle w:val="39"/>
                <w:rFonts w:hint="eastAsia"/>
                <w:sz w:val="24"/>
                <w:highlight w:val="none"/>
              </w:rPr>
              <w:t>2</w:t>
            </w:r>
          </w:p>
          <w:bookmarkEnd w:id="458"/>
          <w:bookmarkEnd w:id="459"/>
          <w:bookmarkEnd w:id="460"/>
          <w:bookmarkEnd w:id="461"/>
          <w:bookmarkEnd w:id="462"/>
          <w:bookmarkEnd w:id="463"/>
        </w:tc>
        <w:tc>
          <w:tcPr>
            <w:tcW w:w="4081" w:type="dxa"/>
            <w:vAlign w:val="center"/>
          </w:tcPr>
          <w:p w14:paraId="28F13649">
            <w:pPr>
              <w:shd w:val="clear"/>
              <w:rPr>
                <w:rStyle w:val="39"/>
                <w:sz w:val="24"/>
                <w:highlight w:val="none"/>
              </w:rPr>
            </w:pPr>
            <w:bookmarkStart w:id="464" w:name="_Toc7516"/>
            <w:bookmarkStart w:id="465" w:name="_Toc14711"/>
            <w:bookmarkStart w:id="466" w:name="_Toc23865"/>
            <w:bookmarkStart w:id="467" w:name="_Toc12189"/>
            <w:bookmarkStart w:id="468" w:name="_Toc29944"/>
            <w:bookmarkStart w:id="469" w:name="_Toc24353"/>
            <w:r>
              <w:rPr>
                <w:rStyle w:val="39"/>
                <w:rFonts w:hint="eastAsia"/>
                <w:sz w:val="24"/>
                <w:highlight w:val="none"/>
              </w:rPr>
              <w:t>由于</w:t>
            </w:r>
            <w:r>
              <w:rPr>
                <w:rStyle w:val="39"/>
                <w:rFonts w:hint="eastAsia"/>
                <w:sz w:val="24"/>
                <w:highlight w:val="none"/>
                <w:lang w:eastAsia="zh-CN"/>
              </w:rPr>
              <w:t>中标人</w:t>
            </w:r>
            <w:r>
              <w:rPr>
                <w:rStyle w:val="39"/>
                <w:rFonts w:hint="eastAsia"/>
                <w:sz w:val="24"/>
                <w:highlight w:val="none"/>
              </w:rPr>
              <w:t>设计工作错误造成工程设计质量事故。</w:t>
            </w:r>
          </w:p>
          <w:bookmarkEnd w:id="464"/>
          <w:bookmarkEnd w:id="465"/>
          <w:bookmarkEnd w:id="466"/>
          <w:bookmarkEnd w:id="467"/>
          <w:bookmarkEnd w:id="468"/>
          <w:bookmarkEnd w:id="469"/>
        </w:tc>
        <w:tc>
          <w:tcPr>
            <w:tcW w:w="2390" w:type="dxa"/>
            <w:vAlign w:val="center"/>
          </w:tcPr>
          <w:p w14:paraId="48BC4943">
            <w:pPr>
              <w:shd w:val="clear"/>
              <w:rPr>
                <w:rStyle w:val="39"/>
                <w:sz w:val="24"/>
                <w:highlight w:val="none"/>
              </w:rPr>
            </w:pPr>
            <w:bookmarkStart w:id="470" w:name="_Toc19440"/>
            <w:bookmarkStart w:id="471" w:name="_Toc27440"/>
            <w:bookmarkStart w:id="472" w:name="_Toc15379"/>
            <w:bookmarkStart w:id="473" w:name="_Toc15472"/>
            <w:bookmarkStart w:id="474" w:name="_Toc17675"/>
            <w:bookmarkStart w:id="475" w:name="_Toc27538"/>
            <w:r>
              <w:rPr>
                <w:rStyle w:val="39"/>
                <w:rFonts w:hint="eastAsia"/>
                <w:sz w:val="24"/>
                <w:highlight w:val="none"/>
              </w:rPr>
              <w:t>根据责任情况，负责赔偿工程损失费，但最高不超过该项目应收设计费总额。</w:t>
            </w:r>
          </w:p>
          <w:bookmarkEnd w:id="470"/>
          <w:bookmarkEnd w:id="471"/>
          <w:bookmarkEnd w:id="472"/>
          <w:bookmarkEnd w:id="473"/>
          <w:bookmarkEnd w:id="474"/>
          <w:bookmarkEnd w:id="475"/>
        </w:tc>
        <w:tc>
          <w:tcPr>
            <w:tcW w:w="1858" w:type="dxa"/>
            <w:vAlign w:val="center"/>
          </w:tcPr>
          <w:p w14:paraId="7A5378C3">
            <w:pPr>
              <w:shd w:val="clear"/>
              <w:rPr>
                <w:rStyle w:val="39"/>
                <w:sz w:val="24"/>
                <w:highlight w:val="none"/>
              </w:rPr>
            </w:pPr>
            <w:bookmarkStart w:id="476" w:name="_Toc15853"/>
            <w:bookmarkStart w:id="477" w:name="_Toc30408"/>
            <w:bookmarkStart w:id="478" w:name="_Toc24218"/>
            <w:bookmarkStart w:id="479" w:name="_Toc27212"/>
            <w:bookmarkStart w:id="480" w:name="_Toc824"/>
            <w:bookmarkStart w:id="481" w:name="_Toc16816"/>
            <w:r>
              <w:rPr>
                <w:rStyle w:val="39"/>
                <w:rFonts w:hint="eastAsia"/>
                <w:sz w:val="24"/>
                <w:highlight w:val="none"/>
              </w:rPr>
              <w:t>负责采取补救措施</w:t>
            </w:r>
          </w:p>
          <w:bookmarkEnd w:id="476"/>
          <w:bookmarkEnd w:id="477"/>
          <w:bookmarkEnd w:id="478"/>
          <w:bookmarkEnd w:id="479"/>
          <w:bookmarkEnd w:id="480"/>
          <w:bookmarkEnd w:id="481"/>
        </w:tc>
      </w:tr>
      <w:tr w14:paraId="22C56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769" w:type="dxa"/>
            <w:vAlign w:val="center"/>
          </w:tcPr>
          <w:p w14:paraId="6E81213F">
            <w:pPr>
              <w:shd w:val="clear"/>
              <w:jc w:val="center"/>
              <w:rPr>
                <w:rStyle w:val="39"/>
                <w:sz w:val="24"/>
                <w:highlight w:val="none"/>
              </w:rPr>
            </w:pPr>
            <w:bookmarkStart w:id="482" w:name="_Toc19544"/>
            <w:bookmarkStart w:id="483" w:name="_Toc29596"/>
            <w:bookmarkStart w:id="484" w:name="_Toc17685"/>
            <w:bookmarkStart w:id="485" w:name="_Toc27583"/>
            <w:bookmarkStart w:id="486" w:name="_Toc20043"/>
            <w:bookmarkStart w:id="487" w:name="_Toc2006"/>
            <w:r>
              <w:rPr>
                <w:rStyle w:val="39"/>
                <w:rFonts w:hint="eastAsia"/>
                <w:sz w:val="24"/>
                <w:highlight w:val="none"/>
              </w:rPr>
              <w:t>3</w:t>
            </w:r>
          </w:p>
          <w:bookmarkEnd w:id="482"/>
          <w:bookmarkEnd w:id="483"/>
          <w:bookmarkEnd w:id="484"/>
          <w:bookmarkEnd w:id="485"/>
          <w:bookmarkEnd w:id="486"/>
          <w:bookmarkEnd w:id="487"/>
        </w:tc>
        <w:tc>
          <w:tcPr>
            <w:tcW w:w="4081" w:type="dxa"/>
            <w:vAlign w:val="center"/>
          </w:tcPr>
          <w:p w14:paraId="6AE563BF">
            <w:pPr>
              <w:shd w:val="clear"/>
              <w:rPr>
                <w:rStyle w:val="39"/>
                <w:sz w:val="24"/>
                <w:highlight w:val="none"/>
              </w:rPr>
            </w:pPr>
            <w:bookmarkStart w:id="488" w:name="_Toc16226"/>
            <w:bookmarkStart w:id="489" w:name="_Toc30241"/>
            <w:bookmarkStart w:id="490" w:name="_Toc32755"/>
            <w:bookmarkStart w:id="491" w:name="_Toc18265"/>
            <w:bookmarkStart w:id="492" w:name="_Toc18573"/>
            <w:bookmarkStart w:id="493" w:name="_Toc14268"/>
            <w:r>
              <w:rPr>
                <w:rStyle w:val="39"/>
                <w:rFonts w:hint="eastAsia"/>
                <w:sz w:val="24"/>
                <w:highlight w:val="none"/>
                <w:lang w:eastAsia="zh-CN"/>
              </w:rPr>
              <w:t>中标人</w:t>
            </w:r>
            <w:r>
              <w:rPr>
                <w:rStyle w:val="39"/>
                <w:rFonts w:hint="eastAsia"/>
                <w:sz w:val="24"/>
                <w:highlight w:val="none"/>
              </w:rPr>
              <w:t>不按合同约定及</w:t>
            </w:r>
            <w:r>
              <w:rPr>
                <w:rStyle w:val="39"/>
                <w:rFonts w:hint="eastAsia"/>
                <w:sz w:val="24"/>
                <w:highlight w:val="none"/>
                <w:lang w:eastAsia="zh-CN"/>
              </w:rPr>
              <w:t>招标人</w:t>
            </w:r>
            <w:r>
              <w:rPr>
                <w:rStyle w:val="39"/>
                <w:rFonts w:hint="eastAsia"/>
                <w:sz w:val="24"/>
                <w:highlight w:val="none"/>
              </w:rPr>
              <w:t>要求出具软基处理、结构物设计比选方案。</w:t>
            </w:r>
          </w:p>
          <w:bookmarkEnd w:id="488"/>
          <w:bookmarkEnd w:id="489"/>
          <w:bookmarkEnd w:id="490"/>
          <w:bookmarkEnd w:id="491"/>
          <w:bookmarkEnd w:id="492"/>
          <w:bookmarkEnd w:id="493"/>
        </w:tc>
        <w:tc>
          <w:tcPr>
            <w:tcW w:w="2390" w:type="dxa"/>
            <w:vAlign w:val="center"/>
          </w:tcPr>
          <w:p w14:paraId="7D308BF2">
            <w:pPr>
              <w:shd w:val="clear"/>
              <w:rPr>
                <w:rStyle w:val="39"/>
                <w:sz w:val="24"/>
                <w:highlight w:val="none"/>
              </w:rPr>
            </w:pPr>
            <w:bookmarkStart w:id="494" w:name="_Toc32588"/>
            <w:bookmarkStart w:id="495" w:name="_Toc10588"/>
            <w:bookmarkStart w:id="496" w:name="_Toc20569"/>
            <w:bookmarkStart w:id="497" w:name="_Toc31672"/>
            <w:bookmarkStart w:id="498" w:name="_Toc4185"/>
            <w:bookmarkStart w:id="499" w:name="_Toc15548"/>
            <w:r>
              <w:rPr>
                <w:rStyle w:val="39"/>
                <w:rFonts w:hint="eastAsia"/>
                <w:sz w:val="24"/>
                <w:highlight w:val="none"/>
              </w:rPr>
              <w:t>每次扣除设计合同价款中设计费</w:t>
            </w:r>
            <w:r>
              <w:rPr>
                <w:rStyle w:val="39"/>
                <w:rFonts w:hint="eastAsia"/>
                <w:sz w:val="24"/>
                <w:highlight w:val="none"/>
                <w:lang w:eastAsia="zh-CN"/>
              </w:rPr>
              <w:t>的</w:t>
            </w:r>
            <w:r>
              <w:rPr>
                <w:rStyle w:val="39"/>
                <w:rFonts w:hint="eastAsia"/>
                <w:sz w:val="24"/>
                <w:highlight w:val="none"/>
              </w:rPr>
              <w:t>1.5‰，扣完为止。</w:t>
            </w:r>
          </w:p>
          <w:bookmarkEnd w:id="494"/>
          <w:bookmarkEnd w:id="495"/>
          <w:bookmarkEnd w:id="496"/>
          <w:bookmarkEnd w:id="497"/>
          <w:bookmarkEnd w:id="498"/>
          <w:bookmarkEnd w:id="499"/>
        </w:tc>
        <w:tc>
          <w:tcPr>
            <w:tcW w:w="1858" w:type="dxa"/>
            <w:vAlign w:val="center"/>
          </w:tcPr>
          <w:p w14:paraId="4A75C2F7">
            <w:pPr>
              <w:shd w:val="clear"/>
              <w:rPr>
                <w:rStyle w:val="39"/>
                <w:sz w:val="24"/>
                <w:highlight w:val="none"/>
              </w:rPr>
            </w:pPr>
          </w:p>
        </w:tc>
      </w:tr>
      <w:tr w14:paraId="38AE3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trPr>
        <w:tc>
          <w:tcPr>
            <w:tcW w:w="769" w:type="dxa"/>
            <w:vAlign w:val="center"/>
          </w:tcPr>
          <w:p w14:paraId="0A2FF185">
            <w:pPr>
              <w:shd w:val="clear"/>
              <w:jc w:val="center"/>
              <w:rPr>
                <w:rStyle w:val="39"/>
                <w:sz w:val="24"/>
                <w:highlight w:val="none"/>
              </w:rPr>
            </w:pPr>
            <w:bookmarkStart w:id="500" w:name="_Toc24175"/>
            <w:bookmarkStart w:id="501" w:name="_Toc20564"/>
            <w:bookmarkStart w:id="502" w:name="_Toc17861"/>
            <w:bookmarkStart w:id="503" w:name="_Toc31891"/>
            <w:bookmarkStart w:id="504" w:name="_Toc10859"/>
            <w:bookmarkStart w:id="505" w:name="_Toc3629"/>
            <w:r>
              <w:rPr>
                <w:rStyle w:val="39"/>
                <w:rFonts w:hint="eastAsia"/>
                <w:sz w:val="24"/>
                <w:highlight w:val="none"/>
              </w:rPr>
              <w:t>4</w:t>
            </w:r>
          </w:p>
          <w:bookmarkEnd w:id="500"/>
          <w:bookmarkEnd w:id="501"/>
          <w:bookmarkEnd w:id="502"/>
          <w:bookmarkEnd w:id="503"/>
          <w:bookmarkEnd w:id="504"/>
          <w:bookmarkEnd w:id="505"/>
        </w:tc>
        <w:tc>
          <w:tcPr>
            <w:tcW w:w="4081" w:type="dxa"/>
            <w:vAlign w:val="center"/>
          </w:tcPr>
          <w:p w14:paraId="6C5144AB">
            <w:pPr>
              <w:shd w:val="clear"/>
              <w:rPr>
                <w:rStyle w:val="39"/>
                <w:sz w:val="24"/>
                <w:highlight w:val="none"/>
              </w:rPr>
            </w:pPr>
            <w:bookmarkStart w:id="506" w:name="_Toc25809"/>
            <w:bookmarkStart w:id="507" w:name="_Toc6520"/>
            <w:bookmarkStart w:id="508" w:name="_Toc29016"/>
            <w:bookmarkStart w:id="509" w:name="_Toc27314"/>
            <w:bookmarkStart w:id="510" w:name="_Toc2117"/>
            <w:bookmarkStart w:id="511" w:name="_Toc10688"/>
            <w:r>
              <w:rPr>
                <w:rStyle w:val="39"/>
                <w:rFonts w:hint="eastAsia"/>
                <w:sz w:val="24"/>
                <w:highlight w:val="none"/>
                <w:lang w:eastAsia="zh-CN"/>
              </w:rPr>
              <w:t>中标人</w:t>
            </w:r>
            <w:r>
              <w:rPr>
                <w:rStyle w:val="39"/>
                <w:rFonts w:hint="eastAsia"/>
                <w:sz w:val="24"/>
                <w:highlight w:val="none"/>
              </w:rPr>
              <w:t>提供的初步设计概算不满足合同约定要求，经审核若发现清单工程量漏项或计算有误差，</w:t>
            </w:r>
            <w:r>
              <w:rPr>
                <w:rStyle w:val="39"/>
                <w:rFonts w:hint="eastAsia"/>
                <w:sz w:val="24"/>
                <w:highlight w:val="none"/>
                <w:lang w:eastAsia="zh-CN"/>
              </w:rPr>
              <w:t>中标人</w:t>
            </w:r>
            <w:r>
              <w:rPr>
                <w:rStyle w:val="39"/>
                <w:rFonts w:hint="eastAsia"/>
                <w:sz w:val="24"/>
                <w:highlight w:val="none"/>
              </w:rPr>
              <w:t>负责5天内完成修正。</w:t>
            </w:r>
          </w:p>
          <w:bookmarkEnd w:id="506"/>
          <w:bookmarkEnd w:id="507"/>
          <w:bookmarkEnd w:id="508"/>
          <w:bookmarkEnd w:id="509"/>
          <w:bookmarkEnd w:id="510"/>
          <w:bookmarkEnd w:id="511"/>
        </w:tc>
        <w:tc>
          <w:tcPr>
            <w:tcW w:w="2390" w:type="dxa"/>
            <w:vAlign w:val="center"/>
          </w:tcPr>
          <w:p w14:paraId="04C44DA9">
            <w:pPr>
              <w:shd w:val="clear"/>
              <w:rPr>
                <w:rStyle w:val="39"/>
                <w:sz w:val="24"/>
                <w:highlight w:val="none"/>
              </w:rPr>
            </w:pPr>
            <w:bookmarkStart w:id="512" w:name="_Toc6120"/>
            <w:bookmarkStart w:id="513" w:name="_Toc29656"/>
            <w:bookmarkStart w:id="514" w:name="_Toc4046"/>
            <w:bookmarkStart w:id="515" w:name="_Toc10552"/>
            <w:bookmarkStart w:id="516" w:name="_Toc27385"/>
            <w:bookmarkStart w:id="517" w:name="_Toc12426"/>
            <w:r>
              <w:rPr>
                <w:rStyle w:val="39"/>
                <w:rFonts w:hint="eastAsia"/>
                <w:sz w:val="24"/>
                <w:highlight w:val="none"/>
              </w:rPr>
              <w:t>在逾期第壹天起每天按合同价款的1.5‰计算违约金。</w:t>
            </w:r>
          </w:p>
          <w:bookmarkEnd w:id="512"/>
          <w:bookmarkEnd w:id="513"/>
          <w:bookmarkEnd w:id="514"/>
          <w:bookmarkEnd w:id="515"/>
          <w:bookmarkEnd w:id="516"/>
          <w:bookmarkEnd w:id="517"/>
        </w:tc>
        <w:tc>
          <w:tcPr>
            <w:tcW w:w="1858" w:type="dxa"/>
            <w:vAlign w:val="center"/>
          </w:tcPr>
          <w:p w14:paraId="79E3F155">
            <w:pPr>
              <w:shd w:val="clear"/>
              <w:rPr>
                <w:rStyle w:val="39"/>
                <w:sz w:val="24"/>
                <w:highlight w:val="none"/>
              </w:rPr>
            </w:pPr>
          </w:p>
        </w:tc>
      </w:tr>
      <w:tr w14:paraId="301D9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trPr>
        <w:tc>
          <w:tcPr>
            <w:tcW w:w="769" w:type="dxa"/>
            <w:vAlign w:val="center"/>
          </w:tcPr>
          <w:p w14:paraId="0EC4D72E">
            <w:pPr>
              <w:jc w:val="center"/>
              <w:rPr>
                <w:rStyle w:val="39"/>
                <w:sz w:val="24"/>
              </w:rPr>
            </w:pPr>
            <w:bookmarkStart w:id="518" w:name="_Toc25927"/>
            <w:bookmarkStart w:id="519" w:name="_Toc24128"/>
            <w:bookmarkStart w:id="520" w:name="_Toc24708"/>
            <w:bookmarkStart w:id="521" w:name="_Toc23246"/>
            <w:bookmarkStart w:id="522" w:name="_Toc14148"/>
            <w:bookmarkStart w:id="523" w:name="_Toc23062"/>
            <w:r>
              <w:rPr>
                <w:rStyle w:val="39"/>
                <w:rFonts w:hint="eastAsia"/>
                <w:sz w:val="24"/>
              </w:rPr>
              <w:t>5</w:t>
            </w:r>
          </w:p>
          <w:bookmarkEnd w:id="518"/>
          <w:bookmarkEnd w:id="519"/>
          <w:bookmarkEnd w:id="520"/>
          <w:bookmarkEnd w:id="521"/>
          <w:bookmarkEnd w:id="522"/>
          <w:bookmarkEnd w:id="523"/>
        </w:tc>
        <w:tc>
          <w:tcPr>
            <w:tcW w:w="4081" w:type="dxa"/>
            <w:vAlign w:val="center"/>
          </w:tcPr>
          <w:p w14:paraId="307FAB9F">
            <w:pPr>
              <w:rPr>
                <w:rStyle w:val="39"/>
                <w:sz w:val="24"/>
              </w:rPr>
            </w:pPr>
            <w:bookmarkStart w:id="524" w:name="_Toc26635"/>
            <w:bookmarkStart w:id="525" w:name="_Toc23852"/>
            <w:bookmarkStart w:id="526" w:name="_Toc21852"/>
            <w:bookmarkStart w:id="527" w:name="_Toc4653"/>
            <w:bookmarkStart w:id="528" w:name="_Toc1995"/>
            <w:bookmarkStart w:id="529" w:name="_Toc17146"/>
            <w:r>
              <w:rPr>
                <w:rStyle w:val="39"/>
                <w:rFonts w:hint="eastAsia"/>
                <w:sz w:val="24"/>
                <w:lang w:eastAsia="zh-CN"/>
              </w:rPr>
              <w:t>中标人</w:t>
            </w:r>
            <w:r>
              <w:rPr>
                <w:rStyle w:val="39"/>
                <w:rFonts w:hint="eastAsia"/>
                <w:sz w:val="24"/>
              </w:rPr>
              <w:t>未能在</w:t>
            </w:r>
            <w:r>
              <w:rPr>
                <w:rStyle w:val="39"/>
                <w:rFonts w:hint="eastAsia"/>
                <w:sz w:val="24"/>
                <w:lang w:eastAsia="zh-CN"/>
              </w:rPr>
              <w:t>招标人</w:t>
            </w:r>
            <w:r>
              <w:rPr>
                <w:rStyle w:val="39"/>
                <w:rFonts w:hint="eastAsia"/>
                <w:sz w:val="24"/>
              </w:rPr>
              <w:t>通知的时间内（提前一天通知，紧急情况随时通知）参加设计交底、处理有关设计问题等工作。</w:t>
            </w:r>
          </w:p>
          <w:bookmarkEnd w:id="524"/>
          <w:bookmarkEnd w:id="525"/>
          <w:bookmarkEnd w:id="526"/>
          <w:bookmarkEnd w:id="527"/>
          <w:bookmarkEnd w:id="528"/>
          <w:bookmarkEnd w:id="529"/>
        </w:tc>
        <w:tc>
          <w:tcPr>
            <w:tcW w:w="2390" w:type="dxa"/>
            <w:vAlign w:val="center"/>
          </w:tcPr>
          <w:p w14:paraId="2CE7B72C">
            <w:pPr>
              <w:rPr>
                <w:rStyle w:val="39"/>
                <w:sz w:val="24"/>
              </w:rPr>
            </w:pPr>
            <w:bookmarkStart w:id="530" w:name="_Toc4310"/>
            <w:bookmarkStart w:id="531" w:name="_Toc11235"/>
            <w:bookmarkStart w:id="532" w:name="_Toc9568"/>
            <w:bookmarkStart w:id="533" w:name="_Toc4964"/>
            <w:bookmarkStart w:id="534" w:name="_Toc19583"/>
            <w:bookmarkStart w:id="535" w:name="_Toc16112"/>
            <w:r>
              <w:rPr>
                <w:rStyle w:val="39"/>
                <w:rFonts w:hint="eastAsia"/>
                <w:sz w:val="24"/>
              </w:rPr>
              <w:t>每人次扣减5000元。</w:t>
            </w:r>
          </w:p>
          <w:bookmarkEnd w:id="530"/>
          <w:bookmarkEnd w:id="531"/>
          <w:bookmarkEnd w:id="532"/>
          <w:bookmarkEnd w:id="533"/>
          <w:bookmarkEnd w:id="534"/>
          <w:bookmarkEnd w:id="535"/>
        </w:tc>
        <w:tc>
          <w:tcPr>
            <w:tcW w:w="1858" w:type="dxa"/>
            <w:vAlign w:val="center"/>
          </w:tcPr>
          <w:p w14:paraId="506AE69B">
            <w:pPr>
              <w:rPr>
                <w:rStyle w:val="39"/>
                <w:sz w:val="24"/>
              </w:rPr>
            </w:pPr>
          </w:p>
        </w:tc>
      </w:tr>
      <w:tr w14:paraId="1ADD9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trPr>
        <w:tc>
          <w:tcPr>
            <w:tcW w:w="769" w:type="dxa"/>
            <w:vAlign w:val="center"/>
          </w:tcPr>
          <w:p w14:paraId="7A38F09D">
            <w:pPr>
              <w:jc w:val="center"/>
              <w:rPr>
                <w:rStyle w:val="39"/>
                <w:sz w:val="24"/>
              </w:rPr>
            </w:pPr>
            <w:bookmarkStart w:id="536" w:name="_Toc22842"/>
            <w:bookmarkStart w:id="537" w:name="_Toc10317"/>
            <w:bookmarkStart w:id="538" w:name="_Toc19357"/>
            <w:bookmarkStart w:id="539" w:name="_Toc10010"/>
            <w:bookmarkStart w:id="540" w:name="_Toc23827"/>
            <w:bookmarkStart w:id="541" w:name="_Toc8838"/>
            <w:r>
              <w:rPr>
                <w:rStyle w:val="39"/>
                <w:rFonts w:hint="eastAsia"/>
                <w:sz w:val="24"/>
              </w:rPr>
              <w:t>6</w:t>
            </w:r>
          </w:p>
          <w:bookmarkEnd w:id="536"/>
          <w:bookmarkEnd w:id="537"/>
          <w:bookmarkEnd w:id="538"/>
          <w:bookmarkEnd w:id="539"/>
          <w:bookmarkEnd w:id="540"/>
          <w:bookmarkEnd w:id="541"/>
        </w:tc>
        <w:tc>
          <w:tcPr>
            <w:tcW w:w="4081" w:type="dxa"/>
            <w:vAlign w:val="center"/>
          </w:tcPr>
          <w:p w14:paraId="7573B2E4">
            <w:pPr>
              <w:rPr>
                <w:rStyle w:val="39"/>
                <w:sz w:val="24"/>
              </w:rPr>
            </w:pPr>
            <w:bookmarkStart w:id="542" w:name="_Toc9321"/>
            <w:bookmarkStart w:id="543" w:name="_Toc2512"/>
            <w:bookmarkStart w:id="544" w:name="_Toc3767"/>
            <w:bookmarkStart w:id="545" w:name="_Toc10889"/>
            <w:bookmarkStart w:id="546" w:name="_Toc4896"/>
            <w:bookmarkStart w:id="547" w:name="_Toc9406"/>
            <w:r>
              <w:rPr>
                <w:rStyle w:val="39"/>
                <w:rFonts w:hint="eastAsia"/>
                <w:sz w:val="24"/>
              </w:rPr>
              <w:t>因设计造成与周边路网、管网规划协调不一致；对区域内路网的交通组织不完善合理；道路、桥涵、排水之间的关系处理不得当。</w:t>
            </w:r>
          </w:p>
          <w:bookmarkEnd w:id="542"/>
          <w:bookmarkEnd w:id="543"/>
          <w:bookmarkEnd w:id="544"/>
          <w:bookmarkEnd w:id="545"/>
          <w:bookmarkEnd w:id="546"/>
          <w:bookmarkEnd w:id="547"/>
        </w:tc>
        <w:tc>
          <w:tcPr>
            <w:tcW w:w="2390" w:type="dxa"/>
            <w:vAlign w:val="center"/>
          </w:tcPr>
          <w:p w14:paraId="72A2B868">
            <w:pPr>
              <w:rPr>
                <w:rStyle w:val="39"/>
                <w:sz w:val="24"/>
              </w:rPr>
            </w:pPr>
            <w:bookmarkStart w:id="548" w:name="_Toc15413"/>
            <w:bookmarkStart w:id="549" w:name="_Toc12980"/>
            <w:bookmarkStart w:id="550" w:name="_Toc7021"/>
            <w:bookmarkStart w:id="551" w:name="_Toc31778"/>
            <w:bookmarkStart w:id="552" w:name="_Toc7380"/>
            <w:bookmarkStart w:id="553" w:name="_Toc22502"/>
            <w:r>
              <w:rPr>
                <w:rStyle w:val="39"/>
                <w:rFonts w:hint="eastAsia"/>
                <w:sz w:val="24"/>
              </w:rPr>
              <w:t>每次扣除设计合同价款中设计费的2%，扣完为止。</w:t>
            </w:r>
          </w:p>
          <w:bookmarkEnd w:id="548"/>
          <w:bookmarkEnd w:id="549"/>
          <w:bookmarkEnd w:id="550"/>
          <w:bookmarkEnd w:id="551"/>
          <w:bookmarkEnd w:id="552"/>
          <w:bookmarkEnd w:id="553"/>
        </w:tc>
        <w:tc>
          <w:tcPr>
            <w:tcW w:w="1858" w:type="dxa"/>
            <w:vAlign w:val="center"/>
          </w:tcPr>
          <w:p w14:paraId="6789570E">
            <w:pPr>
              <w:rPr>
                <w:rStyle w:val="39"/>
                <w:sz w:val="24"/>
              </w:rPr>
            </w:pPr>
          </w:p>
        </w:tc>
      </w:tr>
      <w:tr w14:paraId="0F201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exact"/>
        </w:trPr>
        <w:tc>
          <w:tcPr>
            <w:tcW w:w="769" w:type="dxa"/>
            <w:vAlign w:val="center"/>
          </w:tcPr>
          <w:p w14:paraId="41CB4110">
            <w:pPr>
              <w:jc w:val="center"/>
              <w:rPr>
                <w:rStyle w:val="39"/>
                <w:sz w:val="24"/>
                <w:highlight w:val="none"/>
              </w:rPr>
            </w:pPr>
            <w:bookmarkStart w:id="554" w:name="_Toc24821"/>
            <w:bookmarkStart w:id="555" w:name="_Toc5594"/>
            <w:bookmarkStart w:id="556" w:name="_Toc6355"/>
            <w:bookmarkStart w:id="557" w:name="_Toc30081"/>
            <w:bookmarkStart w:id="558" w:name="_Toc27702"/>
            <w:bookmarkStart w:id="559" w:name="_Toc6603"/>
            <w:r>
              <w:rPr>
                <w:rStyle w:val="39"/>
                <w:rFonts w:hint="eastAsia"/>
                <w:sz w:val="24"/>
                <w:highlight w:val="none"/>
              </w:rPr>
              <w:t>7</w:t>
            </w:r>
          </w:p>
          <w:bookmarkEnd w:id="554"/>
          <w:bookmarkEnd w:id="555"/>
          <w:bookmarkEnd w:id="556"/>
          <w:bookmarkEnd w:id="557"/>
          <w:bookmarkEnd w:id="558"/>
          <w:bookmarkEnd w:id="559"/>
        </w:tc>
        <w:tc>
          <w:tcPr>
            <w:tcW w:w="4081" w:type="dxa"/>
            <w:vAlign w:val="center"/>
          </w:tcPr>
          <w:p w14:paraId="2D8BCD5E">
            <w:pPr>
              <w:rPr>
                <w:rStyle w:val="39"/>
                <w:sz w:val="24"/>
                <w:highlight w:val="none"/>
              </w:rPr>
            </w:pPr>
            <w:bookmarkStart w:id="560" w:name="_Toc20212"/>
            <w:bookmarkStart w:id="561" w:name="_Toc10089"/>
            <w:bookmarkStart w:id="562" w:name="_Toc7440"/>
            <w:bookmarkStart w:id="563" w:name="_Toc13391"/>
            <w:bookmarkStart w:id="564" w:name="_Toc16984"/>
            <w:bookmarkStart w:id="565" w:name="_Toc10962"/>
            <w:r>
              <w:rPr>
                <w:rStyle w:val="39"/>
                <w:rFonts w:hint="eastAsia"/>
                <w:sz w:val="24"/>
                <w:highlight w:val="none"/>
              </w:rPr>
              <w:t>由于</w:t>
            </w:r>
            <w:r>
              <w:rPr>
                <w:rStyle w:val="39"/>
                <w:rFonts w:hint="eastAsia"/>
                <w:sz w:val="24"/>
                <w:highlight w:val="none"/>
                <w:lang w:eastAsia="zh-CN"/>
              </w:rPr>
              <w:t>中标人</w:t>
            </w:r>
            <w:r>
              <w:rPr>
                <w:rStyle w:val="39"/>
                <w:rFonts w:hint="eastAsia"/>
                <w:sz w:val="24"/>
                <w:highlight w:val="none"/>
              </w:rPr>
              <w:t>未充分、及时与各用户单位沟通，造成方案设计及初步设计不合理或未及时通过相关部门审批的。</w:t>
            </w:r>
          </w:p>
          <w:bookmarkEnd w:id="560"/>
          <w:bookmarkEnd w:id="561"/>
          <w:bookmarkEnd w:id="562"/>
          <w:bookmarkEnd w:id="563"/>
          <w:bookmarkEnd w:id="564"/>
          <w:bookmarkEnd w:id="565"/>
        </w:tc>
        <w:tc>
          <w:tcPr>
            <w:tcW w:w="2390" w:type="dxa"/>
            <w:vAlign w:val="center"/>
          </w:tcPr>
          <w:p w14:paraId="67525EB8">
            <w:pPr>
              <w:rPr>
                <w:rStyle w:val="39"/>
                <w:sz w:val="24"/>
                <w:highlight w:val="none"/>
              </w:rPr>
            </w:pPr>
            <w:bookmarkStart w:id="566" w:name="_Toc17910"/>
            <w:bookmarkStart w:id="567" w:name="_Toc11816"/>
            <w:bookmarkStart w:id="568" w:name="_Toc20032"/>
            <w:bookmarkStart w:id="569" w:name="_Toc3570"/>
            <w:bookmarkStart w:id="570" w:name="_Toc27645"/>
            <w:bookmarkStart w:id="571" w:name="_Toc8748"/>
            <w:r>
              <w:rPr>
                <w:rStyle w:val="39"/>
                <w:rFonts w:hint="eastAsia"/>
                <w:sz w:val="24"/>
                <w:highlight w:val="none"/>
              </w:rPr>
              <w:t>每次扣除设计合同价款中设计费的1.5‰，扣完为止。</w:t>
            </w:r>
          </w:p>
          <w:bookmarkEnd w:id="566"/>
          <w:bookmarkEnd w:id="567"/>
          <w:bookmarkEnd w:id="568"/>
          <w:bookmarkEnd w:id="569"/>
          <w:bookmarkEnd w:id="570"/>
          <w:bookmarkEnd w:id="571"/>
        </w:tc>
        <w:tc>
          <w:tcPr>
            <w:tcW w:w="1858" w:type="dxa"/>
            <w:vAlign w:val="center"/>
          </w:tcPr>
          <w:p w14:paraId="5E08B54C">
            <w:pPr>
              <w:rPr>
                <w:rStyle w:val="39"/>
                <w:sz w:val="24"/>
              </w:rPr>
            </w:pPr>
          </w:p>
        </w:tc>
      </w:tr>
    </w:tbl>
    <w:p w14:paraId="5D7F04C3">
      <w:pPr>
        <w:pStyle w:val="2"/>
        <w:keepNext/>
        <w:keepLines/>
        <w:tabs>
          <w:tab w:val="left" w:pos="885"/>
        </w:tabs>
        <w:spacing w:line="400" w:lineRule="exact"/>
        <w:ind w:left="885" w:hanging="885"/>
        <w:jc w:val="center"/>
        <w:rPr>
          <w:b/>
          <w:kern w:val="44"/>
          <w:sz w:val="24"/>
        </w:rPr>
      </w:pPr>
      <w:r>
        <w:rPr>
          <w:rFonts w:hint="eastAsia"/>
          <w:b/>
          <w:kern w:val="44"/>
          <w:sz w:val="24"/>
        </w:rPr>
        <w:br w:type="page"/>
      </w:r>
      <w:bookmarkStart w:id="572" w:name="_Toc22644"/>
      <w:bookmarkStart w:id="573" w:name="_Toc32723"/>
      <w:bookmarkStart w:id="574" w:name="_Toc10275"/>
      <w:bookmarkStart w:id="575" w:name="_Toc30652"/>
      <w:r>
        <w:rPr>
          <w:rFonts w:hint="eastAsia"/>
          <w:b/>
          <w:kern w:val="44"/>
          <w:sz w:val="24"/>
        </w:rPr>
        <w:t xml:space="preserve">第四章 </w:t>
      </w:r>
      <w:bookmarkEnd w:id="286"/>
      <w:bookmarkEnd w:id="287"/>
      <w:r>
        <w:rPr>
          <w:rFonts w:hint="eastAsia"/>
          <w:b/>
          <w:kern w:val="44"/>
          <w:sz w:val="24"/>
        </w:rPr>
        <w:t>招标项目的设计要求</w:t>
      </w:r>
      <w:bookmarkEnd w:id="572"/>
      <w:bookmarkEnd w:id="573"/>
      <w:bookmarkEnd w:id="574"/>
      <w:bookmarkEnd w:id="575"/>
    </w:p>
    <w:p w14:paraId="6CE68EB2">
      <w:pPr>
        <w:wordWrap w:val="0"/>
        <w:adjustRightInd w:val="0"/>
        <w:snapToGrid w:val="0"/>
        <w:spacing w:line="440" w:lineRule="exact"/>
        <w:rPr>
          <w:bCs/>
          <w:snapToGrid w:val="0"/>
        </w:rPr>
      </w:pPr>
      <w:bookmarkStart w:id="576" w:name="_Hlt69357851"/>
      <w:bookmarkEnd w:id="576"/>
      <w:bookmarkStart w:id="577" w:name="_Hlt80411122"/>
      <w:bookmarkEnd w:id="577"/>
      <w:bookmarkStart w:id="578" w:name="_Hlt87793346"/>
      <w:bookmarkEnd w:id="578"/>
      <w:bookmarkStart w:id="579" w:name="_Hlt69265216"/>
      <w:bookmarkEnd w:id="579"/>
      <w:bookmarkStart w:id="580" w:name="_Hlt75685840"/>
      <w:bookmarkEnd w:id="580"/>
      <w:bookmarkStart w:id="581" w:name="_Hlt69116854"/>
      <w:bookmarkEnd w:id="581"/>
      <w:bookmarkStart w:id="582" w:name="_Hlt69358207"/>
      <w:bookmarkEnd w:id="582"/>
      <w:bookmarkStart w:id="583" w:name="_Hlt68774758"/>
      <w:bookmarkEnd w:id="583"/>
      <w:bookmarkStart w:id="584" w:name="_Hlt69359335"/>
      <w:bookmarkEnd w:id="584"/>
      <w:bookmarkStart w:id="585" w:name="_Hlt87793370"/>
      <w:bookmarkEnd w:id="585"/>
      <w:bookmarkStart w:id="586" w:name="_Hlt66104926"/>
      <w:bookmarkEnd w:id="586"/>
      <w:bookmarkStart w:id="587" w:name="_Toc466640612"/>
    </w:p>
    <w:p w14:paraId="1595BF43">
      <w:pPr>
        <w:wordWrap w:val="0"/>
        <w:adjustRightInd w:val="0"/>
        <w:snapToGrid w:val="0"/>
        <w:spacing w:line="440" w:lineRule="exact"/>
        <w:ind w:firstLine="482" w:firstLineChars="200"/>
        <w:rPr>
          <w:bCs/>
          <w:snapToGrid w:val="0"/>
        </w:rPr>
      </w:pPr>
      <w:bookmarkStart w:id="588" w:name="_Toc2200"/>
      <w:bookmarkStart w:id="589" w:name="_Toc24401"/>
      <w:r>
        <w:rPr>
          <w:rFonts w:hint="eastAsia"/>
          <w:b/>
          <w:snapToGrid w:val="0"/>
          <w:lang w:eastAsia="zh-CN"/>
        </w:rPr>
        <w:t>1.</w:t>
      </w:r>
      <w:r>
        <w:rPr>
          <w:rFonts w:hint="eastAsia"/>
          <w:b/>
          <w:snapToGrid w:val="0"/>
        </w:rPr>
        <w:t>工程的设计要求</w:t>
      </w:r>
    </w:p>
    <w:p w14:paraId="02415576">
      <w:pPr>
        <w:wordWrap w:val="0"/>
        <w:adjustRightInd w:val="0"/>
        <w:snapToGrid w:val="0"/>
        <w:spacing w:line="440" w:lineRule="exact"/>
        <w:ind w:right="-223" w:rightChars="-93" w:firstLine="720" w:firstLineChars="300"/>
        <w:rPr>
          <w:bCs/>
          <w:snapToGrid w:val="0"/>
        </w:rPr>
      </w:pPr>
      <w:r>
        <w:rPr>
          <w:rFonts w:hint="eastAsia"/>
          <w:bCs/>
          <w:snapToGrid w:val="0"/>
        </w:rPr>
        <w:t>必须执行的现行设计规范，包括且不限于：</w:t>
      </w:r>
    </w:p>
    <w:p w14:paraId="7057D6A8">
      <w:pPr>
        <w:wordWrap w:val="0"/>
        <w:adjustRightInd w:val="0"/>
        <w:snapToGrid w:val="0"/>
        <w:spacing w:line="440" w:lineRule="exact"/>
        <w:ind w:right="-223" w:rightChars="-93" w:firstLine="720" w:firstLineChars="300"/>
        <w:rPr>
          <w:bCs/>
          <w:snapToGrid w:val="0"/>
        </w:rPr>
      </w:pPr>
      <w:r>
        <w:rPr>
          <w:rFonts w:hint="eastAsia"/>
          <w:bCs/>
          <w:snapToGrid w:val="0"/>
        </w:rPr>
        <w:t>1）《建筑工程施工质量验收统一标准》（GB50300-2013）；</w:t>
      </w:r>
    </w:p>
    <w:p w14:paraId="5108997C">
      <w:pPr>
        <w:wordWrap w:val="0"/>
        <w:adjustRightInd w:val="0"/>
        <w:snapToGrid w:val="0"/>
        <w:spacing w:line="440" w:lineRule="exact"/>
        <w:ind w:right="-223" w:rightChars="-93" w:firstLine="720" w:firstLineChars="300"/>
        <w:rPr>
          <w:bCs/>
          <w:snapToGrid w:val="0"/>
          <w:color w:val="auto"/>
        </w:rPr>
      </w:pPr>
      <w:r>
        <w:rPr>
          <w:rFonts w:hint="eastAsia"/>
          <w:bCs/>
          <w:snapToGrid w:val="0"/>
          <w:color w:val="auto"/>
        </w:rPr>
        <w:t>2）《</w:t>
      </w:r>
      <w:r>
        <w:rPr>
          <w:rFonts w:hint="eastAsia"/>
          <w:bCs/>
          <w:snapToGrid w:val="0"/>
          <w:color w:val="auto"/>
          <w:lang w:eastAsia="zh-CN"/>
        </w:rPr>
        <w:t>建筑装饰装修工程质量验收标准</w:t>
      </w:r>
      <w:r>
        <w:rPr>
          <w:rFonts w:hint="eastAsia"/>
          <w:bCs/>
          <w:snapToGrid w:val="0"/>
          <w:color w:val="auto"/>
        </w:rPr>
        <w:t>》（GB50210-2018）；</w:t>
      </w:r>
    </w:p>
    <w:p w14:paraId="0E52D1C0">
      <w:pPr>
        <w:wordWrap w:val="0"/>
        <w:adjustRightInd w:val="0"/>
        <w:snapToGrid w:val="0"/>
        <w:spacing w:line="440" w:lineRule="exact"/>
        <w:ind w:right="-223" w:rightChars="-93" w:firstLine="720" w:firstLineChars="300"/>
        <w:rPr>
          <w:bCs/>
          <w:snapToGrid w:val="0"/>
          <w:color w:val="auto"/>
        </w:rPr>
      </w:pPr>
      <w:r>
        <w:rPr>
          <w:rFonts w:hint="eastAsia"/>
          <w:bCs/>
          <w:snapToGrid w:val="0"/>
          <w:color w:val="auto"/>
        </w:rPr>
        <w:t>3）《建筑照明设计标准》（</w:t>
      </w:r>
      <w:r>
        <w:rPr>
          <w:rFonts w:hint="eastAsia"/>
          <w:bCs/>
          <w:snapToGrid w:val="0"/>
          <w:color w:val="auto"/>
          <w:lang w:eastAsia="zh-CN"/>
        </w:rPr>
        <w:t>GB/T 50034-2024</w:t>
      </w:r>
      <w:r>
        <w:rPr>
          <w:rFonts w:hint="eastAsia"/>
          <w:bCs/>
          <w:snapToGrid w:val="0"/>
          <w:color w:val="auto"/>
        </w:rPr>
        <w:t>）；</w:t>
      </w:r>
    </w:p>
    <w:p w14:paraId="057339E5">
      <w:pPr>
        <w:wordWrap w:val="0"/>
        <w:adjustRightInd w:val="0"/>
        <w:snapToGrid w:val="0"/>
        <w:spacing w:line="440" w:lineRule="exact"/>
        <w:ind w:right="-223" w:rightChars="-93" w:firstLine="720" w:firstLineChars="300"/>
        <w:rPr>
          <w:bCs/>
          <w:snapToGrid w:val="0"/>
          <w:color w:val="auto"/>
        </w:rPr>
      </w:pPr>
      <w:r>
        <w:rPr>
          <w:rFonts w:hint="eastAsia"/>
          <w:bCs/>
          <w:snapToGrid w:val="0"/>
          <w:color w:val="auto"/>
        </w:rPr>
        <w:t>4）《民用建筑供暖通风与空气调节设计规范》（GB50736-2012）；</w:t>
      </w:r>
    </w:p>
    <w:p w14:paraId="1BC8E405">
      <w:pPr>
        <w:wordWrap w:val="0"/>
        <w:adjustRightInd w:val="0"/>
        <w:snapToGrid w:val="0"/>
        <w:spacing w:line="440" w:lineRule="exact"/>
        <w:ind w:right="-223" w:rightChars="-93" w:firstLine="720" w:firstLineChars="300"/>
        <w:rPr>
          <w:bCs/>
          <w:snapToGrid w:val="0"/>
          <w:color w:val="auto"/>
        </w:rPr>
      </w:pPr>
      <w:r>
        <w:rPr>
          <w:rFonts w:hint="eastAsia"/>
          <w:bCs/>
          <w:snapToGrid w:val="0"/>
          <w:color w:val="auto"/>
        </w:rPr>
        <w:t>5）《民用建筑设计统一标准》（GB50352-2019）；</w:t>
      </w:r>
    </w:p>
    <w:p w14:paraId="428288F1">
      <w:pPr>
        <w:wordWrap w:val="0"/>
        <w:adjustRightInd w:val="0"/>
        <w:snapToGrid w:val="0"/>
        <w:spacing w:line="440" w:lineRule="exact"/>
        <w:ind w:right="-223" w:rightChars="-93" w:firstLine="720" w:firstLineChars="300"/>
        <w:rPr>
          <w:bCs/>
          <w:snapToGrid w:val="0"/>
          <w:color w:val="auto"/>
        </w:rPr>
      </w:pPr>
      <w:r>
        <w:rPr>
          <w:rFonts w:hint="eastAsia"/>
          <w:bCs/>
          <w:snapToGrid w:val="0"/>
          <w:color w:val="auto"/>
        </w:rPr>
        <w:t>6）《建筑设计防火规范》（</w:t>
      </w:r>
      <w:r>
        <w:rPr>
          <w:rFonts w:hint="eastAsia"/>
          <w:bCs/>
          <w:snapToGrid w:val="0"/>
          <w:color w:val="auto"/>
          <w:lang w:eastAsia="zh-CN"/>
        </w:rPr>
        <w:t>GB 50016-2014[2018年版]</w:t>
      </w:r>
      <w:r>
        <w:rPr>
          <w:rFonts w:hint="eastAsia"/>
          <w:bCs/>
          <w:snapToGrid w:val="0"/>
          <w:color w:val="auto"/>
        </w:rPr>
        <w:t>）；</w:t>
      </w:r>
    </w:p>
    <w:p w14:paraId="5E8F54E4">
      <w:pPr>
        <w:wordWrap w:val="0"/>
        <w:adjustRightInd w:val="0"/>
        <w:snapToGrid w:val="0"/>
        <w:spacing w:line="440" w:lineRule="exact"/>
        <w:ind w:right="-223" w:rightChars="-93" w:firstLine="720" w:firstLineChars="300"/>
        <w:rPr>
          <w:bCs/>
          <w:snapToGrid w:val="0"/>
          <w:color w:val="auto"/>
        </w:rPr>
      </w:pPr>
      <w:r>
        <w:rPr>
          <w:rFonts w:hint="eastAsia"/>
          <w:bCs/>
          <w:snapToGrid w:val="0"/>
          <w:color w:val="auto"/>
        </w:rPr>
        <w:t>7）《屋面工程技术规范》（GB50345-2012）；</w:t>
      </w:r>
    </w:p>
    <w:p w14:paraId="3DA447C3">
      <w:pPr>
        <w:wordWrap w:val="0"/>
        <w:adjustRightInd w:val="0"/>
        <w:snapToGrid w:val="0"/>
        <w:spacing w:line="440" w:lineRule="exact"/>
        <w:ind w:right="-223" w:rightChars="-93" w:firstLine="720" w:firstLineChars="300"/>
        <w:rPr>
          <w:bCs/>
          <w:snapToGrid w:val="0"/>
          <w:color w:val="auto"/>
        </w:rPr>
      </w:pPr>
      <w:r>
        <w:rPr>
          <w:rFonts w:hint="eastAsia"/>
          <w:bCs/>
          <w:snapToGrid w:val="0"/>
          <w:color w:val="auto"/>
        </w:rPr>
        <w:t>8）《建筑地面设计规范》（GB50037-2013）；</w:t>
      </w:r>
    </w:p>
    <w:p w14:paraId="3CCE7523">
      <w:pPr>
        <w:wordWrap w:val="0"/>
        <w:adjustRightInd w:val="0"/>
        <w:snapToGrid w:val="0"/>
        <w:spacing w:line="440" w:lineRule="exact"/>
        <w:ind w:right="-223" w:rightChars="-93" w:firstLine="720" w:firstLineChars="300"/>
        <w:rPr>
          <w:bCs/>
          <w:snapToGrid w:val="0"/>
          <w:color w:val="auto"/>
        </w:rPr>
      </w:pPr>
      <w:r>
        <w:rPr>
          <w:rFonts w:hint="eastAsia"/>
          <w:bCs/>
          <w:snapToGrid w:val="0"/>
          <w:color w:val="auto"/>
        </w:rPr>
        <w:t>9）《公共建筑节能设计标准》（GB50189-2015）；</w:t>
      </w:r>
    </w:p>
    <w:p w14:paraId="19419D71">
      <w:pPr>
        <w:wordWrap w:val="0"/>
        <w:adjustRightInd w:val="0"/>
        <w:snapToGrid w:val="0"/>
        <w:spacing w:line="440" w:lineRule="exact"/>
        <w:ind w:right="-223" w:rightChars="-93" w:firstLine="720" w:firstLineChars="300"/>
        <w:rPr>
          <w:bCs/>
          <w:snapToGrid w:val="0"/>
          <w:color w:val="auto"/>
        </w:rPr>
      </w:pPr>
      <w:r>
        <w:rPr>
          <w:rFonts w:hint="eastAsia"/>
          <w:bCs/>
          <w:snapToGrid w:val="0"/>
          <w:color w:val="auto"/>
        </w:rPr>
        <w:t>10）《无障碍设计规范》（GB50763-2012）；</w:t>
      </w:r>
    </w:p>
    <w:p w14:paraId="581AD932">
      <w:pPr>
        <w:wordWrap w:val="0"/>
        <w:adjustRightInd w:val="0"/>
        <w:snapToGrid w:val="0"/>
        <w:spacing w:line="440" w:lineRule="exact"/>
        <w:ind w:right="-223" w:rightChars="-93" w:firstLine="720" w:firstLineChars="300"/>
        <w:rPr>
          <w:bCs/>
          <w:snapToGrid w:val="0"/>
          <w:color w:val="auto"/>
        </w:rPr>
      </w:pPr>
      <w:r>
        <w:rPr>
          <w:rFonts w:hint="eastAsia"/>
          <w:bCs/>
          <w:snapToGrid w:val="0"/>
          <w:color w:val="auto"/>
        </w:rPr>
        <w:t>11）《屋面工程质量验收规范》（GB50207-2012）；</w:t>
      </w:r>
    </w:p>
    <w:p w14:paraId="10D21D2E">
      <w:pPr>
        <w:wordWrap w:val="0"/>
        <w:adjustRightInd w:val="0"/>
        <w:snapToGrid w:val="0"/>
        <w:spacing w:line="440" w:lineRule="exact"/>
        <w:ind w:right="-223" w:rightChars="-93" w:firstLine="720" w:firstLineChars="300"/>
        <w:rPr>
          <w:bCs/>
          <w:snapToGrid w:val="0"/>
          <w:color w:val="auto"/>
        </w:rPr>
      </w:pPr>
      <w:r>
        <w:rPr>
          <w:rFonts w:hint="eastAsia"/>
          <w:bCs/>
          <w:snapToGrid w:val="0"/>
          <w:color w:val="auto"/>
        </w:rPr>
        <w:t>12）《</w:t>
      </w:r>
      <w:r>
        <w:rPr>
          <w:rFonts w:hint="eastAsia"/>
          <w:bCs/>
          <w:snapToGrid w:val="0"/>
          <w:color w:val="auto"/>
          <w:lang w:eastAsia="zh-CN"/>
        </w:rPr>
        <w:t>建筑给水排水设计标准</w:t>
      </w:r>
      <w:r>
        <w:rPr>
          <w:rFonts w:hint="eastAsia"/>
          <w:bCs/>
          <w:snapToGrid w:val="0"/>
          <w:color w:val="auto"/>
        </w:rPr>
        <w:t>》（GB50015-2019）；</w:t>
      </w:r>
    </w:p>
    <w:p w14:paraId="1ED80AC0">
      <w:pPr>
        <w:wordWrap w:val="0"/>
        <w:adjustRightInd w:val="0"/>
        <w:snapToGrid w:val="0"/>
        <w:spacing w:line="440" w:lineRule="exact"/>
        <w:ind w:right="-223" w:rightChars="-93" w:firstLine="720" w:firstLineChars="300"/>
        <w:rPr>
          <w:bCs/>
          <w:snapToGrid w:val="0"/>
          <w:color w:val="auto"/>
        </w:rPr>
      </w:pPr>
      <w:r>
        <w:rPr>
          <w:rFonts w:hint="eastAsia"/>
          <w:bCs/>
          <w:snapToGrid w:val="0"/>
          <w:color w:val="auto"/>
        </w:rPr>
        <w:t>13）《</w:t>
      </w:r>
      <w:r>
        <w:rPr>
          <w:rFonts w:hint="eastAsia"/>
          <w:bCs/>
          <w:snapToGrid w:val="0"/>
          <w:color w:val="auto"/>
          <w:lang w:eastAsia="zh-CN"/>
        </w:rPr>
        <w:t>室外给水设计标准</w:t>
      </w:r>
      <w:r>
        <w:rPr>
          <w:rFonts w:hint="eastAsia"/>
          <w:bCs/>
          <w:snapToGrid w:val="0"/>
          <w:color w:val="auto"/>
        </w:rPr>
        <w:t>》（GB50013-2018）；</w:t>
      </w:r>
    </w:p>
    <w:p w14:paraId="1FAC7EB1">
      <w:pPr>
        <w:wordWrap w:val="0"/>
        <w:adjustRightInd w:val="0"/>
        <w:snapToGrid w:val="0"/>
        <w:spacing w:line="440" w:lineRule="exact"/>
        <w:ind w:right="-223" w:rightChars="-93" w:firstLine="720" w:firstLineChars="300"/>
        <w:rPr>
          <w:bCs/>
          <w:snapToGrid w:val="0"/>
          <w:color w:val="auto"/>
        </w:rPr>
      </w:pPr>
      <w:r>
        <w:rPr>
          <w:rFonts w:hint="eastAsia"/>
          <w:bCs/>
          <w:snapToGrid w:val="0"/>
          <w:color w:val="auto"/>
        </w:rPr>
        <w:t>14）《低压配电设计规范》（GB50054-2011）；</w:t>
      </w:r>
    </w:p>
    <w:p w14:paraId="48EA1B4B">
      <w:pPr>
        <w:wordWrap w:val="0"/>
        <w:adjustRightInd w:val="0"/>
        <w:snapToGrid w:val="0"/>
        <w:spacing w:line="440" w:lineRule="exact"/>
        <w:ind w:right="-223" w:rightChars="-93" w:firstLine="720" w:firstLineChars="300"/>
        <w:rPr>
          <w:bCs/>
          <w:snapToGrid w:val="0"/>
          <w:color w:val="auto"/>
        </w:rPr>
      </w:pPr>
      <w:r>
        <w:rPr>
          <w:rFonts w:hint="eastAsia"/>
          <w:bCs/>
          <w:snapToGrid w:val="0"/>
          <w:color w:val="auto"/>
        </w:rPr>
        <w:t>15）《建筑采光设计标准》（GB50033-2013）；</w:t>
      </w:r>
    </w:p>
    <w:p w14:paraId="79CB698A">
      <w:pPr>
        <w:wordWrap w:val="0"/>
        <w:adjustRightInd w:val="0"/>
        <w:snapToGrid w:val="0"/>
        <w:spacing w:line="440" w:lineRule="exact"/>
        <w:ind w:right="-223" w:rightChars="-93" w:firstLine="720" w:firstLineChars="300"/>
        <w:rPr>
          <w:bCs/>
          <w:snapToGrid w:val="0"/>
          <w:color w:val="auto"/>
        </w:rPr>
      </w:pPr>
      <w:r>
        <w:rPr>
          <w:rFonts w:hint="eastAsia"/>
          <w:bCs/>
          <w:snapToGrid w:val="0"/>
          <w:color w:val="auto"/>
        </w:rPr>
        <w:t>16）《</w:t>
      </w:r>
      <w:r>
        <w:rPr>
          <w:rFonts w:hint="eastAsia"/>
          <w:bCs/>
          <w:snapToGrid w:val="0"/>
          <w:color w:val="auto"/>
          <w:lang w:eastAsia="zh-CN"/>
        </w:rPr>
        <w:t>汽车库、修车库、停车场设计防火规范</w:t>
      </w:r>
      <w:r>
        <w:rPr>
          <w:rFonts w:hint="eastAsia"/>
          <w:bCs/>
          <w:snapToGrid w:val="0"/>
          <w:color w:val="auto"/>
        </w:rPr>
        <w:t>》（GB50067-2014）；</w:t>
      </w:r>
    </w:p>
    <w:p w14:paraId="3B2F28E7">
      <w:pPr>
        <w:wordWrap w:val="0"/>
        <w:adjustRightInd w:val="0"/>
        <w:snapToGrid w:val="0"/>
        <w:spacing w:line="440" w:lineRule="exact"/>
        <w:ind w:right="-223" w:rightChars="-93" w:firstLine="720" w:firstLineChars="300"/>
        <w:rPr>
          <w:bCs/>
          <w:snapToGrid w:val="0"/>
          <w:color w:val="auto"/>
        </w:rPr>
      </w:pPr>
      <w:r>
        <w:rPr>
          <w:rFonts w:hint="eastAsia"/>
          <w:bCs/>
          <w:snapToGrid w:val="0"/>
          <w:color w:val="auto"/>
        </w:rPr>
        <w:t>17）《建筑工程设计文件编制深度规定》（建设部2016年版）；</w:t>
      </w:r>
    </w:p>
    <w:p w14:paraId="419D01B2">
      <w:pPr>
        <w:wordWrap w:val="0"/>
        <w:adjustRightInd w:val="0"/>
        <w:snapToGrid w:val="0"/>
        <w:spacing w:line="440" w:lineRule="exact"/>
        <w:ind w:right="-223" w:rightChars="-93" w:firstLine="720" w:firstLineChars="300"/>
        <w:rPr>
          <w:bCs/>
          <w:snapToGrid w:val="0"/>
          <w:color w:val="auto"/>
        </w:rPr>
      </w:pPr>
      <w:r>
        <w:rPr>
          <w:rFonts w:hint="eastAsia"/>
          <w:bCs/>
          <w:snapToGrid w:val="0"/>
          <w:color w:val="auto"/>
        </w:rPr>
        <w:t>18）《公共文化体育设施条例》</w:t>
      </w:r>
    </w:p>
    <w:p w14:paraId="3093C3B7">
      <w:pPr>
        <w:wordWrap w:val="0"/>
        <w:adjustRightInd w:val="0"/>
        <w:snapToGrid w:val="0"/>
        <w:spacing w:line="440" w:lineRule="exact"/>
        <w:ind w:right="-223" w:rightChars="-93" w:firstLine="720" w:firstLineChars="300"/>
        <w:rPr>
          <w:bCs/>
          <w:snapToGrid w:val="0"/>
          <w:color w:val="auto"/>
        </w:rPr>
      </w:pPr>
      <w:r>
        <w:rPr>
          <w:rFonts w:hint="eastAsia"/>
          <w:bCs/>
          <w:snapToGrid w:val="0"/>
          <w:color w:val="auto"/>
        </w:rPr>
        <w:t>19）《建筑地面设计规范》</w:t>
      </w:r>
    </w:p>
    <w:p w14:paraId="00C31236">
      <w:pPr>
        <w:wordWrap w:val="0"/>
        <w:adjustRightInd w:val="0"/>
        <w:snapToGrid w:val="0"/>
        <w:spacing w:line="440" w:lineRule="exact"/>
        <w:ind w:right="-223" w:rightChars="-93" w:firstLine="720" w:firstLineChars="300"/>
        <w:rPr>
          <w:bCs/>
          <w:snapToGrid w:val="0"/>
          <w:color w:val="auto"/>
        </w:rPr>
      </w:pPr>
      <w:r>
        <w:rPr>
          <w:rFonts w:hint="eastAsia"/>
          <w:bCs/>
          <w:snapToGrid w:val="0"/>
          <w:color w:val="auto"/>
        </w:rPr>
        <w:t>20）《</w:t>
      </w:r>
      <w:r>
        <w:rPr>
          <w:rFonts w:hint="eastAsia"/>
          <w:bCs/>
          <w:snapToGrid w:val="0"/>
          <w:color w:val="auto"/>
          <w:lang w:eastAsia="zh-CN"/>
        </w:rPr>
        <w:t>城镇道路工程施工与质量验收规范</w:t>
      </w:r>
      <w:r>
        <w:rPr>
          <w:rFonts w:hint="eastAsia"/>
          <w:bCs/>
          <w:snapToGrid w:val="0"/>
          <w:color w:val="auto"/>
        </w:rPr>
        <w:t>》</w:t>
      </w:r>
    </w:p>
    <w:p w14:paraId="2723040A">
      <w:pPr>
        <w:wordWrap w:val="0"/>
        <w:adjustRightInd w:val="0"/>
        <w:snapToGrid w:val="0"/>
        <w:spacing w:line="440" w:lineRule="exact"/>
        <w:ind w:right="-223" w:rightChars="-93" w:firstLine="720" w:firstLineChars="300"/>
        <w:rPr>
          <w:bCs/>
          <w:snapToGrid w:val="0"/>
          <w:color w:val="auto"/>
        </w:rPr>
      </w:pPr>
      <w:r>
        <w:rPr>
          <w:rFonts w:hint="eastAsia"/>
          <w:bCs/>
          <w:snapToGrid w:val="0"/>
          <w:color w:val="auto"/>
        </w:rPr>
        <w:t>21）《城市工程管线综合规划规范》</w:t>
      </w:r>
    </w:p>
    <w:p w14:paraId="47988A00">
      <w:pPr>
        <w:wordWrap w:val="0"/>
        <w:adjustRightInd w:val="0"/>
        <w:snapToGrid w:val="0"/>
        <w:spacing w:line="440" w:lineRule="exact"/>
        <w:ind w:right="-223" w:rightChars="-93" w:firstLine="720" w:firstLineChars="300"/>
        <w:rPr>
          <w:rFonts w:hint="eastAsia"/>
          <w:bCs/>
          <w:snapToGrid w:val="0"/>
          <w:color w:val="auto"/>
        </w:rPr>
      </w:pPr>
      <w:r>
        <w:rPr>
          <w:rFonts w:hint="eastAsia"/>
          <w:bCs/>
          <w:snapToGrid w:val="0"/>
          <w:color w:val="auto"/>
        </w:rPr>
        <w:t>22）《</w:t>
      </w:r>
      <w:r>
        <w:rPr>
          <w:rFonts w:hint="eastAsia"/>
          <w:bCs/>
          <w:snapToGrid w:val="0"/>
          <w:color w:val="auto"/>
          <w:lang w:eastAsia="zh-CN"/>
        </w:rPr>
        <w:t>建筑抗震设计标准</w:t>
      </w:r>
      <w:r>
        <w:rPr>
          <w:rFonts w:hint="eastAsia"/>
          <w:bCs/>
          <w:snapToGrid w:val="0"/>
          <w:color w:val="auto"/>
        </w:rPr>
        <w:t>》（</w:t>
      </w:r>
      <w:r>
        <w:rPr>
          <w:rFonts w:hint="eastAsia"/>
          <w:bCs/>
          <w:snapToGrid w:val="0"/>
          <w:color w:val="auto"/>
          <w:lang w:eastAsia="zh-CN"/>
        </w:rPr>
        <w:t>GB/T 50011-2010[2024年版]</w:t>
      </w:r>
      <w:r>
        <w:rPr>
          <w:rFonts w:hint="eastAsia"/>
          <w:bCs/>
          <w:snapToGrid w:val="0"/>
          <w:color w:val="auto"/>
        </w:rPr>
        <w:t>）</w:t>
      </w:r>
    </w:p>
    <w:p w14:paraId="701DBD95">
      <w:pPr>
        <w:wordWrap w:val="0"/>
        <w:adjustRightInd w:val="0"/>
        <w:snapToGrid w:val="0"/>
        <w:spacing w:line="440" w:lineRule="exact"/>
        <w:ind w:right="-223" w:rightChars="-93" w:firstLine="720" w:firstLineChars="300"/>
        <w:rPr>
          <w:bCs/>
          <w:snapToGrid w:val="0"/>
          <w:color w:val="auto"/>
        </w:rPr>
      </w:pPr>
      <w:r>
        <w:rPr>
          <w:rFonts w:hint="eastAsia"/>
          <w:bCs/>
          <w:snapToGrid w:val="0"/>
          <w:color w:val="auto"/>
        </w:rPr>
        <w:t>2</w:t>
      </w:r>
      <w:r>
        <w:rPr>
          <w:rFonts w:hint="eastAsia"/>
          <w:bCs/>
          <w:snapToGrid w:val="0"/>
          <w:color w:val="auto"/>
          <w:lang w:val="en-US" w:eastAsia="zh-CN"/>
        </w:rPr>
        <w:t>3</w:t>
      </w:r>
      <w:r>
        <w:rPr>
          <w:rFonts w:hint="eastAsia"/>
          <w:bCs/>
          <w:snapToGrid w:val="0"/>
          <w:color w:val="auto"/>
        </w:rPr>
        <w:t>）《韶关市城市规划管理技术规定（2015 年版）》</w:t>
      </w:r>
    </w:p>
    <w:bookmarkEnd w:id="588"/>
    <w:bookmarkEnd w:id="589"/>
    <w:p w14:paraId="3E6E1103">
      <w:pPr>
        <w:wordWrap w:val="0"/>
        <w:adjustRightInd w:val="0"/>
        <w:snapToGrid w:val="0"/>
        <w:spacing w:line="440" w:lineRule="exact"/>
        <w:ind w:right="-223" w:rightChars="-93" w:firstLine="720" w:firstLineChars="300"/>
        <w:rPr>
          <w:bCs/>
          <w:snapToGrid w:val="0"/>
        </w:rPr>
      </w:pPr>
      <w:r>
        <w:rPr>
          <w:rFonts w:hint="eastAsia"/>
          <w:bCs/>
          <w:snapToGrid w:val="0"/>
        </w:rPr>
        <w:t>2</w:t>
      </w:r>
      <w:r>
        <w:rPr>
          <w:rFonts w:hint="eastAsia"/>
          <w:bCs/>
          <w:snapToGrid w:val="0"/>
          <w:lang w:val="en-US" w:eastAsia="zh-CN"/>
        </w:rPr>
        <w:t>4</w:t>
      </w:r>
      <w:r>
        <w:rPr>
          <w:rFonts w:hint="eastAsia"/>
          <w:bCs/>
          <w:snapToGrid w:val="0"/>
        </w:rPr>
        <w:t>）其他现行国家、广东省关于房建、市政工程的施工及验收规范、规程、标准。</w:t>
      </w:r>
    </w:p>
    <w:p w14:paraId="6CE8082E">
      <w:pPr>
        <w:wordWrap w:val="0"/>
        <w:adjustRightInd w:val="0"/>
        <w:snapToGrid w:val="0"/>
        <w:spacing w:line="440" w:lineRule="exact"/>
        <w:ind w:right="-223" w:rightChars="-93" w:firstLine="720" w:firstLineChars="300"/>
        <w:rPr>
          <w:bCs/>
          <w:snapToGrid w:val="0"/>
        </w:rPr>
      </w:pPr>
      <w:r>
        <w:rPr>
          <w:rFonts w:hint="eastAsia"/>
          <w:bCs/>
          <w:snapToGrid w:val="0"/>
        </w:rPr>
        <w:t>2</w:t>
      </w:r>
      <w:r>
        <w:rPr>
          <w:rFonts w:hint="eastAsia"/>
          <w:bCs/>
          <w:snapToGrid w:val="0"/>
          <w:lang w:val="en-US" w:eastAsia="zh-CN"/>
        </w:rPr>
        <w:t>5</w:t>
      </w:r>
      <w:r>
        <w:rPr>
          <w:rFonts w:hint="eastAsia"/>
          <w:bCs/>
          <w:snapToGrid w:val="0"/>
        </w:rPr>
        <w:t>）符合国家及地方现行的设计标准及规范，符合本项目的可研批复及规划方案批复的要求。</w:t>
      </w:r>
    </w:p>
    <w:p w14:paraId="2F8A1800">
      <w:pPr>
        <w:wordWrap w:val="0"/>
        <w:adjustRightInd w:val="0"/>
        <w:snapToGrid w:val="0"/>
        <w:spacing w:line="440" w:lineRule="exact"/>
        <w:ind w:right="-223" w:rightChars="-93" w:firstLine="720" w:firstLineChars="300"/>
        <w:rPr>
          <w:bCs/>
          <w:snapToGrid w:val="0"/>
        </w:rPr>
      </w:pPr>
      <w:r>
        <w:rPr>
          <w:rFonts w:hint="eastAsia"/>
          <w:bCs/>
          <w:snapToGrid w:val="0"/>
        </w:rPr>
        <w:t>注：以上设计规范或规定如有更新，则以更新后的规范及规定为准。</w:t>
      </w:r>
    </w:p>
    <w:p w14:paraId="5FC7749E">
      <w:pPr>
        <w:wordWrap w:val="0"/>
        <w:adjustRightInd w:val="0"/>
        <w:snapToGrid w:val="0"/>
        <w:spacing w:line="440" w:lineRule="exact"/>
        <w:ind w:left="420"/>
        <w:rPr>
          <w:bCs/>
          <w:snapToGrid w:val="0"/>
        </w:rPr>
      </w:pPr>
    </w:p>
    <w:p w14:paraId="01D1A938">
      <w:pPr>
        <w:wordWrap w:val="0"/>
        <w:adjustRightInd w:val="0"/>
        <w:snapToGrid w:val="0"/>
        <w:spacing w:line="440" w:lineRule="exact"/>
        <w:ind w:firstLine="560"/>
        <w:rPr>
          <w:strike/>
          <w:snapToGrid w:val="0"/>
        </w:rPr>
      </w:pPr>
      <w:bookmarkStart w:id="590" w:name="_Toc31014"/>
      <w:bookmarkStart w:id="591" w:name="_Toc5231"/>
      <w:r>
        <w:rPr>
          <w:rFonts w:hint="eastAsia"/>
          <w:b/>
          <w:snapToGrid w:val="0"/>
          <w:lang w:eastAsia="zh-CN"/>
        </w:rPr>
        <w:t>2.</w:t>
      </w:r>
      <w:r>
        <w:rPr>
          <w:rFonts w:hint="eastAsia"/>
          <w:b/>
          <w:snapToGrid w:val="0"/>
        </w:rPr>
        <w:t>备查要求</w:t>
      </w:r>
      <w:bookmarkEnd w:id="590"/>
      <w:bookmarkEnd w:id="591"/>
    </w:p>
    <w:p w14:paraId="63557852">
      <w:pPr>
        <w:wordWrap w:val="0"/>
        <w:adjustRightInd w:val="0"/>
        <w:snapToGrid w:val="0"/>
        <w:spacing w:line="440" w:lineRule="exact"/>
        <w:ind w:firstLine="560"/>
        <w:rPr>
          <w:bCs/>
          <w:snapToGrid w:val="0"/>
          <w:highlight w:val="none"/>
        </w:rPr>
      </w:pPr>
      <w:r>
        <w:rPr>
          <w:rFonts w:hint="eastAsia"/>
          <w:snapToGrid w:val="0"/>
          <w:highlight w:val="none"/>
          <w:lang w:eastAsia="zh-CN"/>
        </w:rPr>
        <w:t>中标人</w:t>
      </w:r>
      <w:r>
        <w:rPr>
          <w:rFonts w:hint="eastAsia"/>
          <w:bCs/>
          <w:snapToGrid w:val="0"/>
          <w:highlight w:val="none"/>
        </w:rPr>
        <w:t>必须在项目实施现场准备至少一套上述规范，</w:t>
      </w:r>
      <w:r>
        <w:rPr>
          <w:rFonts w:hint="eastAsia"/>
          <w:snapToGrid w:val="0"/>
          <w:highlight w:val="none"/>
          <w:lang w:eastAsia="zh-CN"/>
        </w:rPr>
        <w:t>招标人</w:t>
      </w:r>
      <w:r>
        <w:rPr>
          <w:rFonts w:hint="eastAsia"/>
          <w:bCs/>
          <w:snapToGrid w:val="0"/>
          <w:highlight w:val="none"/>
        </w:rPr>
        <w:t>可随时检查</w:t>
      </w:r>
      <w:r>
        <w:rPr>
          <w:rFonts w:hint="eastAsia"/>
          <w:snapToGrid w:val="0"/>
          <w:highlight w:val="none"/>
          <w:lang w:eastAsia="zh-CN"/>
        </w:rPr>
        <w:t>中标人</w:t>
      </w:r>
      <w:r>
        <w:rPr>
          <w:rFonts w:hint="eastAsia"/>
          <w:bCs/>
          <w:snapToGrid w:val="0"/>
          <w:highlight w:val="none"/>
        </w:rPr>
        <w:t>的上述规范，并监督</w:t>
      </w:r>
      <w:r>
        <w:rPr>
          <w:rFonts w:hint="eastAsia"/>
          <w:snapToGrid w:val="0"/>
          <w:highlight w:val="none"/>
          <w:lang w:eastAsia="zh-CN"/>
        </w:rPr>
        <w:t>中标人</w:t>
      </w:r>
      <w:r>
        <w:rPr>
          <w:rFonts w:hint="eastAsia"/>
          <w:bCs/>
          <w:snapToGrid w:val="0"/>
          <w:highlight w:val="none"/>
        </w:rPr>
        <w:t>按规范要求执行。</w:t>
      </w:r>
      <w:bookmarkStart w:id="592" w:name="_Hlt69670335"/>
      <w:bookmarkEnd w:id="592"/>
    </w:p>
    <w:p w14:paraId="60F5DDB9">
      <w:pPr>
        <w:wordWrap w:val="0"/>
        <w:adjustRightInd w:val="0"/>
        <w:snapToGrid w:val="0"/>
        <w:spacing w:line="440" w:lineRule="exact"/>
        <w:ind w:firstLine="560"/>
        <w:rPr>
          <w:bCs/>
          <w:snapToGrid w:val="0"/>
          <w:highlight w:val="none"/>
        </w:rPr>
      </w:pPr>
    </w:p>
    <w:p w14:paraId="5347DD52">
      <w:pPr>
        <w:wordWrap w:val="0"/>
        <w:adjustRightInd w:val="0"/>
        <w:snapToGrid w:val="0"/>
        <w:spacing w:line="440" w:lineRule="exact"/>
        <w:ind w:firstLine="560"/>
        <w:rPr>
          <w:bCs/>
          <w:snapToGrid w:val="0"/>
        </w:rPr>
        <w:sectPr>
          <w:headerReference r:id="rId11" w:type="default"/>
          <w:footerReference r:id="rId12" w:type="default"/>
          <w:endnotePr>
            <w:numFmt w:val="decimal"/>
          </w:endnotePr>
          <w:pgSz w:w="11906" w:h="16838"/>
          <w:pgMar w:top="1560" w:right="1531" w:bottom="1417" w:left="1531" w:header="850" w:footer="992" w:gutter="0"/>
          <w:cols w:space="720" w:num="1"/>
          <w:docGrid w:linePitch="327" w:charSpace="0"/>
        </w:sectPr>
      </w:pPr>
    </w:p>
    <w:bookmarkEnd w:id="587"/>
    <w:p w14:paraId="070267D6">
      <w:pPr>
        <w:pStyle w:val="2"/>
        <w:keepNext/>
        <w:keepLines/>
        <w:tabs>
          <w:tab w:val="left" w:pos="885"/>
        </w:tabs>
        <w:spacing w:line="400" w:lineRule="exact"/>
        <w:ind w:left="885" w:hanging="885"/>
        <w:jc w:val="center"/>
        <w:rPr>
          <w:b/>
          <w:kern w:val="44"/>
          <w:sz w:val="24"/>
        </w:rPr>
      </w:pPr>
      <w:bookmarkStart w:id="593" w:name="_Toc12305"/>
      <w:bookmarkStart w:id="594" w:name="_Toc3610"/>
      <w:bookmarkStart w:id="595" w:name="_Toc26006"/>
      <w:bookmarkStart w:id="596" w:name="_Toc13761"/>
      <w:bookmarkStart w:id="597" w:name="_Hlt69698785"/>
      <w:r>
        <w:rPr>
          <w:rFonts w:hint="eastAsia"/>
          <w:b/>
          <w:kern w:val="44"/>
          <w:sz w:val="24"/>
        </w:rPr>
        <w:t>第五章 投标文件格式</w:t>
      </w:r>
      <w:bookmarkEnd w:id="593"/>
      <w:bookmarkEnd w:id="594"/>
      <w:bookmarkEnd w:id="595"/>
      <w:bookmarkEnd w:id="596"/>
    </w:p>
    <w:p w14:paraId="02563671"/>
    <w:p w14:paraId="40733B48"/>
    <w:p w14:paraId="1FB615C6">
      <w:pPr>
        <w:pStyle w:val="3"/>
        <w:rPr>
          <w:rFonts w:ascii="宋体" w:hAnsi="宋体"/>
          <w:sz w:val="21"/>
          <w:szCs w:val="21"/>
        </w:rPr>
      </w:pPr>
      <w:bookmarkStart w:id="598" w:name="_Toc14506"/>
      <w:bookmarkStart w:id="599" w:name="_Toc464768767"/>
      <w:bookmarkStart w:id="600" w:name="_Toc19464"/>
      <w:bookmarkStart w:id="601" w:name="_Toc17479"/>
      <w:bookmarkStart w:id="602" w:name="_Toc3441"/>
      <w:bookmarkStart w:id="603" w:name="_Toc11660"/>
      <w:bookmarkStart w:id="604" w:name="_Toc16873"/>
      <w:bookmarkStart w:id="605" w:name="_Toc396813629"/>
      <w:bookmarkStart w:id="606" w:name="_Toc396982994"/>
      <w:bookmarkStart w:id="607" w:name="_Toc415171883"/>
      <w:r>
        <w:rPr>
          <w:rStyle w:val="40"/>
          <w:rFonts w:hint="eastAsia" w:ascii="宋体" w:hAnsi="宋体"/>
          <w:b/>
          <w:bCs/>
          <w:sz w:val="24"/>
        </w:rPr>
        <w:t>格式一</w:t>
      </w:r>
      <w:bookmarkEnd w:id="598"/>
      <w:bookmarkEnd w:id="599"/>
      <w:bookmarkEnd w:id="600"/>
      <w:r>
        <w:rPr>
          <w:rStyle w:val="40"/>
          <w:rFonts w:hint="eastAsia" w:ascii="宋体" w:hAnsi="宋体"/>
          <w:b/>
          <w:bCs/>
          <w:sz w:val="24"/>
        </w:rPr>
        <w:t xml:space="preserve"> </w:t>
      </w:r>
      <w:r>
        <w:rPr>
          <w:rFonts w:hint="eastAsia" w:ascii="宋体" w:hAnsi="宋体"/>
          <w:b/>
          <w:bCs/>
          <w:sz w:val="24"/>
        </w:rPr>
        <w:t>封面</w:t>
      </w:r>
      <w:bookmarkEnd w:id="601"/>
      <w:bookmarkEnd w:id="602"/>
      <w:bookmarkEnd w:id="603"/>
      <w:bookmarkEnd w:id="604"/>
      <w:r>
        <w:rPr>
          <w:rFonts w:hint="eastAsia" w:ascii="宋体" w:hAnsi="宋体"/>
          <w:sz w:val="24"/>
        </w:rPr>
        <w:t xml:space="preserve">     </w:t>
      </w:r>
      <w:r>
        <w:rPr>
          <w:rFonts w:hint="eastAsia" w:ascii="宋体" w:hAnsi="宋体"/>
          <w:sz w:val="21"/>
          <w:szCs w:val="21"/>
        </w:rPr>
        <w:t xml:space="preserve">      </w:t>
      </w:r>
      <w:bookmarkEnd w:id="605"/>
      <w:bookmarkEnd w:id="606"/>
      <w:bookmarkEnd w:id="607"/>
    </w:p>
    <w:p w14:paraId="276E0487">
      <w:pPr>
        <w:rPr>
          <w:rStyle w:val="40"/>
          <w:rFonts w:ascii="宋体" w:hAnsi="宋体"/>
          <w:szCs w:val="21"/>
        </w:rPr>
      </w:pPr>
    </w:p>
    <w:p w14:paraId="42B08057">
      <w:pPr>
        <w:pStyle w:val="100"/>
        <w:widowControl w:val="0"/>
        <w:wordWrap w:val="0"/>
        <w:adjustRightInd w:val="0"/>
        <w:snapToGrid w:val="0"/>
        <w:rPr>
          <w:rFonts w:ascii="宋体" w:hAnsi="宋体" w:eastAsia="宋体" w:cs="宋体"/>
          <w:b/>
          <w:snapToGrid w:val="0"/>
          <w:sz w:val="21"/>
          <w:szCs w:val="21"/>
        </w:rPr>
      </w:pPr>
      <w:bookmarkStart w:id="608" w:name="_Toc396982995"/>
      <w:bookmarkStart w:id="609" w:name="_Toc415171884"/>
      <w:bookmarkStart w:id="610" w:name="_Toc464768768"/>
      <w:bookmarkStart w:id="611" w:name="_Toc396813630"/>
      <w:bookmarkStart w:id="612" w:name="_Toc9423"/>
      <w:bookmarkStart w:id="613" w:name="_Toc32042"/>
    </w:p>
    <w:p w14:paraId="08386685">
      <w:pPr>
        <w:pStyle w:val="100"/>
        <w:widowControl w:val="0"/>
        <w:wordWrap w:val="0"/>
        <w:adjustRightInd w:val="0"/>
        <w:snapToGrid w:val="0"/>
        <w:jc w:val="right"/>
        <w:rPr>
          <w:rFonts w:ascii="宋体" w:hAnsi="宋体" w:eastAsia="宋体" w:cs="宋体"/>
          <w:b/>
          <w:snapToGrid w:val="0"/>
          <w:sz w:val="21"/>
          <w:szCs w:val="21"/>
        </w:rPr>
      </w:pPr>
    </w:p>
    <w:p w14:paraId="76C1B8C8">
      <w:pPr>
        <w:pStyle w:val="100"/>
        <w:widowControl w:val="0"/>
        <w:wordWrap w:val="0"/>
        <w:adjustRightInd w:val="0"/>
        <w:snapToGrid w:val="0"/>
        <w:ind w:firstLine="0"/>
        <w:rPr>
          <w:rFonts w:ascii="宋体" w:hAnsi="宋体" w:eastAsia="宋体" w:cs="宋体"/>
          <w:b/>
          <w:snapToGrid w:val="0"/>
          <w:sz w:val="21"/>
          <w:szCs w:val="21"/>
        </w:rPr>
      </w:pPr>
    </w:p>
    <w:p w14:paraId="00DAC0E7">
      <w:pPr>
        <w:pStyle w:val="100"/>
        <w:widowControl w:val="0"/>
        <w:wordWrap w:val="0"/>
        <w:adjustRightInd w:val="0"/>
        <w:snapToGrid w:val="0"/>
        <w:rPr>
          <w:rFonts w:ascii="宋体" w:hAnsi="宋体" w:eastAsia="宋体" w:cs="宋体"/>
          <w:b/>
          <w:snapToGrid w:val="0"/>
          <w:sz w:val="21"/>
          <w:szCs w:val="21"/>
        </w:rPr>
      </w:pPr>
    </w:p>
    <w:p w14:paraId="63271523">
      <w:pPr>
        <w:pStyle w:val="100"/>
        <w:widowControl w:val="0"/>
        <w:wordWrap w:val="0"/>
        <w:adjustRightInd w:val="0"/>
        <w:snapToGrid w:val="0"/>
        <w:ind w:firstLine="0"/>
        <w:jc w:val="center"/>
        <w:rPr>
          <w:rFonts w:ascii="宋体" w:hAnsi="宋体" w:eastAsia="宋体" w:cs="宋体"/>
          <w:b/>
          <w:snapToGrid w:val="0"/>
          <w:sz w:val="36"/>
          <w:szCs w:val="36"/>
        </w:rPr>
      </w:pPr>
      <w:bookmarkStart w:id="614" w:name="_Toc14006"/>
      <w:bookmarkStart w:id="615" w:name="_Toc11141"/>
      <w:bookmarkStart w:id="616" w:name="_Toc19515_WPSOffice_Level2"/>
      <w:bookmarkStart w:id="617" w:name="_Toc10931_WPSOffice_Level2"/>
      <w:bookmarkStart w:id="618" w:name="_Toc17225"/>
      <w:bookmarkStart w:id="619" w:name="_Toc15910_WPSOffice_Level2"/>
      <w:bookmarkStart w:id="620" w:name="_Toc24590_WPSOffice_Level2"/>
      <w:bookmarkStart w:id="621" w:name="_Toc29993"/>
      <w:bookmarkStart w:id="622" w:name="_Toc14783"/>
      <w:r>
        <w:rPr>
          <w:rFonts w:hint="eastAsia" w:ascii="宋体" w:hAnsi="宋体" w:eastAsia="宋体" w:cs="宋体"/>
          <w:b/>
          <w:snapToGrid w:val="0"/>
          <w:sz w:val="36"/>
          <w:szCs w:val="36"/>
          <w:u w:val="single"/>
        </w:rPr>
        <w:t xml:space="preserve">   （项目名称）</w:t>
      </w:r>
      <w:bookmarkEnd w:id="614"/>
      <w:bookmarkEnd w:id="615"/>
      <w:bookmarkEnd w:id="616"/>
      <w:bookmarkEnd w:id="617"/>
      <w:bookmarkEnd w:id="618"/>
      <w:bookmarkEnd w:id="619"/>
      <w:bookmarkEnd w:id="620"/>
      <w:r>
        <w:rPr>
          <w:rFonts w:hint="eastAsia" w:ascii="宋体" w:hAnsi="宋体" w:eastAsia="宋体" w:cs="宋体"/>
          <w:b/>
          <w:snapToGrid w:val="0"/>
          <w:sz w:val="36"/>
          <w:szCs w:val="36"/>
          <w:u w:val="single"/>
        </w:rPr>
        <w:t xml:space="preserve">  </w:t>
      </w:r>
      <w:bookmarkEnd w:id="621"/>
      <w:bookmarkEnd w:id="622"/>
      <w:r>
        <w:rPr>
          <w:rFonts w:hint="eastAsia" w:ascii="宋体" w:hAnsi="宋体" w:eastAsia="宋体" w:cs="宋体"/>
          <w:b/>
          <w:snapToGrid w:val="0"/>
          <w:sz w:val="36"/>
          <w:szCs w:val="36"/>
        </w:rPr>
        <w:t>招标</w:t>
      </w:r>
    </w:p>
    <w:p w14:paraId="6D62DAE5">
      <w:pPr>
        <w:pStyle w:val="100"/>
        <w:widowControl w:val="0"/>
        <w:wordWrap w:val="0"/>
        <w:adjustRightInd w:val="0"/>
        <w:snapToGrid w:val="0"/>
        <w:ind w:firstLine="0"/>
        <w:jc w:val="center"/>
        <w:rPr>
          <w:rFonts w:ascii="宋体" w:hAnsi="宋体" w:eastAsia="宋体" w:cs="宋体"/>
          <w:b/>
          <w:snapToGrid w:val="0"/>
          <w:sz w:val="36"/>
          <w:szCs w:val="36"/>
        </w:rPr>
      </w:pPr>
    </w:p>
    <w:p w14:paraId="0474802D">
      <w:pPr>
        <w:pStyle w:val="100"/>
        <w:widowControl w:val="0"/>
        <w:wordWrap w:val="0"/>
        <w:adjustRightInd w:val="0"/>
        <w:snapToGrid w:val="0"/>
        <w:ind w:firstLine="0"/>
        <w:jc w:val="center"/>
        <w:rPr>
          <w:rFonts w:ascii="宋体" w:hAnsi="宋体" w:eastAsia="宋体" w:cs="宋体"/>
          <w:b/>
          <w:snapToGrid w:val="0"/>
          <w:sz w:val="36"/>
          <w:szCs w:val="36"/>
        </w:rPr>
      </w:pPr>
    </w:p>
    <w:p w14:paraId="0465F0EE">
      <w:pPr>
        <w:pStyle w:val="100"/>
        <w:widowControl w:val="0"/>
        <w:wordWrap w:val="0"/>
        <w:adjustRightInd w:val="0"/>
        <w:snapToGrid w:val="0"/>
        <w:ind w:firstLine="0"/>
        <w:jc w:val="center"/>
        <w:rPr>
          <w:rFonts w:ascii="宋体" w:hAnsi="宋体" w:eastAsia="宋体" w:cs="宋体"/>
          <w:b/>
          <w:snapToGrid w:val="0"/>
          <w:sz w:val="36"/>
          <w:szCs w:val="36"/>
        </w:rPr>
      </w:pPr>
      <w:bookmarkStart w:id="623" w:name="_Toc5301_WPSOffice_Level3"/>
      <w:bookmarkStart w:id="624" w:name="_Toc8798_WPSOffice_Level3"/>
      <w:r>
        <w:rPr>
          <w:rFonts w:hint="eastAsia" w:ascii="宋体" w:hAnsi="宋体" w:eastAsia="宋体" w:cs="宋体"/>
          <w:b/>
          <w:snapToGrid w:val="0"/>
          <w:sz w:val="36"/>
          <w:szCs w:val="36"/>
        </w:rPr>
        <w:t>投  标  文  件</w:t>
      </w:r>
      <w:bookmarkEnd w:id="623"/>
      <w:bookmarkEnd w:id="624"/>
    </w:p>
    <w:p w14:paraId="55D87EE0">
      <w:pPr>
        <w:pStyle w:val="100"/>
        <w:widowControl w:val="0"/>
        <w:wordWrap w:val="0"/>
        <w:adjustRightInd w:val="0"/>
        <w:snapToGrid w:val="0"/>
        <w:ind w:firstLine="0"/>
        <w:jc w:val="center"/>
        <w:rPr>
          <w:rFonts w:ascii="宋体" w:hAnsi="宋体" w:eastAsia="宋体" w:cs="宋体"/>
          <w:b/>
          <w:snapToGrid w:val="0"/>
          <w:sz w:val="36"/>
          <w:szCs w:val="36"/>
        </w:rPr>
      </w:pPr>
    </w:p>
    <w:p w14:paraId="6D883BDA">
      <w:pPr>
        <w:pStyle w:val="100"/>
        <w:widowControl w:val="0"/>
        <w:wordWrap w:val="0"/>
        <w:adjustRightInd w:val="0"/>
        <w:snapToGrid w:val="0"/>
        <w:ind w:firstLine="0"/>
        <w:jc w:val="center"/>
        <w:rPr>
          <w:rFonts w:ascii="宋体" w:hAnsi="宋体" w:eastAsia="宋体" w:cs="宋体"/>
          <w:b/>
          <w:snapToGrid w:val="0"/>
          <w:sz w:val="36"/>
          <w:szCs w:val="36"/>
        </w:rPr>
      </w:pPr>
      <w:bookmarkStart w:id="625" w:name="_Toc24704"/>
      <w:bookmarkStart w:id="626" w:name="_Toc18349_WPSOffice_Level2"/>
      <w:bookmarkStart w:id="627" w:name="_Toc14127"/>
      <w:bookmarkStart w:id="628" w:name="_Toc7210_WPSOffice_Level2"/>
      <w:bookmarkStart w:id="629" w:name="_Toc6046_WPSOffice_Level2"/>
      <w:bookmarkStart w:id="630" w:name="_Toc639_WPSOffice_Level2"/>
      <w:bookmarkStart w:id="631" w:name="_Toc8292"/>
      <w:bookmarkStart w:id="632" w:name="_Toc23773"/>
      <w:bookmarkStart w:id="633" w:name="_Toc2104"/>
      <w:r>
        <w:rPr>
          <w:rFonts w:hint="eastAsia" w:ascii="宋体" w:hAnsi="宋体" w:eastAsia="宋体" w:cs="宋体"/>
          <w:b/>
          <w:snapToGrid w:val="0"/>
          <w:sz w:val="36"/>
          <w:szCs w:val="36"/>
        </w:rPr>
        <w:t>（商务经济标书／技术标书/定标文件）</w:t>
      </w:r>
      <w:bookmarkEnd w:id="625"/>
      <w:bookmarkEnd w:id="626"/>
      <w:bookmarkEnd w:id="627"/>
      <w:bookmarkEnd w:id="628"/>
      <w:bookmarkEnd w:id="629"/>
      <w:bookmarkEnd w:id="630"/>
      <w:bookmarkEnd w:id="631"/>
      <w:bookmarkEnd w:id="632"/>
      <w:bookmarkEnd w:id="633"/>
    </w:p>
    <w:p w14:paraId="1E6D0A4A">
      <w:pPr>
        <w:pStyle w:val="100"/>
        <w:widowControl w:val="0"/>
        <w:wordWrap w:val="0"/>
        <w:adjustRightInd w:val="0"/>
        <w:snapToGrid w:val="0"/>
        <w:rPr>
          <w:rFonts w:ascii="宋体" w:hAnsi="宋体" w:eastAsia="宋体" w:cs="宋体"/>
          <w:b/>
          <w:snapToGrid w:val="0"/>
          <w:sz w:val="36"/>
          <w:szCs w:val="36"/>
        </w:rPr>
      </w:pPr>
    </w:p>
    <w:p w14:paraId="58308888">
      <w:pPr>
        <w:pStyle w:val="100"/>
        <w:widowControl w:val="0"/>
        <w:wordWrap w:val="0"/>
        <w:adjustRightInd w:val="0"/>
        <w:snapToGrid w:val="0"/>
        <w:rPr>
          <w:rFonts w:ascii="宋体" w:hAnsi="宋体" w:eastAsia="宋体" w:cs="宋体"/>
          <w:b/>
          <w:snapToGrid w:val="0"/>
          <w:sz w:val="36"/>
          <w:szCs w:val="36"/>
        </w:rPr>
      </w:pPr>
    </w:p>
    <w:p w14:paraId="58F2A677">
      <w:pPr>
        <w:pStyle w:val="100"/>
        <w:widowControl w:val="0"/>
        <w:wordWrap w:val="0"/>
        <w:adjustRightInd w:val="0"/>
        <w:snapToGrid w:val="0"/>
        <w:rPr>
          <w:rFonts w:ascii="宋体" w:hAnsi="宋体" w:eastAsia="宋体" w:cs="宋体"/>
          <w:b/>
          <w:snapToGrid w:val="0"/>
          <w:sz w:val="36"/>
          <w:szCs w:val="36"/>
        </w:rPr>
      </w:pPr>
    </w:p>
    <w:p w14:paraId="6FE913FF">
      <w:pPr>
        <w:pStyle w:val="100"/>
        <w:widowControl w:val="0"/>
        <w:wordWrap w:val="0"/>
        <w:adjustRightInd w:val="0"/>
        <w:snapToGrid w:val="0"/>
        <w:ind w:firstLine="0"/>
        <w:rPr>
          <w:rFonts w:ascii="宋体" w:hAnsi="宋体" w:eastAsia="宋体" w:cs="宋体"/>
          <w:b/>
          <w:snapToGrid w:val="0"/>
          <w:sz w:val="36"/>
          <w:szCs w:val="36"/>
        </w:rPr>
      </w:pPr>
    </w:p>
    <w:p w14:paraId="5BB105A3">
      <w:pPr>
        <w:pStyle w:val="100"/>
        <w:widowControl w:val="0"/>
        <w:wordWrap w:val="0"/>
        <w:adjustRightInd w:val="0"/>
        <w:snapToGrid w:val="0"/>
        <w:rPr>
          <w:rFonts w:ascii="宋体" w:hAnsi="宋体" w:eastAsia="宋体" w:cs="宋体"/>
          <w:b/>
          <w:snapToGrid w:val="0"/>
          <w:sz w:val="36"/>
          <w:szCs w:val="36"/>
        </w:rPr>
      </w:pPr>
    </w:p>
    <w:p w14:paraId="31321C8D">
      <w:pPr>
        <w:pStyle w:val="100"/>
        <w:widowControl w:val="0"/>
        <w:wordWrap w:val="0"/>
        <w:adjustRightInd w:val="0"/>
        <w:snapToGrid w:val="0"/>
        <w:rPr>
          <w:rFonts w:ascii="宋体" w:hAnsi="宋体" w:eastAsia="宋体" w:cs="宋体"/>
          <w:b/>
          <w:snapToGrid w:val="0"/>
          <w:sz w:val="36"/>
          <w:szCs w:val="36"/>
        </w:rPr>
      </w:pPr>
    </w:p>
    <w:p w14:paraId="6A7E1AFF">
      <w:pPr>
        <w:pStyle w:val="100"/>
        <w:widowControl w:val="0"/>
        <w:wordWrap w:val="0"/>
        <w:adjustRightInd w:val="0"/>
        <w:snapToGrid w:val="0"/>
        <w:rPr>
          <w:rFonts w:ascii="宋体" w:hAnsi="宋体" w:eastAsia="宋体" w:cs="宋体"/>
          <w:b/>
          <w:snapToGrid w:val="0"/>
          <w:sz w:val="36"/>
          <w:szCs w:val="36"/>
        </w:rPr>
      </w:pPr>
    </w:p>
    <w:p w14:paraId="02DE974F">
      <w:pPr>
        <w:pStyle w:val="100"/>
        <w:widowControl w:val="0"/>
        <w:wordWrap w:val="0"/>
        <w:adjustRightInd w:val="0"/>
        <w:snapToGrid w:val="0"/>
        <w:rPr>
          <w:rFonts w:ascii="宋体" w:hAnsi="宋体" w:eastAsia="宋体" w:cs="宋体"/>
          <w:b/>
          <w:snapToGrid w:val="0"/>
          <w:sz w:val="36"/>
          <w:szCs w:val="36"/>
        </w:rPr>
      </w:pPr>
    </w:p>
    <w:p w14:paraId="305F700A">
      <w:pPr>
        <w:pStyle w:val="100"/>
        <w:widowControl w:val="0"/>
        <w:wordWrap w:val="0"/>
        <w:adjustRightInd w:val="0"/>
        <w:snapToGrid w:val="0"/>
        <w:rPr>
          <w:rFonts w:ascii="宋体" w:hAnsi="宋体" w:eastAsia="宋体" w:cs="宋体"/>
          <w:b/>
          <w:snapToGrid w:val="0"/>
          <w:sz w:val="36"/>
          <w:szCs w:val="36"/>
        </w:rPr>
      </w:pPr>
    </w:p>
    <w:p w14:paraId="585A0E45">
      <w:pPr>
        <w:pStyle w:val="100"/>
        <w:widowControl w:val="0"/>
        <w:wordWrap w:val="0"/>
        <w:adjustRightInd w:val="0"/>
        <w:snapToGrid w:val="0"/>
        <w:ind w:firstLine="0"/>
        <w:jc w:val="center"/>
        <w:rPr>
          <w:rFonts w:ascii="宋体" w:hAnsi="宋体" w:eastAsia="宋体" w:cs="宋体"/>
          <w:bCs/>
          <w:snapToGrid w:val="0"/>
          <w:sz w:val="36"/>
          <w:szCs w:val="36"/>
        </w:rPr>
      </w:pPr>
      <w:bookmarkStart w:id="634" w:name="_Toc695"/>
      <w:bookmarkStart w:id="635" w:name="_Toc881_WPSOffice_Level2"/>
      <w:bookmarkStart w:id="636" w:name="_Toc9798"/>
      <w:bookmarkStart w:id="637" w:name="_Toc3918_WPSOffice_Level2"/>
      <w:bookmarkStart w:id="638" w:name="_Toc10578_WPSOffice_Level2"/>
      <w:bookmarkStart w:id="639" w:name="_Toc15825_WPSOffice_Level2"/>
      <w:bookmarkStart w:id="640" w:name="_Toc7044"/>
      <w:bookmarkStart w:id="641" w:name="_Toc23809"/>
      <w:bookmarkStart w:id="642" w:name="_Toc1506"/>
      <w:r>
        <w:rPr>
          <w:rFonts w:hint="eastAsia" w:ascii="宋体" w:hAnsi="宋体" w:eastAsia="宋体" w:cs="宋体"/>
          <w:bCs/>
          <w:snapToGrid w:val="0"/>
          <w:sz w:val="36"/>
          <w:szCs w:val="36"/>
        </w:rPr>
        <w:t>投标人：</w:t>
      </w:r>
      <w:r>
        <w:rPr>
          <w:rFonts w:hint="eastAsia" w:ascii="宋体" w:hAnsi="宋体" w:eastAsia="宋体" w:cs="宋体"/>
          <w:bCs/>
          <w:snapToGrid w:val="0"/>
          <w:sz w:val="36"/>
          <w:szCs w:val="36"/>
          <w:u w:val="single"/>
        </w:rPr>
        <w:t xml:space="preserve">                    </w:t>
      </w:r>
      <w:r>
        <w:rPr>
          <w:rFonts w:hint="eastAsia" w:ascii="宋体" w:hAnsi="宋体" w:eastAsia="宋体" w:cs="宋体"/>
          <w:bCs/>
          <w:snapToGrid w:val="0"/>
          <w:sz w:val="36"/>
          <w:szCs w:val="36"/>
        </w:rPr>
        <w:t>（盖单位章）</w:t>
      </w:r>
      <w:bookmarkEnd w:id="634"/>
      <w:bookmarkEnd w:id="635"/>
      <w:bookmarkEnd w:id="636"/>
      <w:bookmarkEnd w:id="637"/>
      <w:bookmarkEnd w:id="638"/>
      <w:bookmarkEnd w:id="639"/>
      <w:bookmarkEnd w:id="640"/>
      <w:bookmarkEnd w:id="641"/>
      <w:bookmarkEnd w:id="642"/>
    </w:p>
    <w:p w14:paraId="11E2475C">
      <w:pPr>
        <w:pStyle w:val="100"/>
        <w:widowControl w:val="0"/>
        <w:wordWrap w:val="0"/>
        <w:adjustRightInd w:val="0"/>
        <w:snapToGrid w:val="0"/>
        <w:ind w:firstLine="0"/>
        <w:jc w:val="both"/>
        <w:rPr>
          <w:rFonts w:ascii="宋体" w:hAnsi="宋体" w:eastAsia="宋体" w:cs="宋体"/>
          <w:bCs/>
          <w:snapToGrid w:val="0"/>
          <w:sz w:val="36"/>
          <w:szCs w:val="36"/>
        </w:rPr>
      </w:pPr>
    </w:p>
    <w:p w14:paraId="30D8432E">
      <w:pPr>
        <w:pStyle w:val="100"/>
        <w:widowControl w:val="0"/>
        <w:wordWrap w:val="0"/>
        <w:adjustRightInd w:val="0"/>
        <w:snapToGrid w:val="0"/>
        <w:ind w:firstLine="0"/>
        <w:jc w:val="center"/>
        <w:rPr>
          <w:rFonts w:ascii="宋体" w:hAnsi="宋体" w:eastAsia="宋体" w:cs="宋体"/>
          <w:bCs/>
          <w:snapToGrid w:val="0"/>
          <w:sz w:val="36"/>
          <w:szCs w:val="36"/>
        </w:rPr>
      </w:pPr>
      <w:bookmarkStart w:id="643" w:name="_Toc29706"/>
      <w:bookmarkStart w:id="644" w:name="_Toc13744_WPSOffice_Level2"/>
      <w:bookmarkStart w:id="645" w:name="_Toc27630_WPSOffice_Level2"/>
      <w:bookmarkStart w:id="646" w:name="_Toc27613_WPSOffice_Level2"/>
      <w:bookmarkStart w:id="647" w:name="_Toc12474"/>
      <w:bookmarkStart w:id="648" w:name="_Toc24086"/>
      <w:bookmarkStart w:id="649" w:name="_Toc2370"/>
      <w:bookmarkStart w:id="650" w:name="_Toc31144"/>
      <w:bookmarkStart w:id="651" w:name="_Toc32628_WPSOffice_Level2"/>
      <w:r>
        <w:rPr>
          <w:rFonts w:hint="eastAsia" w:ascii="宋体" w:hAnsi="宋体" w:eastAsia="宋体" w:cs="宋体"/>
          <w:bCs/>
          <w:snapToGrid w:val="0"/>
          <w:sz w:val="36"/>
          <w:szCs w:val="36"/>
        </w:rPr>
        <w:t>法定代表人或其委托代理人：</w:t>
      </w:r>
      <w:r>
        <w:rPr>
          <w:rFonts w:hint="eastAsia" w:ascii="宋体" w:hAnsi="宋体" w:eastAsia="宋体" w:cs="宋体"/>
          <w:bCs/>
          <w:snapToGrid w:val="0"/>
          <w:sz w:val="36"/>
          <w:szCs w:val="36"/>
          <w:u w:val="single"/>
        </w:rPr>
        <w:t xml:space="preserve">           </w:t>
      </w:r>
      <w:r>
        <w:rPr>
          <w:rFonts w:hint="eastAsia" w:ascii="宋体" w:hAnsi="宋体" w:eastAsia="宋体" w:cs="宋体"/>
          <w:bCs/>
          <w:snapToGrid w:val="0"/>
          <w:sz w:val="36"/>
          <w:szCs w:val="36"/>
        </w:rPr>
        <w:t>（签字或盖章）</w:t>
      </w:r>
      <w:bookmarkEnd w:id="643"/>
      <w:bookmarkEnd w:id="644"/>
      <w:bookmarkEnd w:id="645"/>
      <w:bookmarkEnd w:id="646"/>
      <w:bookmarkEnd w:id="647"/>
      <w:bookmarkEnd w:id="648"/>
      <w:bookmarkEnd w:id="649"/>
      <w:bookmarkEnd w:id="650"/>
      <w:bookmarkEnd w:id="651"/>
    </w:p>
    <w:p w14:paraId="7395FC5F">
      <w:pPr>
        <w:pStyle w:val="100"/>
        <w:widowControl w:val="0"/>
        <w:wordWrap w:val="0"/>
        <w:adjustRightInd w:val="0"/>
        <w:snapToGrid w:val="0"/>
        <w:ind w:firstLine="0"/>
        <w:jc w:val="center"/>
        <w:rPr>
          <w:rFonts w:ascii="宋体" w:hAnsi="宋体" w:eastAsia="宋体" w:cs="宋体"/>
          <w:bCs/>
          <w:snapToGrid w:val="0"/>
          <w:sz w:val="36"/>
          <w:szCs w:val="36"/>
          <w:u w:val="single"/>
        </w:rPr>
      </w:pPr>
    </w:p>
    <w:p w14:paraId="5BFFBF59">
      <w:pPr>
        <w:pStyle w:val="100"/>
        <w:widowControl w:val="0"/>
        <w:wordWrap w:val="0"/>
        <w:adjustRightInd w:val="0"/>
        <w:snapToGrid w:val="0"/>
        <w:ind w:firstLine="0"/>
        <w:jc w:val="center"/>
        <w:rPr>
          <w:rFonts w:ascii="宋体" w:hAnsi="宋体" w:eastAsia="宋体" w:cs="宋体"/>
          <w:b/>
          <w:snapToGrid w:val="0"/>
          <w:sz w:val="36"/>
          <w:szCs w:val="36"/>
        </w:rPr>
      </w:pPr>
      <w:bookmarkStart w:id="652" w:name="_Toc15044_WPSOffice_Level2"/>
      <w:bookmarkStart w:id="653" w:name="_Toc23570"/>
      <w:bookmarkStart w:id="654" w:name="_Toc28423_WPSOffice_Level2"/>
      <w:bookmarkStart w:id="655" w:name="_Toc28896"/>
      <w:bookmarkStart w:id="656" w:name="_Toc4261_WPSOffice_Level2"/>
      <w:bookmarkStart w:id="657" w:name="_Toc6799"/>
      <w:bookmarkStart w:id="658" w:name="_Toc25506"/>
      <w:bookmarkStart w:id="659" w:name="_Toc7063"/>
      <w:bookmarkStart w:id="660" w:name="_Toc1745_WPSOffice_Level2"/>
      <w:r>
        <w:rPr>
          <w:rFonts w:hint="eastAsia" w:ascii="宋体" w:hAnsi="宋体" w:eastAsia="宋体" w:cs="宋体"/>
          <w:bCs/>
          <w:snapToGrid w:val="0"/>
          <w:sz w:val="36"/>
          <w:szCs w:val="36"/>
          <w:u w:val="single"/>
        </w:rPr>
        <w:t xml:space="preserve">      </w:t>
      </w:r>
      <w:r>
        <w:rPr>
          <w:rFonts w:hint="eastAsia" w:ascii="宋体" w:hAnsi="宋体" w:eastAsia="宋体" w:cs="宋体"/>
          <w:bCs/>
          <w:snapToGrid w:val="0"/>
          <w:sz w:val="36"/>
          <w:szCs w:val="36"/>
        </w:rPr>
        <w:t>年</w:t>
      </w:r>
      <w:r>
        <w:rPr>
          <w:rFonts w:hint="eastAsia" w:ascii="宋体" w:hAnsi="宋体" w:eastAsia="宋体" w:cs="宋体"/>
          <w:bCs/>
          <w:snapToGrid w:val="0"/>
          <w:sz w:val="36"/>
          <w:szCs w:val="36"/>
          <w:u w:val="single"/>
        </w:rPr>
        <w:t xml:space="preserve">    </w:t>
      </w:r>
      <w:r>
        <w:rPr>
          <w:rFonts w:hint="eastAsia" w:ascii="宋体" w:hAnsi="宋体" w:eastAsia="宋体" w:cs="宋体"/>
          <w:bCs/>
          <w:snapToGrid w:val="0"/>
          <w:sz w:val="36"/>
          <w:szCs w:val="36"/>
        </w:rPr>
        <w:t>月</w:t>
      </w:r>
      <w:r>
        <w:rPr>
          <w:rFonts w:hint="eastAsia" w:ascii="宋体" w:hAnsi="宋体" w:eastAsia="宋体" w:cs="宋体"/>
          <w:bCs/>
          <w:snapToGrid w:val="0"/>
          <w:sz w:val="36"/>
          <w:szCs w:val="36"/>
          <w:u w:val="single"/>
        </w:rPr>
        <w:t xml:space="preserve">    </w:t>
      </w:r>
      <w:r>
        <w:rPr>
          <w:rFonts w:hint="eastAsia" w:ascii="宋体" w:hAnsi="宋体" w:eastAsia="宋体" w:cs="宋体"/>
          <w:bCs/>
          <w:snapToGrid w:val="0"/>
          <w:sz w:val="36"/>
          <w:szCs w:val="36"/>
        </w:rPr>
        <w:t>日</w:t>
      </w:r>
      <w:bookmarkEnd w:id="652"/>
      <w:bookmarkEnd w:id="653"/>
      <w:bookmarkEnd w:id="654"/>
      <w:bookmarkEnd w:id="655"/>
      <w:bookmarkEnd w:id="656"/>
      <w:bookmarkEnd w:id="657"/>
      <w:bookmarkEnd w:id="658"/>
      <w:bookmarkEnd w:id="659"/>
      <w:bookmarkEnd w:id="660"/>
    </w:p>
    <w:p w14:paraId="7D5C9651">
      <w:pPr>
        <w:pStyle w:val="3"/>
        <w:rPr>
          <w:rFonts w:ascii="宋体" w:hAnsi="宋体"/>
          <w:sz w:val="36"/>
          <w:szCs w:val="36"/>
        </w:rPr>
      </w:pPr>
      <w:r>
        <w:rPr>
          <w:rStyle w:val="40"/>
          <w:rFonts w:hint="eastAsia" w:ascii="宋体" w:hAnsi="宋体"/>
          <w:b/>
          <w:bCs/>
          <w:sz w:val="36"/>
          <w:szCs w:val="36"/>
        </w:rPr>
        <w:br w:type="page"/>
      </w:r>
      <w:bookmarkStart w:id="661" w:name="_Toc24885"/>
      <w:bookmarkStart w:id="662" w:name="_Toc18458"/>
      <w:bookmarkStart w:id="663" w:name="_Toc13542"/>
      <w:bookmarkStart w:id="664" w:name="_Toc19655"/>
      <w:r>
        <w:rPr>
          <w:rStyle w:val="40"/>
          <w:rFonts w:hint="eastAsia" w:ascii="宋体" w:hAnsi="宋体"/>
          <w:b/>
          <w:bCs/>
          <w:sz w:val="24"/>
        </w:rPr>
        <w:t>格式二</w:t>
      </w:r>
      <w:bookmarkEnd w:id="608"/>
      <w:bookmarkEnd w:id="609"/>
      <w:bookmarkEnd w:id="610"/>
      <w:bookmarkEnd w:id="611"/>
      <w:bookmarkEnd w:id="612"/>
      <w:bookmarkEnd w:id="613"/>
      <w:r>
        <w:rPr>
          <w:rStyle w:val="40"/>
          <w:rFonts w:hint="eastAsia" w:ascii="宋体" w:hAnsi="宋体"/>
          <w:b/>
          <w:bCs/>
          <w:sz w:val="24"/>
        </w:rPr>
        <w:t xml:space="preserve"> 投标函</w:t>
      </w:r>
      <w:bookmarkEnd w:id="661"/>
      <w:bookmarkEnd w:id="662"/>
      <w:bookmarkEnd w:id="663"/>
      <w:bookmarkEnd w:id="664"/>
    </w:p>
    <w:p w14:paraId="63FF8B39">
      <w:pPr>
        <w:spacing w:line="360" w:lineRule="auto"/>
        <w:jc w:val="center"/>
        <w:rPr>
          <w:b/>
          <w:sz w:val="36"/>
          <w:szCs w:val="36"/>
        </w:rPr>
      </w:pPr>
    </w:p>
    <w:p w14:paraId="5D8CF5D4">
      <w:pPr>
        <w:spacing w:line="360" w:lineRule="auto"/>
        <w:jc w:val="center"/>
        <w:rPr>
          <w:sz w:val="36"/>
          <w:szCs w:val="36"/>
        </w:rPr>
      </w:pPr>
      <w:r>
        <w:rPr>
          <w:rFonts w:hint="eastAsia"/>
          <w:b/>
          <w:sz w:val="36"/>
          <w:szCs w:val="36"/>
        </w:rPr>
        <w:t>投  标  函</w:t>
      </w:r>
    </w:p>
    <w:p w14:paraId="03BFA3FB">
      <w:pPr>
        <w:wordWrap w:val="0"/>
        <w:adjustRightInd w:val="0"/>
        <w:snapToGrid w:val="0"/>
        <w:spacing w:line="440" w:lineRule="exact"/>
        <w:rPr>
          <w:snapToGrid w:val="0"/>
        </w:rPr>
      </w:pPr>
      <w:r>
        <w:rPr>
          <w:rFonts w:hint="eastAsia"/>
          <w:snapToGrid w:val="0"/>
        </w:rPr>
        <w:t>致：</w:t>
      </w:r>
      <w:r>
        <w:rPr>
          <w:rFonts w:hint="eastAsia"/>
          <w:snapToGrid w:val="0"/>
          <w:u w:val="single"/>
        </w:rPr>
        <w:t xml:space="preserve">                   </w:t>
      </w:r>
      <w:r>
        <w:rPr>
          <w:rFonts w:hint="eastAsia"/>
          <w:snapToGrid w:val="0"/>
        </w:rPr>
        <w:t>（招标人名称）</w:t>
      </w:r>
    </w:p>
    <w:p w14:paraId="6A027F1E">
      <w:pPr>
        <w:spacing w:before="120" w:beforeLines="50" w:line="360" w:lineRule="auto"/>
        <w:ind w:firstLine="480" w:firstLineChars="200"/>
      </w:pPr>
      <w:r>
        <w:rPr>
          <w:rFonts w:hint="eastAsia"/>
          <w:lang w:eastAsia="zh-CN"/>
        </w:rPr>
        <w:t>1.</w:t>
      </w:r>
      <w:r>
        <w:rPr>
          <w:rFonts w:hint="eastAsia"/>
        </w:rPr>
        <w:t>经分析研究了贵方提供的</w:t>
      </w:r>
      <w:r>
        <w:rPr>
          <w:rFonts w:hint="eastAsia"/>
          <w:u w:val="single"/>
        </w:rPr>
        <w:t xml:space="preserve">      </w:t>
      </w:r>
      <w:r>
        <w:rPr>
          <w:rFonts w:hint="eastAsia"/>
          <w:b/>
          <w:bCs/>
          <w:u w:val="single"/>
        </w:rPr>
        <w:t xml:space="preserve">  </w:t>
      </w:r>
      <w:r>
        <w:rPr>
          <w:rFonts w:hint="eastAsia"/>
          <w:snapToGrid w:val="0"/>
          <w:u w:val="single"/>
        </w:rPr>
        <w:t>（项目名称）</w:t>
      </w:r>
      <w:r>
        <w:rPr>
          <w:rFonts w:hint="eastAsia"/>
          <w:b/>
          <w:bCs/>
          <w:u w:val="single"/>
        </w:rPr>
        <w:t xml:space="preserve">      </w:t>
      </w:r>
      <w:r>
        <w:rPr>
          <w:rFonts w:hint="eastAsia"/>
          <w:snapToGrid w:val="0"/>
        </w:rPr>
        <w:t>（以下简称“本项目”）</w:t>
      </w:r>
      <w:r>
        <w:rPr>
          <w:rFonts w:hint="eastAsia"/>
        </w:rPr>
        <w:t>招标文件中的投标须知、拟签订合同的主要条款、项目介绍、本次招标答疑后，我方（即文末签名人），考虑了本企业的实力和特点，愿意接受招标文件的全部内容和条件，愿以投标报价为人民币（大写）：</w:t>
      </w:r>
      <w:r>
        <w:rPr>
          <w:rFonts w:hint="eastAsia"/>
          <w:u w:val="single"/>
        </w:rPr>
        <w:t xml:space="preserve">                     </w:t>
      </w:r>
      <w:r>
        <w:rPr>
          <w:rFonts w:hint="eastAsia"/>
        </w:rPr>
        <w:t>（小写）：¥</w:t>
      </w:r>
      <w:r>
        <w:rPr>
          <w:rFonts w:hint="eastAsia"/>
          <w:u w:val="single"/>
        </w:rPr>
        <w:t xml:space="preserve">         ，</w:t>
      </w:r>
      <w:r>
        <w:rPr>
          <w:rFonts w:hint="eastAsia"/>
        </w:rPr>
        <w:t>竞投承包上述工程。</w:t>
      </w:r>
    </w:p>
    <w:p w14:paraId="7CD37ECE">
      <w:pPr>
        <w:spacing w:line="440" w:lineRule="exact"/>
        <w:ind w:firstLine="570"/>
      </w:pPr>
      <w:r>
        <w:rPr>
          <w:rFonts w:hint="eastAsia"/>
          <w:lang w:eastAsia="zh-CN"/>
        </w:rPr>
        <w:t>2.</w:t>
      </w:r>
      <w:r>
        <w:rPr>
          <w:rFonts w:hint="eastAsia"/>
        </w:rPr>
        <w:t>如我方中标，我方保证按合同条款、规范和附件要求，实施并完成上述工程方案设计、初步设计，并修补其任何缺陷。</w:t>
      </w:r>
    </w:p>
    <w:p w14:paraId="58B4AE07">
      <w:pPr>
        <w:spacing w:line="440" w:lineRule="exact"/>
        <w:ind w:firstLine="570"/>
      </w:pPr>
      <w:r>
        <w:rPr>
          <w:rFonts w:hint="eastAsia"/>
          <w:lang w:eastAsia="zh-CN"/>
        </w:rPr>
        <w:t>3.</w:t>
      </w:r>
      <w:r>
        <w:rPr>
          <w:rFonts w:hint="eastAsia"/>
        </w:rPr>
        <w:t>我方同意本投标书在投标有效期内有效，在此期间我方的投标随时愿意被委托人接受，我方将受此约束。</w:t>
      </w:r>
    </w:p>
    <w:p w14:paraId="268532DD">
      <w:pPr>
        <w:spacing w:line="440" w:lineRule="exact"/>
        <w:ind w:right="-13" w:firstLine="570"/>
      </w:pPr>
      <w:r>
        <w:rPr>
          <w:rFonts w:hint="eastAsia"/>
          <w:lang w:eastAsia="zh-CN"/>
        </w:rPr>
        <w:t>4.</w:t>
      </w:r>
      <w:r>
        <w:rPr>
          <w:rFonts w:hint="eastAsia"/>
        </w:rPr>
        <w:t>在正式签订建设工程委托设计合同之前，本投标书连同贵方的中标通知书应成为约束贵、我双方的合同文件。</w:t>
      </w:r>
    </w:p>
    <w:p w14:paraId="5EFD0679">
      <w:pPr>
        <w:spacing w:line="440" w:lineRule="exact"/>
        <w:ind w:firstLine="570"/>
      </w:pPr>
      <w:r>
        <w:rPr>
          <w:rFonts w:hint="eastAsia"/>
          <w:lang w:eastAsia="zh-CN"/>
        </w:rPr>
        <w:t>5.</w:t>
      </w:r>
      <w:r>
        <w:rPr>
          <w:rFonts w:hint="eastAsia"/>
        </w:rPr>
        <w:t>我单位理解，贵方不一定接受最低标价投标或可能接受其他任何投标；同时也理解，贵方不负担我单位任何投标费用。</w:t>
      </w:r>
    </w:p>
    <w:p w14:paraId="2BEE4705">
      <w:pPr>
        <w:wordWrap w:val="0"/>
        <w:adjustRightInd w:val="0"/>
        <w:snapToGrid w:val="0"/>
        <w:spacing w:line="440" w:lineRule="exact"/>
        <w:rPr>
          <w:snapToGrid w:val="0"/>
        </w:rPr>
      </w:pPr>
    </w:p>
    <w:p w14:paraId="6F275657">
      <w:pPr>
        <w:wordWrap w:val="0"/>
        <w:adjustRightInd w:val="0"/>
        <w:snapToGrid w:val="0"/>
        <w:spacing w:line="440" w:lineRule="exact"/>
        <w:rPr>
          <w:snapToGrid w:val="0"/>
        </w:rPr>
      </w:pPr>
    </w:p>
    <w:p w14:paraId="53284B67">
      <w:pPr>
        <w:wordWrap w:val="0"/>
        <w:adjustRightInd w:val="0"/>
        <w:snapToGrid w:val="0"/>
        <w:spacing w:line="440" w:lineRule="exact"/>
        <w:rPr>
          <w:snapToGrid w:val="0"/>
        </w:rPr>
      </w:pPr>
    </w:p>
    <w:p w14:paraId="4BE19BBD">
      <w:pPr>
        <w:wordWrap w:val="0"/>
        <w:adjustRightInd w:val="0"/>
        <w:snapToGrid w:val="0"/>
        <w:spacing w:line="440" w:lineRule="exact"/>
        <w:rPr>
          <w:snapToGrid w:val="0"/>
        </w:rPr>
      </w:pPr>
    </w:p>
    <w:p w14:paraId="29207C07">
      <w:pPr>
        <w:wordWrap w:val="0"/>
        <w:adjustRightInd w:val="0"/>
        <w:snapToGrid w:val="0"/>
        <w:spacing w:line="440" w:lineRule="exact"/>
        <w:rPr>
          <w:snapToGrid w:val="0"/>
        </w:rPr>
      </w:pPr>
    </w:p>
    <w:p w14:paraId="5E42CE44">
      <w:pPr>
        <w:wordWrap w:val="0"/>
        <w:adjustRightInd w:val="0"/>
        <w:snapToGrid w:val="0"/>
        <w:spacing w:line="440" w:lineRule="exact"/>
        <w:jc w:val="right"/>
        <w:rPr>
          <w:snapToGrid w:val="0"/>
        </w:rPr>
      </w:pPr>
      <w:r>
        <w:rPr>
          <w:rFonts w:hint="eastAsia"/>
          <w:snapToGrid w:val="0"/>
        </w:rPr>
        <w:t xml:space="preserve">    投标人：</w:t>
      </w:r>
      <w:r>
        <w:rPr>
          <w:rFonts w:hint="eastAsia"/>
          <w:snapToGrid w:val="0"/>
          <w:u w:val="single"/>
        </w:rPr>
        <w:t xml:space="preserve">                              </w:t>
      </w:r>
      <w:r>
        <w:rPr>
          <w:rFonts w:hint="eastAsia"/>
          <w:snapToGrid w:val="0"/>
        </w:rPr>
        <w:t>（盖单位章）</w:t>
      </w:r>
    </w:p>
    <w:p w14:paraId="43EFE99C">
      <w:pPr>
        <w:wordWrap w:val="0"/>
        <w:adjustRightInd w:val="0"/>
        <w:snapToGrid w:val="0"/>
        <w:spacing w:line="440" w:lineRule="exact"/>
        <w:ind w:firstLine="480" w:firstLineChars="200"/>
        <w:jc w:val="right"/>
        <w:rPr>
          <w:snapToGrid w:val="0"/>
        </w:rPr>
      </w:pPr>
      <w:r>
        <w:rPr>
          <w:rFonts w:hint="eastAsia"/>
          <w:snapToGrid w:val="0"/>
        </w:rPr>
        <w:t>法定代表人或其委托代理人：</w:t>
      </w:r>
      <w:r>
        <w:rPr>
          <w:rFonts w:hint="eastAsia"/>
          <w:snapToGrid w:val="0"/>
          <w:u w:val="single"/>
        </w:rPr>
        <w:t xml:space="preserve">          </w:t>
      </w:r>
      <w:r>
        <w:rPr>
          <w:rFonts w:hint="eastAsia"/>
          <w:snapToGrid w:val="0"/>
        </w:rPr>
        <w:t>（签字或盖章）</w:t>
      </w:r>
    </w:p>
    <w:p w14:paraId="65E1D684">
      <w:pPr>
        <w:wordWrap w:val="0"/>
        <w:adjustRightInd w:val="0"/>
        <w:snapToGrid w:val="0"/>
        <w:spacing w:line="440" w:lineRule="exact"/>
        <w:rPr>
          <w:snapToGrid w:val="0"/>
        </w:rPr>
      </w:pPr>
      <w:r>
        <w:rPr>
          <w:rFonts w:hint="eastAsia"/>
          <w:snapToGrid w:val="0"/>
        </w:rPr>
        <w:t xml:space="preserve">                                       </w:t>
      </w:r>
      <w:r>
        <w:rPr>
          <w:rFonts w:hint="eastAsia"/>
          <w:snapToGrid w:val="0"/>
          <w:u w:val="single"/>
        </w:rPr>
        <w:t xml:space="preserve">       </w:t>
      </w:r>
      <w:r>
        <w:rPr>
          <w:rFonts w:hint="eastAsia"/>
          <w:snapToGrid w:val="0"/>
        </w:rPr>
        <w:t>年</w:t>
      </w:r>
      <w:r>
        <w:rPr>
          <w:rFonts w:hint="eastAsia"/>
          <w:snapToGrid w:val="0"/>
          <w:u w:val="single"/>
        </w:rPr>
        <w:t xml:space="preserve">     </w:t>
      </w:r>
      <w:r>
        <w:rPr>
          <w:rFonts w:hint="eastAsia"/>
          <w:snapToGrid w:val="0"/>
        </w:rPr>
        <w:t>月</w:t>
      </w:r>
      <w:r>
        <w:rPr>
          <w:rFonts w:hint="eastAsia"/>
          <w:snapToGrid w:val="0"/>
          <w:u w:val="single"/>
        </w:rPr>
        <w:t xml:space="preserve">     </w:t>
      </w:r>
      <w:r>
        <w:rPr>
          <w:rFonts w:hint="eastAsia"/>
          <w:snapToGrid w:val="0"/>
        </w:rPr>
        <w:t>日</w:t>
      </w:r>
    </w:p>
    <w:p w14:paraId="23EF85C8">
      <w:pPr>
        <w:wordWrap w:val="0"/>
        <w:adjustRightInd w:val="0"/>
        <w:snapToGrid w:val="0"/>
        <w:spacing w:line="440" w:lineRule="exact"/>
        <w:rPr>
          <w:snapToGrid w:val="0"/>
          <w:szCs w:val="21"/>
        </w:rPr>
      </w:pPr>
    </w:p>
    <w:p w14:paraId="36EC1EDA">
      <w:pPr>
        <w:wordWrap w:val="0"/>
        <w:adjustRightInd w:val="0"/>
        <w:snapToGrid w:val="0"/>
        <w:spacing w:line="440" w:lineRule="exact"/>
        <w:rPr>
          <w:snapToGrid w:val="0"/>
          <w:szCs w:val="21"/>
        </w:rPr>
        <w:sectPr>
          <w:endnotePr>
            <w:numFmt w:val="decimal"/>
          </w:endnotePr>
          <w:pgSz w:w="11906" w:h="16838"/>
          <w:pgMar w:top="1701" w:right="1531" w:bottom="1417" w:left="1531" w:header="850" w:footer="992" w:gutter="0"/>
          <w:cols w:space="720" w:num="1"/>
          <w:docGrid w:linePitch="327" w:charSpace="0"/>
        </w:sectPr>
      </w:pPr>
    </w:p>
    <w:p w14:paraId="1B6858D4">
      <w:pPr>
        <w:pStyle w:val="100"/>
        <w:widowControl w:val="0"/>
        <w:wordWrap w:val="0"/>
        <w:adjustRightInd w:val="0"/>
        <w:snapToGrid w:val="0"/>
        <w:ind w:firstLine="0"/>
        <w:outlineLvl w:val="1"/>
        <w:rPr>
          <w:rStyle w:val="40"/>
          <w:rFonts w:ascii="宋体" w:hAnsi="宋体" w:eastAsia="宋体" w:cs="宋体"/>
          <w:b/>
          <w:bCs/>
          <w:sz w:val="24"/>
        </w:rPr>
      </w:pPr>
      <w:bookmarkStart w:id="665" w:name="_Toc4378"/>
      <w:bookmarkStart w:id="666" w:name="_Toc31284"/>
      <w:bookmarkStart w:id="667" w:name="_Toc22539"/>
      <w:bookmarkStart w:id="668" w:name="_Toc25223"/>
      <w:r>
        <w:rPr>
          <w:rStyle w:val="40"/>
          <w:rFonts w:hint="eastAsia" w:ascii="宋体" w:hAnsi="宋体" w:eastAsia="宋体" w:cs="宋体"/>
          <w:b/>
          <w:bCs/>
          <w:sz w:val="24"/>
        </w:rPr>
        <w:t>格式三 工程项目报价表</w:t>
      </w:r>
      <w:bookmarkEnd w:id="665"/>
      <w:bookmarkEnd w:id="666"/>
    </w:p>
    <w:bookmarkEnd w:id="667"/>
    <w:bookmarkEnd w:id="668"/>
    <w:p w14:paraId="0D24895F">
      <w:pPr>
        <w:pStyle w:val="100"/>
        <w:widowControl w:val="0"/>
        <w:wordWrap w:val="0"/>
        <w:adjustRightInd w:val="0"/>
        <w:snapToGrid w:val="0"/>
        <w:ind w:firstLine="0"/>
        <w:jc w:val="center"/>
        <w:rPr>
          <w:rFonts w:ascii="宋体" w:hAnsi="宋体" w:eastAsia="宋体" w:cs="宋体"/>
          <w:b/>
          <w:snapToGrid w:val="0"/>
          <w:sz w:val="21"/>
          <w:szCs w:val="21"/>
        </w:rPr>
      </w:pPr>
    </w:p>
    <w:p w14:paraId="4DB6B882">
      <w:pPr>
        <w:pStyle w:val="100"/>
        <w:widowControl w:val="0"/>
        <w:wordWrap w:val="0"/>
        <w:adjustRightInd w:val="0"/>
        <w:snapToGrid w:val="0"/>
        <w:spacing w:line="360" w:lineRule="auto"/>
        <w:ind w:firstLine="0"/>
        <w:jc w:val="center"/>
        <w:rPr>
          <w:rFonts w:ascii="宋体" w:hAnsi="宋体" w:eastAsia="宋体" w:cs="宋体"/>
          <w:kern w:val="1"/>
          <w:sz w:val="24"/>
          <w:szCs w:val="24"/>
        </w:rPr>
      </w:pPr>
      <w:r>
        <w:rPr>
          <w:rFonts w:hint="eastAsia" w:ascii="宋体" w:hAnsi="宋体" w:eastAsia="宋体" w:cs="宋体"/>
          <w:b/>
          <w:snapToGrid w:val="0"/>
          <w:sz w:val="24"/>
          <w:szCs w:val="24"/>
        </w:rPr>
        <w:t>工程项目报价表</w:t>
      </w:r>
    </w:p>
    <w:tbl>
      <w:tblPr>
        <w:tblStyle w:val="31"/>
        <w:tblW w:w="8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2559"/>
        <w:gridCol w:w="2733"/>
        <w:gridCol w:w="1750"/>
      </w:tblGrid>
      <w:tr w14:paraId="082A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9"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auto"/>
            <w:vAlign w:val="center"/>
          </w:tcPr>
          <w:p w14:paraId="75D13980">
            <w:pPr>
              <w:jc w:val="center"/>
            </w:pPr>
            <w:r>
              <w:rPr>
                <w:rFonts w:hint="eastAsia"/>
              </w:rPr>
              <w:t>序号</w:t>
            </w:r>
          </w:p>
        </w:tc>
        <w:tc>
          <w:tcPr>
            <w:tcW w:w="2559" w:type="dxa"/>
            <w:tcBorders>
              <w:top w:val="single" w:color="auto" w:sz="4" w:space="0"/>
              <w:left w:val="single" w:color="auto" w:sz="4" w:space="0"/>
              <w:bottom w:val="single" w:color="auto" w:sz="4" w:space="0"/>
              <w:right w:val="single" w:color="auto" w:sz="4" w:space="0"/>
            </w:tcBorders>
            <w:shd w:val="clear" w:color="auto" w:fill="auto"/>
            <w:vAlign w:val="center"/>
          </w:tcPr>
          <w:p w14:paraId="7697E160">
            <w:pPr>
              <w:jc w:val="center"/>
            </w:pPr>
            <w:r>
              <w:rPr>
                <w:rFonts w:hint="eastAsia"/>
              </w:rPr>
              <w:t>区域</w:t>
            </w:r>
          </w:p>
        </w:tc>
        <w:tc>
          <w:tcPr>
            <w:tcW w:w="2733" w:type="dxa"/>
            <w:tcBorders>
              <w:top w:val="single" w:color="auto" w:sz="4" w:space="0"/>
              <w:left w:val="single" w:color="auto" w:sz="4" w:space="0"/>
              <w:bottom w:val="single" w:color="auto" w:sz="4" w:space="0"/>
              <w:right w:val="single" w:color="auto" w:sz="4" w:space="0"/>
            </w:tcBorders>
            <w:shd w:val="clear" w:color="auto" w:fill="auto"/>
            <w:vAlign w:val="center"/>
          </w:tcPr>
          <w:p w14:paraId="3BAE2612">
            <w:pPr>
              <w:jc w:val="center"/>
            </w:pPr>
            <w:r>
              <w:rPr>
                <w:rFonts w:hint="eastAsia"/>
              </w:rPr>
              <w:t>投标报价（元）</w:t>
            </w:r>
          </w:p>
        </w:tc>
        <w:tc>
          <w:tcPr>
            <w:tcW w:w="1750" w:type="dxa"/>
            <w:tcBorders>
              <w:top w:val="single" w:color="auto" w:sz="4" w:space="0"/>
              <w:left w:val="single" w:color="auto" w:sz="4" w:space="0"/>
              <w:bottom w:val="single" w:color="auto" w:sz="4" w:space="0"/>
              <w:right w:val="single" w:color="auto" w:sz="4" w:space="0"/>
            </w:tcBorders>
            <w:shd w:val="clear" w:color="auto" w:fill="auto"/>
            <w:vAlign w:val="center"/>
          </w:tcPr>
          <w:p w14:paraId="22F766AB">
            <w:pPr>
              <w:jc w:val="center"/>
            </w:pPr>
            <w:r>
              <w:rPr>
                <w:rFonts w:hint="eastAsia"/>
              </w:rPr>
              <w:t>备注</w:t>
            </w:r>
          </w:p>
        </w:tc>
      </w:tr>
      <w:tr w14:paraId="2919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8"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auto"/>
            <w:vAlign w:val="center"/>
          </w:tcPr>
          <w:p w14:paraId="603EF61A">
            <w:pPr>
              <w:jc w:val="center"/>
            </w:pPr>
            <w:r>
              <w:rPr>
                <w:rFonts w:hint="eastAsia"/>
              </w:rPr>
              <w:t>1</w:t>
            </w:r>
          </w:p>
        </w:tc>
        <w:tc>
          <w:tcPr>
            <w:tcW w:w="2559" w:type="dxa"/>
            <w:tcBorders>
              <w:top w:val="single" w:color="auto" w:sz="4" w:space="0"/>
              <w:left w:val="single" w:color="auto" w:sz="4" w:space="0"/>
              <w:bottom w:val="single" w:color="auto" w:sz="4" w:space="0"/>
              <w:right w:val="single" w:color="auto" w:sz="4" w:space="0"/>
            </w:tcBorders>
            <w:shd w:val="clear" w:color="auto" w:fill="auto"/>
            <w:vAlign w:val="center"/>
          </w:tcPr>
          <w:p w14:paraId="6A7428BF">
            <w:pPr>
              <w:jc w:val="center"/>
              <w:rPr>
                <w:rFonts w:hint="default" w:eastAsia="宋体"/>
                <w:lang w:val="en-US" w:eastAsia="zh-CN"/>
              </w:rPr>
            </w:pPr>
            <w:r>
              <w:rPr>
                <w:rFonts w:hint="eastAsia" w:hAnsi="宋体" w:cs="宋体"/>
                <w:color w:val="auto"/>
                <w:szCs w:val="24"/>
              </w:rPr>
              <w:t>百年东街改造升级</w:t>
            </w:r>
          </w:p>
        </w:tc>
        <w:tc>
          <w:tcPr>
            <w:tcW w:w="2733" w:type="dxa"/>
            <w:tcBorders>
              <w:top w:val="single" w:color="auto" w:sz="4" w:space="0"/>
              <w:left w:val="single" w:color="auto" w:sz="4" w:space="0"/>
              <w:bottom w:val="single" w:color="auto" w:sz="4" w:space="0"/>
              <w:right w:val="single" w:color="auto" w:sz="4" w:space="0"/>
            </w:tcBorders>
            <w:shd w:val="clear" w:color="auto" w:fill="auto"/>
            <w:vAlign w:val="center"/>
          </w:tcPr>
          <w:p w14:paraId="054C1769">
            <w:pPr>
              <w:jc w:val="center"/>
            </w:pPr>
            <w:r>
              <w:rPr>
                <w:rFonts w:hint="eastAsia"/>
              </w:rPr>
              <w:t>　</w:t>
            </w:r>
          </w:p>
        </w:tc>
        <w:tc>
          <w:tcPr>
            <w:tcW w:w="1750" w:type="dxa"/>
            <w:tcBorders>
              <w:top w:val="single" w:color="auto" w:sz="4" w:space="0"/>
              <w:left w:val="single" w:color="auto" w:sz="4" w:space="0"/>
              <w:bottom w:val="single" w:color="auto" w:sz="4" w:space="0"/>
              <w:right w:val="single" w:color="auto" w:sz="4" w:space="0"/>
            </w:tcBorders>
            <w:shd w:val="clear" w:color="auto" w:fill="auto"/>
            <w:vAlign w:val="center"/>
          </w:tcPr>
          <w:p w14:paraId="532AB976">
            <w:pPr>
              <w:jc w:val="center"/>
              <w:rPr>
                <w:rFonts w:hint="eastAsia" w:eastAsia="宋体"/>
                <w:lang w:eastAsia="zh-CN"/>
              </w:rPr>
            </w:pPr>
            <w:r>
              <w:rPr>
                <w:rFonts w:hint="eastAsia"/>
              </w:rPr>
              <w:t>分区域开发</w:t>
            </w:r>
            <w:r>
              <w:rPr>
                <w:rFonts w:hint="eastAsia"/>
                <w:lang w:eastAsia="zh-CN"/>
              </w:rPr>
              <w:t>。</w:t>
            </w:r>
          </w:p>
        </w:tc>
      </w:tr>
      <w:tr w14:paraId="6EAD1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8"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auto"/>
            <w:vAlign w:val="center"/>
          </w:tcPr>
          <w:p w14:paraId="5CA94DC0">
            <w:pPr>
              <w:jc w:val="center"/>
            </w:pPr>
            <w:r>
              <w:rPr>
                <w:rFonts w:hint="eastAsia"/>
              </w:rPr>
              <w:t>2</w:t>
            </w:r>
          </w:p>
        </w:tc>
        <w:tc>
          <w:tcPr>
            <w:tcW w:w="2559" w:type="dxa"/>
            <w:tcBorders>
              <w:top w:val="single" w:color="auto" w:sz="4" w:space="0"/>
              <w:left w:val="single" w:color="auto" w:sz="4" w:space="0"/>
              <w:bottom w:val="single" w:color="auto" w:sz="4" w:space="0"/>
              <w:right w:val="single" w:color="auto" w:sz="4" w:space="0"/>
            </w:tcBorders>
            <w:shd w:val="clear" w:color="auto" w:fill="auto"/>
            <w:vAlign w:val="center"/>
          </w:tcPr>
          <w:p w14:paraId="6618AA45">
            <w:pPr>
              <w:jc w:val="center"/>
            </w:pPr>
            <w:r>
              <w:rPr>
                <w:rFonts w:hint="eastAsia"/>
              </w:rPr>
              <w:t>周边历史街区（包括升平路、广富新街、峰前街、群众巷</w:t>
            </w:r>
            <w:r>
              <w:rPr>
                <w:rFonts w:hint="eastAsia"/>
                <w:lang w:val="en-US" w:eastAsia="zh-CN"/>
              </w:rPr>
              <w:t>等</w:t>
            </w:r>
            <w:r>
              <w:rPr>
                <w:rFonts w:hint="eastAsia"/>
              </w:rPr>
              <w:t>）更新改造</w:t>
            </w:r>
          </w:p>
        </w:tc>
        <w:tc>
          <w:tcPr>
            <w:tcW w:w="2733" w:type="dxa"/>
            <w:tcBorders>
              <w:top w:val="single" w:color="auto" w:sz="4" w:space="0"/>
              <w:left w:val="single" w:color="auto" w:sz="4" w:space="0"/>
              <w:bottom w:val="single" w:color="auto" w:sz="4" w:space="0"/>
              <w:right w:val="single" w:color="auto" w:sz="4" w:space="0"/>
            </w:tcBorders>
            <w:shd w:val="clear" w:color="auto" w:fill="auto"/>
            <w:vAlign w:val="center"/>
          </w:tcPr>
          <w:p w14:paraId="5B490C01">
            <w:pPr>
              <w:jc w:val="center"/>
            </w:pPr>
            <w:r>
              <w:rPr>
                <w:rFonts w:hint="eastAsia"/>
              </w:rPr>
              <w:t>　</w:t>
            </w:r>
          </w:p>
        </w:tc>
        <w:tc>
          <w:tcPr>
            <w:tcW w:w="1750" w:type="dxa"/>
            <w:tcBorders>
              <w:top w:val="single" w:color="auto" w:sz="4" w:space="0"/>
              <w:left w:val="single" w:color="auto" w:sz="4" w:space="0"/>
              <w:bottom w:val="single" w:color="auto" w:sz="4" w:space="0"/>
              <w:right w:val="single" w:color="auto" w:sz="4" w:space="0"/>
            </w:tcBorders>
            <w:shd w:val="clear" w:color="auto" w:fill="auto"/>
            <w:vAlign w:val="center"/>
          </w:tcPr>
          <w:p w14:paraId="1C5E74A2">
            <w:pPr>
              <w:jc w:val="center"/>
              <w:rPr>
                <w:rFonts w:hint="eastAsia" w:eastAsia="宋体"/>
                <w:lang w:eastAsia="zh-CN"/>
              </w:rPr>
            </w:pPr>
            <w:r>
              <w:rPr>
                <w:rFonts w:hint="eastAsia"/>
              </w:rPr>
              <w:t>分区域开发</w:t>
            </w:r>
            <w:r>
              <w:rPr>
                <w:rFonts w:hint="eastAsia"/>
                <w:lang w:eastAsia="zh-CN"/>
              </w:rPr>
              <w:t>。</w:t>
            </w:r>
          </w:p>
        </w:tc>
      </w:tr>
      <w:tr w14:paraId="3623C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8"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auto"/>
            <w:vAlign w:val="center"/>
          </w:tcPr>
          <w:p w14:paraId="02742E10">
            <w:pPr>
              <w:jc w:val="center"/>
            </w:pPr>
            <w:r>
              <w:rPr>
                <w:rFonts w:hint="eastAsia"/>
              </w:rPr>
              <w:t>3</w:t>
            </w:r>
          </w:p>
        </w:tc>
        <w:tc>
          <w:tcPr>
            <w:tcW w:w="2559" w:type="dxa"/>
            <w:tcBorders>
              <w:top w:val="single" w:color="auto" w:sz="4" w:space="0"/>
              <w:left w:val="single" w:color="auto" w:sz="4" w:space="0"/>
              <w:bottom w:val="single" w:color="auto" w:sz="4" w:space="0"/>
              <w:right w:val="single" w:color="auto" w:sz="4" w:space="0"/>
            </w:tcBorders>
            <w:shd w:val="clear" w:color="auto" w:fill="auto"/>
            <w:vAlign w:val="center"/>
          </w:tcPr>
          <w:p w14:paraId="3E17CACB">
            <w:pPr>
              <w:jc w:val="center"/>
            </w:pPr>
            <w:r>
              <w:rPr>
                <w:rFonts w:hint="eastAsia"/>
              </w:rPr>
              <w:t>合计（1+2）：</w:t>
            </w:r>
          </w:p>
        </w:tc>
        <w:tc>
          <w:tcPr>
            <w:tcW w:w="2733" w:type="dxa"/>
            <w:tcBorders>
              <w:top w:val="single" w:color="auto" w:sz="4" w:space="0"/>
              <w:left w:val="single" w:color="auto" w:sz="4" w:space="0"/>
              <w:bottom w:val="single" w:color="auto" w:sz="4" w:space="0"/>
              <w:right w:val="single" w:color="auto" w:sz="4" w:space="0"/>
            </w:tcBorders>
            <w:shd w:val="clear" w:color="auto" w:fill="auto"/>
            <w:vAlign w:val="center"/>
          </w:tcPr>
          <w:p w14:paraId="31CBA351">
            <w:pPr>
              <w:jc w:val="center"/>
            </w:pPr>
            <w:r>
              <w:rPr>
                <w:rFonts w:hint="eastAsia"/>
              </w:rPr>
              <w:t>　</w:t>
            </w:r>
          </w:p>
        </w:tc>
        <w:tc>
          <w:tcPr>
            <w:tcW w:w="1750" w:type="dxa"/>
            <w:tcBorders>
              <w:top w:val="single" w:color="auto" w:sz="4" w:space="0"/>
              <w:left w:val="single" w:color="auto" w:sz="4" w:space="0"/>
              <w:bottom w:val="single" w:color="auto" w:sz="4" w:space="0"/>
              <w:right w:val="single" w:color="auto" w:sz="4" w:space="0"/>
            </w:tcBorders>
            <w:shd w:val="clear" w:color="auto" w:fill="auto"/>
            <w:vAlign w:val="center"/>
          </w:tcPr>
          <w:p w14:paraId="6C453589">
            <w:pPr>
              <w:jc w:val="center"/>
            </w:pPr>
          </w:p>
        </w:tc>
      </w:tr>
    </w:tbl>
    <w:p w14:paraId="1529D27C">
      <w:pPr>
        <w:adjustRightInd w:val="0"/>
        <w:snapToGrid w:val="0"/>
        <w:spacing w:line="360" w:lineRule="auto"/>
        <w:ind w:left="33" w:leftChars="-100" w:hanging="273" w:hangingChars="114"/>
        <w:rPr>
          <w:kern w:val="1"/>
          <w:szCs w:val="21"/>
        </w:rPr>
      </w:pPr>
    </w:p>
    <w:p w14:paraId="007C9440">
      <w:pPr>
        <w:adjustRightInd w:val="0"/>
        <w:snapToGrid w:val="0"/>
        <w:spacing w:line="360" w:lineRule="auto"/>
        <w:ind w:left="-1" w:leftChars="-100" w:hanging="239" w:hangingChars="114"/>
        <w:rPr>
          <w:kern w:val="1"/>
          <w:szCs w:val="21"/>
        </w:rPr>
      </w:pPr>
      <w:r>
        <w:rPr>
          <w:rFonts w:hint="eastAsia"/>
          <w:kern w:val="1"/>
          <w:sz w:val="21"/>
          <w:szCs w:val="21"/>
        </w:rPr>
        <w:t>备注：</w:t>
      </w:r>
    </w:p>
    <w:p w14:paraId="46500D61">
      <w:pPr>
        <w:wordWrap w:val="0"/>
        <w:adjustRightInd w:val="0"/>
        <w:snapToGrid w:val="0"/>
        <w:spacing w:line="360" w:lineRule="auto"/>
        <w:rPr>
          <w:kern w:val="1"/>
          <w:szCs w:val="21"/>
        </w:rPr>
      </w:pPr>
      <w:bookmarkStart w:id="669" w:name="_Toc6224"/>
      <w:bookmarkStart w:id="670" w:name="_Toc16931"/>
      <w:r>
        <w:rPr>
          <w:rFonts w:hint="eastAsia"/>
          <w:kern w:val="1"/>
          <w:sz w:val="21"/>
          <w:szCs w:val="21"/>
          <w:lang w:eastAsia="zh-CN"/>
        </w:rPr>
        <w:t>1.</w:t>
      </w:r>
      <w:r>
        <w:rPr>
          <w:rFonts w:hint="eastAsia"/>
          <w:kern w:val="1"/>
          <w:sz w:val="21"/>
          <w:szCs w:val="21"/>
        </w:rPr>
        <w:t>投标报价超过最高投标限价为无效报价。</w:t>
      </w:r>
      <w:bookmarkEnd w:id="669"/>
      <w:bookmarkEnd w:id="670"/>
    </w:p>
    <w:p w14:paraId="081E0993">
      <w:pPr>
        <w:wordWrap w:val="0"/>
        <w:adjustRightInd w:val="0"/>
        <w:snapToGrid w:val="0"/>
        <w:spacing w:line="360" w:lineRule="auto"/>
        <w:rPr>
          <w:kern w:val="1"/>
          <w:szCs w:val="21"/>
        </w:rPr>
      </w:pPr>
      <w:r>
        <w:rPr>
          <w:rFonts w:hint="eastAsia"/>
          <w:kern w:val="1"/>
          <w:sz w:val="21"/>
          <w:szCs w:val="21"/>
          <w:lang w:eastAsia="zh-CN"/>
        </w:rPr>
        <w:t>2.</w:t>
      </w:r>
      <w:r>
        <w:rPr>
          <w:rFonts w:hint="eastAsia"/>
          <w:kern w:val="1"/>
          <w:sz w:val="21"/>
          <w:szCs w:val="21"/>
        </w:rPr>
        <w:t>投标报价均按“四舍五入”原则精确到两位小数。</w:t>
      </w:r>
    </w:p>
    <w:p w14:paraId="03620859">
      <w:pPr>
        <w:wordWrap w:val="0"/>
        <w:adjustRightInd w:val="0"/>
        <w:snapToGrid w:val="0"/>
        <w:spacing w:line="360" w:lineRule="auto"/>
        <w:rPr>
          <w:kern w:val="1"/>
          <w:szCs w:val="21"/>
        </w:rPr>
      </w:pPr>
      <w:bookmarkStart w:id="671" w:name="_Toc22686"/>
      <w:bookmarkStart w:id="672" w:name="_Toc32045"/>
      <w:r>
        <w:rPr>
          <w:rFonts w:hint="eastAsia"/>
          <w:kern w:val="1"/>
          <w:sz w:val="21"/>
          <w:szCs w:val="21"/>
          <w:lang w:eastAsia="zh-CN"/>
        </w:rPr>
        <w:t>3.</w:t>
      </w:r>
      <w:r>
        <w:rPr>
          <w:rFonts w:hint="eastAsia"/>
          <w:kern w:val="1"/>
          <w:sz w:val="21"/>
          <w:szCs w:val="21"/>
        </w:rPr>
        <w:t>以上投标报价均为含税报价（增值税）。</w:t>
      </w:r>
      <w:bookmarkEnd w:id="671"/>
      <w:bookmarkEnd w:id="672"/>
    </w:p>
    <w:p w14:paraId="62E6FDCB">
      <w:pPr>
        <w:wordWrap w:val="0"/>
        <w:adjustRightInd w:val="0"/>
        <w:snapToGrid w:val="0"/>
        <w:spacing w:line="360" w:lineRule="auto"/>
        <w:rPr>
          <w:kern w:val="1"/>
          <w:szCs w:val="21"/>
        </w:rPr>
      </w:pPr>
    </w:p>
    <w:p w14:paraId="52A34F2E">
      <w:pPr>
        <w:wordWrap w:val="0"/>
        <w:adjustRightInd w:val="0"/>
        <w:snapToGrid w:val="0"/>
        <w:spacing w:line="360" w:lineRule="auto"/>
        <w:ind w:firstLine="0" w:firstLineChars="0"/>
        <w:jc w:val="right"/>
        <w:rPr>
          <w:szCs w:val="21"/>
        </w:rPr>
      </w:pPr>
      <w:r>
        <w:rPr>
          <w:rFonts w:hint="eastAsia"/>
          <w:snapToGrid w:val="0"/>
          <w:sz w:val="21"/>
          <w:szCs w:val="21"/>
        </w:rPr>
        <w:t>投标人：</w:t>
      </w:r>
      <w:r>
        <w:rPr>
          <w:rFonts w:hint="eastAsia"/>
          <w:snapToGrid w:val="0"/>
          <w:sz w:val="21"/>
          <w:szCs w:val="21"/>
          <w:u w:val="single"/>
        </w:rPr>
        <w:t xml:space="preserve">                              </w:t>
      </w:r>
      <w:r>
        <w:rPr>
          <w:rFonts w:hint="eastAsia"/>
          <w:snapToGrid w:val="0"/>
          <w:sz w:val="21"/>
          <w:szCs w:val="21"/>
        </w:rPr>
        <w:t>（盖单位章）</w:t>
      </w:r>
    </w:p>
    <w:p w14:paraId="5E2169E8">
      <w:pPr>
        <w:wordWrap w:val="0"/>
        <w:adjustRightInd w:val="0"/>
        <w:snapToGrid w:val="0"/>
        <w:spacing w:line="360" w:lineRule="auto"/>
        <w:ind w:firstLine="420" w:firstLineChars="200"/>
        <w:jc w:val="right"/>
        <w:rPr>
          <w:snapToGrid w:val="0"/>
          <w:szCs w:val="21"/>
        </w:rPr>
      </w:pPr>
      <w:r>
        <w:rPr>
          <w:rFonts w:hint="eastAsia"/>
          <w:snapToGrid w:val="0"/>
          <w:sz w:val="21"/>
          <w:szCs w:val="21"/>
        </w:rPr>
        <w:t xml:space="preserve"> 法定代表人或其委托代理人：</w:t>
      </w:r>
      <w:r>
        <w:rPr>
          <w:rFonts w:hint="eastAsia"/>
          <w:snapToGrid w:val="0"/>
          <w:sz w:val="21"/>
          <w:szCs w:val="21"/>
          <w:u w:val="single"/>
        </w:rPr>
        <w:t xml:space="preserve">          </w:t>
      </w:r>
      <w:r>
        <w:rPr>
          <w:rFonts w:hint="eastAsia"/>
          <w:snapToGrid w:val="0"/>
          <w:sz w:val="21"/>
          <w:szCs w:val="21"/>
        </w:rPr>
        <w:t>（签字或盖章）</w:t>
      </w:r>
    </w:p>
    <w:p w14:paraId="42E8CD16">
      <w:pPr>
        <w:wordWrap w:val="0"/>
        <w:adjustRightInd w:val="0"/>
        <w:snapToGrid w:val="0"/>
        <w:spacing w:line="360" w:lineRule="auto"/>
        <w:jc w:val="right"/>
        <w:rPr>
          <w:b/>
          <w:snapToGrid w:val="0"/>
          <w:szCs w:val="21"/>
        </w:rPr>
      </w:pPr>
      <w:r>
        <w:rPr>
          <w:rFonts w:hint="eastAsia"/>
          <w:snapToGrid w:val="0"/>
          <w:sz w:val="21"/>
          <w:szCs w:val="21"/>
        </w:rPr>
        <w:t xml:space="preserve">    </w:t>
      </w:r>
      <w:r>
        <w:rPr>
          <w:rFonts w:hint="eastAsia"/>
          <w:snapToGrid w:val="0"/>
          <w:sz w:val="21"/>
          <w:szCs w:val="21"/>
          <w:u w:val="single"/>
        </w:rPr>
        <w:t xml:space="preserve">       </w:t>
      </w:r>
      <w:r>
        <w:rPr>
          <w:rFonts w:hint="eastAsia"/>
          <w:snapToGrid w:val="0"/>
          <w:sz w:val="21"/>
          <w:szCs w:val="21"/>
        </w:rPr>
        <w:t>年</w:t>
      </w:r>
      <w:r>
        <w:rPr>
          <w:rFonts w:hint="eastAsia"/>
          <w:snapToGrid w:val="0"/>
          <w:sz w:val="21"/>
          <w:szCs w:val="21"/>
          <w:u w:val="single"/>
        </w:rPr>
        <w:t xml:space="preserve">     </w:t>
      </w:r>
      <w:r>
        <w:rPr>
          <w:rFonts w:hint="eastAsia"/>
          <w:snapToGrid w:val="0"/>
          <w:sz w:val="21"/>
          <w:szCs w:val="21"/>
        </w:rPr>
        <w:t>月</w:t>
      </w:r>
      <w:r>
        <w:rPr>
          <w:rFonts w:hint="eastAsia"/>
          <w:snapToGrid w:val="0"/>
          <w:sz w:val="21"/>
          <w:szCs w:val="21"/>
          <w:u w:val="single"/>
        </w:rPr>
        <w:t xml:space="preserve">     </w:t>
      </w:r>
      <w:r>
        <w:rPr>
          <w:rFonts w:hint="eastAsia"/>
          <w:snapToGrid w:val="0"/>
          <w:sz w:val="21"/>
          <w:szCs w:val="21"/>
        </w:rPr>
        <w:t>日</w:t>
      </w:r>
    </w:p>
    <w:p w14:paraId="78109CBB">
      <w:pPr>
        <w:pStyle w:val="3"/>
        <w:rPr>
          <w:rStyle w:val="40"/>
          <w:rFonts w:ascii="宋体" w:hAnsi="宋体"/>
          <w:b/>
          <w:bCs/>
          <w:sz w:val="21"/>
          <w:szCs w:val="21"/>
        </w:rPr>
      </w:pPr>
      <w:r>
        <w:rPr>
          <w:rFonts w:hint="eastAsia" w:ascii="宋体" w:hAnsi="宋体"/>
          <w:b/>
          <w:snapToGrid w:val="0"/>
          <w:sz w:val="21"/>
          <w:szCs w:val="21"/>
        </w:rPr>
        <w:br w:type="page"/>
      </w:r>
      <w:bookmarkStart w:id="673" w:name="_Toc24971"/>
      <w:bookmarkStart w:id="674" w:name="_Toc28754"/>
      <w:bookmarkStart w:id="675" w:name="_Toc32669"/>
      <w:bookmarkStart w:id="676" w:name="_Toc13247"/>
      <w:r>
        <w:rPr>
          <w:rStyle w:val="40"/>
          <w:rFonts w:hint="eastAsia" w:ascii="宋体" w:hAnsi="宋体"/>
          <w:b/>
          <w:bCs/>
          <w:sz w:val="24"/>
        </w:rPr>
        <w:t>格式四 各项承诺一览表</w:t>
      </w:r>
      <w:bookmarkEnd w:id="673"/>
      <w:bookmarkEnd w:id="674"/>
      <w:bookmarkEnd w:id="675"/>
      <w:bookmarkEnd w:id="676"/>
    </w:p>
    <w:p w14:paraId="3059A6AC">
      <w:pPr>
        <w:spacing w:before="100" w:after="100"/>
        <w:jc w:val="center"/>
        <w:rPr>
          <w:b/>
        </w:rPr>
      </w:pPr>
      <w:r>
        <w:rPr>
          <w:rFonts w:hint="eastAsia"/>
          <w:b/>
        </w:rPr>
        <w:t>各项承诺一览表</w:t>
      </w:r>
    </w:p>
    <w:tbl>
      <w:tblPr>
        <w:tblStyle w:val="31"/>
        <w:tblW w:w="8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6"/>
        <w:gridCol w:w="1383"/>
        <w:gridCol w:w="2979"/>
        <w:gridCol w:w="3767"/>
      </w:tblGrid>
      <w:tr w14:paraId="30E39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786" w:type="dxa"/>
          </w:tcPr>
          <w:p w14:paraId="7A5BEE2C">
            <w:pPr>
              <w:adjustRightInd w:val="0"/>
              <w:snapToGrid w:val="0"/>
              <w:spacing w:line="410" w:lineRule="exact"/>
              <w:jc w:val="center"/>
              <w:rPr>
                <w:b/>
              </w:rPr>
            </w:pPr>
            <w:r>
              <w:rPr>
                <w:rFonts w:hint="eastAsia"/>
                <w:b/>
              </w:rPr>
              <w:t>序号</w:t>
            </w:r>
          </w:p>
        </w:tc>
        <w:tc>
          <w:tcPr>
            <w:tcW w:w="1383" w:type="dxa"/>
          </w:tcPr>
          <w:p w14:paraId="33CCF815">
            <w:pPr>
              <w:adjustRightInd w:val="0"/>
              <w:snapToGrid w:val="0"/>
              <w:spacing w:line="410" w:lineRule="exact"/>
              <w:jc w:val="center"/>
              <w:rPr>
                <w:b/>
              </w:rPr>
            </w:pPr>
            <w:r>
              <w:rPr>
                <w:rFonts w:hint="eastAsia"/>
                <w:b/>
              </w:rPr>
              <w:t>承诺标题</w:t>
            </w:r>
          </w:p>
        </w:tc>
        <w:tc>
          <w:tcPr>
            <w:tcW w:w="2979" w:type="dxa"/>
          </w:tcPr>
          <w:p w14:paraId="59561F42">
            <w:pPr>
              <w:adjustRightInd w:val="0"/>
              <w:snapToGrid w:val="0"/>
              <w:spacing w:line="410" w:lineRule="exact"/>
              <w:jc w:val="center"/>
              <w:rPr>
                <w:b/>
              </w:rPr>
            </w:pPr>
            <w:r>
              <w:rPr>
                <w:rFonts w:hint="eastAsia"/>
                <w:b/>
              </w:rPr>
              <w:t>承诺内容</w:t>
            </w:r>
          </w:p>
        </w:tc>
        <w:tc>
          <w:tcPr>
            <w:tcW w:w="3767" w:type="dxa"/>
            <w:tcBorders>
              <w:bottom w:val="single" w:color="auto" w:sz="4" w:space="0"/>
            </w:tcBorders>
          </w:tcPr>
          <w:p w14:paraId="57FA1AD1">
            <w:pPr>
              <w:adjustRightInd w:val="0"/>
              <w:snapToGrid w:val="0"/>
              <w:spacing w:line="410" w:lineRule="exact"/>
              <w:jc w:val="center"/>
              <w:rPr>
                <w:b/>
              </w:rPr>
            </w:pPr>
            <w:r>
              <w:rPr>
                <w:rFonts w:hint="eastAsia"/>
                <w:b/>
              </w:rPr>
              <w:t>违约承诺</w:t>
            </w:r>
          </w:p>
        </w:tc>
      </w:tr>
      <w:tr w14:paraId="319C6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0" w:hRule="atLeast"/>
          <w:jc w:val="center"/>
        </w:trPr>
        <w:tc>
          <w:tcPr>
            <w:tcW w:w="786" w:type="dxa"/>
            <w:vAlign w:val="center"/>
          </w:tcPr>
          <w:p w14:paraId="261A0609">
            <w:pPr>
              <w:adjustRightInd w:val="0"/>
              <w:snapToGrid w:val="0"/>
              <w:spacing w:line="360" w:lineRule="exact"/>
              <w:jc w:val="center"/>
            </w:pPr>
            <w:r>
              <w:rPr>
                <w:rFonts w:hint="eastAsia"/>
              </w:rPr>
              <w:t>1</w:t>
            </w:r>
          </w:p>
        </w:tc>
        <w:tc>
          <w:tcPr>
            <w:tcW w:w="1383" w:type="dxa"/>
            <w:vAlign w:val="center"/>
          </w:tcPr>
          <w:p w14:paraId="4F663E0B">
            <w:pPr>
              <w:pStyle w:val="12"/>
              <w:adjustRightInd w:val="0"/>
              <w:snapToGrid w:val="0"/>
              <w:spacing w:line="360" w:lineRule="exact"/>
              <w:ind w:firstLine="0" w:firstLineChars="0"/>
              <w:jc w:val="center"/>
            </w:pPr>
            <w:r>
              <w:rPr>
                <w:rFonts w:hint="eastAsia"/>
              </w:rPr>
              <w:t>对招标文件条款自愿接受承诺</w:t>
            </w:r>
          </w:p>
        </w:tc>
        <w:tc>
          <w:tcPr>
            <w:tcW w:w="2979" w:type="dxa"/>
            <w:vAlign w:val="center"/>
          </w:tcPr>
          <w:p w14:paraId="2066FD5F">
            <w:pPr>
              <w:pStyle w:val="12"/>
              <w:adjustRightInd w:val="0"/>
              <w:snapToGrid w:val="0"/>
              <w:spacing w:line="360" w:lineRule="exact"/>
              <w:ind w:firstLine="0" w:firstLineChars="0"/>
            </w:pPr>
            <w:r>
              <w:rPr>
                <w:rFonts w:hint="eastAsia"/>
              </w:rPr>
              <w:t xml:space="preserve">  我方保证接受招标文件的所有条款，响应招标文件的</w:t>
            </w:r>
            <w:bookmarkStart w:id="677" w:name="_Hlt66510765"/>
            <w:bookmarkEnd w:id="677"/>
            <w:r>
              <w:rPr>
                <w:rFonts w:hint="eastAsia"/>
              </w:rPr>
              <w:t>所有要求。</w:t>
            </w:r>
          </w:p>
        </w:tc>
        <w:tc>
          <w:tcPr>
            <w:tcW w:w="3767" w:type="dxa"/>
            <w:tcBorders>
              <w:tr2bl w:val="single" w:color="auto" w:sz="4" w:space="0"/>
            </w:tcBorders>
            <w:vAlign w:val="center"/>
          </w:tcPr>
          <w:p w14:paraId="2A12E308">
            <w:pPr>
              <w:pStyle w:val="12"/>
              <w:adjustRightInd w:val="0"/>
              <w:snapToGrid w:val="0"/>
              <w:spacing w:line="360" w:lineRule="exact"/>
              <w:ind w:firstLine="480"/>
            </w:pPr>
          </w:p>
        </w:tc>
      </w:tr>
      <w:tr w14:paraId="5C455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84" w:hRule="atLeast"/>
          <w:jc w:val="center"/>
        </w:trPr>
        <w:tc>
          <w:tcPr>
            <w:tcW w:w="786" w:type="dxa"/>
            <w:vAlign w:val="center"/>
          </w:tcPr>
          <w:p w14:paraId="577221DE">
            <w:pPr>
              <w:adjustRightInd w:val="0"/>
              <w:snapToGrid w:val="0"/>
              <w:spacing w:line="360" w:lineRule="exact"/>
              <w:jc w:val="center"/>
            </w:pPr>
            <w:r>
              <w:rPr>
                <w:rFonts w:hint="eastAsia"/>
              </w:rPr>
              <w:t>2</w:t>
            </w:r>
          </w:p>
        </w:tc>
        <w:tc>
          <w:tcPr>
            <w:tcW w:w="1383" w:type="dxa"/>
            <w:vAlign w:val="center"/>
          </w:tcPr>
          <w:p w14:paraId="508A1BB6">
            <w:pPr>
              <w:pStyle w:val="12"/>
              <w:adjustRightInd w:val="0"/>
              <w:snapToGrid w:val="0"/>
              <w:spacing w:line="360" w:lineRule="exact"/>
              <w:ind w:firstLine="0" w:firstLineChars="0"/>
              <w:jc w:val="center"/>
            </w:pPr>
            <w:r>
              <w:rPr>
                <w:rFonts w:hint="eastAsia"/>
              </w:rPr>
              <w:t>履约保证金承诺</w:t>
            </w:r>
          </w:p>
        </w:tc>
        <w:tc>
          <w:tcPr>
            <w:tcW w:w="2979" w:type="dxa"/>
            <w:vAlign w:val="center"/>
          </w:tcPr>
          <w:p w14:paraId="5D55FBB1">
            <w:pPr>
              <w:pStyle w:val="12"/>
              <w:adjustRightInd w:val="0"/>
              <w:snapToGrid w:val="0"/>
              <w:spacing w:line="360" w:lineRule="exact"/>
              <w:ind w:firstLine="0" w:firstLineChars="0"/>
            </w:pPr>
            <w:r>
              <w:rPr>
                <w:rFonts w:hint="eastAsia"/>
              </w:rPr>
              <w:t xml:space="preserve">   我方保证按时缴纳全部履约保证金</w:t>
            </w:r>
            <w:bookmarkStart w:id="678" w:name="_Hlt104711307"/>
            <w:bookmarkEnd w:id="678"/>
            <w:r>
              <w:rPr>
                <w:rFonts w:hint="eastAsia"/>
              </w:rPr>
              <w:t>。</w:t>
            </w:r>
          </w:p>
        </w:tc>
        <w:tc>
          <w:tcPr>
            <w:tcW w:w="3767" w:type="dxa"/>
            <w:vAlign w:val="center"/>
          </w:tcPr>
          <w:p w14:paraId="46A5A8B1">
            <w:pPr>
              <w:pStyle w:val="12"/>
              <w:adjustRightInd w:val="0"/>
              <w:snapToGrid w:val="0"/>
              <w:spacing w:line="360" w:lineRule="exact"/>
              <w:ind w:firstLine="480"/>
            </w:pPr>
            <w:r>
              <w:rPr>
                <w:rFonts w:hint="eastAsia"/>
              </w:rPr>
              <w:t>在设计过程中，如由于我方自身的资金、技术、质量、非不可抗力等原因给招标人造成经济损失、工期延误时，或未能按招标文件所约定的各项承诺完成时，我方同意扣除相应履约保证金，并承担由此引起的所有责任。</w:t>
            </w:r>
          </w:p>
        </w:tc>
      </w:tr>
      <w:tr w14:paraId="04E9A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72" w:hRule="atLeast"/>
          <w:jc w:val="center"/>
        </w:trPr>
        <w:tc>
          <w:tcPr>
            <w:tcW w:w="786" w:type="dxa"/>
            <w:vAlign w:val="center"/>
          </w:tcPr>
          <w:p w14:paraId="6C2690DA">
            <w:pPr>
              <w:pStyle w:val="12"/>
              <w:adjustRightInd w:val="0"/>
              <w:snapToGrid w:val="0"/>
              <w:spacing w:line="360" w:lineRule="exact"/>
              <w:ind w:firstLine="240" w:firstLineChars="100"/>
            </w:pPr>
            <w:r>
              <w:rPr>
                <w:rFonts w:hint="eastAsia"/>
              </w:rPr>
              <w:t>3</w:t>
            </w:r>
          </w:p>
        </w:tc>
        <w:tc>
          <w:tcPr>
            <w:tcW w:w="1383" w:type="dxa"/>
            <w:vAlign w:val="center"/>
          </w:tcPr>
          <w:p w14:paraId="1E8FFC73">
            <w:pPr>
              <w:pStyle w:val="12"/>
              <w:adjustRightInd w:val="0"/>
              <w:snapToGrid w:val="0"/>
              <w:spacing w:line="360" w:lineRule="exact"/>
              <w:ind w:firstLine="0" w:firstLineChars="0"/>
              <w:jc w:val="center"/>
            </w:pPr>
            <w:r>
              <w:rPr>
                <w:rFonts w:hint="eastAsia"/>
              </w:rPr>
              <w:t>无禁止投标情形的承诺</w:t>
            </w:r>
          </w:p>
        </w:tc>
        <w:tc>
          <w:tcPr>
            <w:tcW w:w="2979" w:type="dxa"/>
            <w:vAlign w:val="center"/>
          </w:tcPr>
          <w:p w14:paraId="14D487FE">
            <w:pPr>
              <w:pStyle w:val="12"/>
              <w:adjustRightInd w:val="0"/>
              <w:snapToGrid w:val="0"/>
              <w:spacing w:line="360" w:lineRule="exact"/>
              <w:ind w:firstLine="240" w:firstLineChars="100"/>
            </w:pPr>
            <w:r>
              <w:rPr>
                <w:rFonts w:hint="eastAsia"/>
              </w:rPr>
              <w:t>我方不存在招标文件第一章第三节第4.4条“禁止投标条款”规定的任何一种情形。</w:t>
            </w:r>
          </w:p>
        </w:tc>
        <w:tc>
          <w:tcPr>
            <w:tcW w:w="3767" w:type="dxa"/>
            <w:vAlign w:val="center"/>
          </w:tcPr>
          <w:p w14:paraId="3871E84D">
            <w:pPr>
              <w:pStyle w:val="12"/>
              <w:adjustRightInd w:val="0"/>
              <w:snapToGrid w:val="0"/>
              <w:spacing w:line="360" w:lineRule="exact"/>
              <w:ind w:firstLine="240" w:firstLineChars="100"/>
            </w:pPr>
            <w:r>
              <w:rPr>
                <w:rFonts w:hint="eastAsia"/>
              </w:rPr>
              <w:t>如果我方有招标文件第一章第三节第4.4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088D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7" w:hRule="atLeast"/>
          <w:jc w:val="center"/>
        </w:trPr>
        <w:tc>
          <w:tcPr>
            <w:tcW w:w="786" w:type="dxa"/>
            <w:vAlign w:val="center"/>
          </w:tcPr>
          <w:p w14:paraId="11DEAE58">
            <w:pPr>
              <w:adjustRightInd w:val="0"/>
              <w:snapToGrid w:val="0"/>
              <w:spacing w:line="360" w:lineRule="exact"/>
              <w:jc w:val="center"/>
            </w:pPr>
            <w:r>
              <w:rPr>
                <w:rFonts w:hint="eastAsia"/>
              </w:rPr>
              <w:t>4</w:t>
            </w:r>
          </w:p>
        </w:tc>
        <w:tc>
          <w:tcPr>
            <w:tcW w:w="1383" w:type="dxa"/>
            <w:vAlign w:val="center"/>
          </w:tcPr>
          <w:p w14:paraId="26D31A7F">
            <w:pPr>
              <w:pStyle w:val="12"/>
              <w:adjustRightInd w:val="0"/>
              <w:snapToGrid w:val="0"/>
              <w:spacing w:line="360" w:lineRule="exact"/>
              <w:ind w:firstLine="0" w:firstLineChars="0"/>
              <w:jc w:val="center"/>
            </w:pPr>
            <w:r>
              <w:rPr>
                <w:rFonts w:hint="eastAsia"/>
              </w:rPr>
              <w:t>工期、进度承诺</w:t>
            </w:r>
          </w:p>
        </w:tc>
        <w:tc>
          <w:tcPr>
            <w:tcW w:w="2979" w:type="dxa"/>
            <w:vAlign w:val="center"/>
          </w:tcPr>
          <w:p w14:paraId="0BAC3A47">
            <w:pPr>
              <w:pStyle w:val="12"/>
              <w:adjustRightInd w:val="0"/>
              <w:snapToGrid w:val="0"/>
              <w:spacing w:line="360" w:lineRule="exact"/>
              <w:ind w:firstLine="480"/>
            </w:pPr>
            <w:r>
              <w:rPr>
                <w:rFonts w:hint="eastAsia"/>
              </w:rPr>
              <w:t>我方保证在与招标人签定设计合同后壹天内开工，并在招标文件规定要求的设计工期内完成全部招标工程。</w:t>
            </w:r>
          </w:p>
          <w:p w14:paraId="69447BD9">
            <w:pPr>
              <w:pStyle w:val="12"/>
              <w:adjustRightInd w:val="0"/>
              <w:snapToGrid w:val="0"/>
              <w:spacing w:line="360" w:lineRule="exact"/>
              <w:ind w:firstLine="480"/>
            </w:pPr>
            <w:r>
              <w:rPr>
                <w:rFonts w:hint="eastAsia"/>
              </w:rPr>
              <w:t>我方保证按我方投标文件中的设计进度计划完成设计任务。</w:t>
            </w:r>
          </w:p>
        </w:tc>
        <w:tc>
          <w:tcPr>
            <w:tcW w:w="3767" w:type="dxa"/>
            <w:vAlign w:val="center"/>
          </w:tcPr>
          <w:p w14:paraId="03502DAB">
            <w:pPr>
              <w:pStyle w:val="12"/>
              <w:adjustRightInd w:val="0"/>
              <w:snapToGrid w:val="0"/>
              <w:spacing w:line="360" w:lineRule="exact"/>
              <w:ind w:firstLine="480"/>
            </w:pPr>
            <w:r>
              <w:rPr>
                <w:rFonts w:hint="eastAsia"/>
              </w:rPr>
              <w:t>若因我方原因，设计没有按期完成时，我方须在逾期第壹天起每天按 设计合同价款的</w:t>
            </w:r>
            <w:r>
              <w:rPr>
                <w:rFonts w:hint="eastAsia"/>
                <w:u w:val="single"/>
              </w:rPr>
              <w:t>1.5‰</w:t>
            </w:r>
            <w:r>
              <w:rPr>
                <w:rFonts w:hint="eastAsia"/>
              </w:rPr>
              <w:t>向招标人返纳逾期违约金。</w:t>
            </w:r>
          </w:p>
          <w:p w14:paraId="35F4B9EF">
            <w:pPr>
              <w:pStyle w:val="12"/>
              <w:adjustRightInd w:val="0"/>
              <w:snapToGrid w:val="0"/>
              <w:spacing w:line="360" w:lineRule="exact"/>
              <w:ind w:firstLine="480"/>
            </w:pPr>
            <w:r>
              <w:rPr>
                <w:rFonts w:hint="eastAsia"/>
              </w:rPr>
              <w:t>若因我方原因，设计的进度未能按我方投标文件中的设计进度计划完成设计任务，延期达到30日历天，招标人有权终止合同。我方愿意承担所有由此引起的责任及经济损失。</w:t>
            </w:r>
          </w:p>
        </w:tc>
      </w:tr>
      <w:tr w14:paraId="2E04F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0" w:hRule="atLeast"/>
          <w:jc w:val="center"/>
        </w:trPr>
        <w:tc>
          <w:tcPr>
            <w:tcW w:w="786" w:type="dxa"/>
            <w:vAlign w:val="center"/>
          </w:tcPr>
          <w:p w14:paraId="4679BD8B">
            <w:pPr>
              <w:adjustRightInd w:val="0"/>
              <w:snapToGrid w:val="0"/>
              <w:spacing w:line="360" w:lineRule="exact"/>
              <w:jc w:val="center"/>
            </w:pPr>
            <w:r>
              <w:rPr>
                <w:rFonts w:hint="eastAsia"/>
              </w:rPr>
              <w:t>5</w:t>
            </w:r>
          </w:p>
        </w:tc>
        <w:tc>
          <w:tcPr>
            <w:tcW w:w="1383" w:type="dxa"/>
            <w:vAlign w:val="center"/>
          </w:tcPr>
          <w:p w14:paraId="47695EFA">
            <w:pPr>
              <w:pStyle w:val="12"/>
              <w:adjustRightInd w:val="0"/>
              <w:snapToGrid w:val="0"/>
              <w:spacing w:line="360" w:lineRule="exact"/>
              <w:ind w:firstLine="240" w:firstLineChars="100"/>
              <w:jc w:val="center"/>
            </w:pPr>
            <w:r>
              <w:rPr>
                <w:rFonts w:hint="eastAsia"/>
              </w:rPr>
              <w:t>质量承诺</w:t>
            </w:r>
          </w:p>
        </w:tc>
        <w:tc>
          <w:tcPr>
            <w:tcW w:w="2979" w:type="dxa"/>
            <w:vAlign w:val="center"/>
          </w:tcPr>
          <w:p w14:paraId="306D82B9">
            <w:pPr>
              <w:adjustRightInd w:val="0"/>
              <w:snapToGrid w:val="0"/>
              <w:spacing w:line="360" w:lineRule="exact"/>
              <w:ind w:firstLine="480" w:firstLineChars="200"/>
            </w:pPr>
            <w:r>
              <w:rPr>
                <w:rFonts w:hint="eastAsia"/>
              </w:rPr>
              <w:t>我方保证按照现行的国家、广东省规定和合同约定的技术规范、标准进行设计，按本招标文件规定的内容、时间及份数向招标人交付设计文件，并对提交的设计文件质量负责。</w:t>
            </w:r>
          </w:p>
          <w:p w14:paraId="743CCE3E">
            <w:pPr>
              <w:adjustRightInd w:val="0"/>
              <w:snapToGrid w:val="0"/>
              <w:spacing w:line="360" w:lineRule="exact"/>
              <w:ind w:firstLine="480" w:firstLineChars="200"/>
            </w:pPr>
            <w:r>
              <w:rPr>
                <w:rFonts w:hint="eastAsia"/>
              </w:rPr>
              <w:t>设计合理使用年限为50年。</w:t>
            </w:r>
          </w:p>
          <w:p w14:paraId="5BC114F6">
            <w:pPr>
              <w:adjustRightInd w:val="0"/>
              <w:snapToGrid w:val="0"/>
              <w:spacing w:line="360" w:lineRule="exact"/>
              <w:ind w:firstLine="480" w:firstLineChars="200"/>
            </w:pPr>
            <w:r>
              <w:rPr>
                <w:rFonts w:hint="eastAsia"/>
              </w:rPr>
              <w:t>我方保证按经过批准的初步设计概算（建安费）进行限额设计，并对设计文件出现的遗漏或错误负责修改或补充。</w:t>
            </w:r>
          </w:p>
        </w:tc>
        <w:tc>
          <w:tcPr>
            <w:tcW w:w="3767" w:type="dxa"/>
            <w:vAlign w:val="center"/>
          </w:tcPr>
          <w:p w14:paraId="194E058D">
            <w:pPr>
              <w:pStyle w:val="12"/>
              <w:adjustRightInd w:val="0"/>
              <w:snapToGrid w:val="0"/>
              <w:spacing w:line="360" w:lineRule="exact"/>
              <w:ind w:firstLine="480"/>
            </w:pPr>
            <w:r>
              <w:rPr>
                <w:rFonts w:hint="eastAsia"/>
              </w:rPr>
              <w:t>若因我方设计错误造成工程质量事故损失，我方除负责采取补救措施外，并保证免收损失部分的设计费，并根据损失程度向</w:t>
            </w:r>
            <w:r>
              <w:rPr>
                <w:rFonts w:hint="eastAsia"/>
                <w:lang w:eastAsia="zh-CN"/>
              </w:rPr>
              <w:t>招标人</w:t>
            </w:r>
            <w:r>
              <w:rPr>
                <w:rFonts w:hint="eastAsia"/>
              </w:rPr>
              <w:t>支付赔偿金，赔偿金为直接损失部分设计费的300%。造成第三方损失的，由韶关市仲裁委员会进行仲裁，并根据仲裁结果承担责任。</w:t>
            </w:r>
          </w:p>
          <w:p w14:paraId="6137A014">
            <w:pPr>
              <w:pStyle w:val="12"/>
              <w:adjustRightInd w:val="0"/>
              <w:snapToGrid w:val="0"/>
              <w:spacing w:line="360" w:lineRule="exact"/>
              <w:ind w:firstLine="480"/>
            </w:pPr>
            <w:r>
              <w:rPr>
                <w:rFonts w:hint="eastAsia"/>
              </w:rPr>
              <w:t>我方同意所有违约金以及赔偿金在设计费中扣除或在履约保证金中扣除。</w:t>
            </w:r>
          </w:p>
        </w:tc>
      </w:tr>
      <w:tr w14:paraId="0BCE5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0" w:hRule="atLeast"/>
          <w:jc w:val="center"/>
        </w:trPr>
        <w:tc>
          <w:tcPr>
            <w:tcW w:w="786" w:type="dxa"/>
            <w:vAlign w:val="center"/>
          </w:tcPr>
          <w:p w14:paraId="10C6C79F">
            <w:pPr>
              <w:adjustRightInd w:val="0"/>
              <w:snapToGrid w:val="0"/>
              <w:spacing w:line="360" w:lineRule="exact"/>
              <w:jc w:val="center"/>
            </w:pPr>
            <w:r>
              <w:rPr>
                <w:rFonts w:hint="eastAsia"/>
              </w:rPr>
              <w:t>6</w:t>
            </w:r>
          </w:p>
        </w:tc>
        <w:tc>
          <w:tcPr>
            <w:tcW w:w="1383" w:type="dxa"/>
            <w:vAlign w:val="center"/>
          </w:tcPr>
          <w:p w14:paraId="34E4D0E4">
            <w:pPr>
              <w:pStyle w:val="12"/>
              <w:adjustRightInd w:val="0"/>
              <w:snapToGrid w:val="0"/>
              <w:spacing w:line="360" w:lineRule="exact"/>
              <w:ind w:firstLine="240" w:firstLineChars="100"/>
              <w:jc w:val="center"/>
            </w:pPr>
            <w:r>
              <w:rPr>
                <w:rFonts w:hint="eastAsia"/>
              </w:rPr>
              <w:t>账户承诺</w:t>
            </w:r>
          </w:p>
        </w:tc>
        <w:tc>
          <w:tcPr>
            <w:tcW w:w="2979" w:type="dxa"/>
            <w:vAlign w:val="center"/>
          </w:tcPr>
          <w:p w14:paraId="492E8229">
            <w:pPr>
              <w:adjustRightInd w:val="0"/>
              <w:snapToGrid w:val="0"/>
              <w:spacing w:line="360" w:lineRule="exact"/>
              <w:ind w:firstLine="560"/>
            </w:pPr>
            <w:r>
              <w:rPr>
                <w:rFonts w:hint="eastAsia"/>
                <w:spacing w:val="-2"/>
              </w:rPr>
              <w:t>我方保证招标人的资金随时可划入合同中规定的我方账户。</w:t>
            </w:r>
          </w:p>
        </w:tc>
        <w:tc>
          <w:tcPr>
            <w:tcW w:w="3767" w:type="dxa"/>
            <w:vAlign w:val="center"/>
          </w:tcPr>
          <w:p w14:paraId="184435BD">
            <w:pPr>
              <w:pStyle w:val="12"/>
              <w:adjustRightInd w:val="0"/>
              <w:snapToGrid w:val="0"/>
              <w:spacing w:line="360" w:lineRule="exact"/>
              <w:ind w:firstLine="472"/>
              <w:rPr>
                <w:spacing w:val="-2"/>
              </w:rPr>
            </w:pPr>
            <w:r>
              <w:rPr>
                <w:rFonts w:hint="eastAsia"/>
                <w:spacing w:val="-2"/>
              </w:rPr>
              <w:t>若因我方原因造成招标人的资金无法划入合同中规定的我方账户，如时间达到30日历天，招标人有权终止合同。我方承担由此造成的所有责任及经济损失。</w:t>
            </w:r>
          </w:p>
        </w:tc>
      </w:tr>
      <w:tr w14:paraId="0703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4" w:hRule="atLeast"/>
          <w:jc w:val="center"/>
        </w:trPr>
        <w:tc>
          <w:tcPr>
            <w:tcW w:w="786" w:type="dxa"/>
            <w:vAlign w:val="center"/>
          </w:tcPr>
          <w:p w14:paraId="068B58DC">
            <w:pPr>
              <w:adjustRightInd w:val="0"/>
              <w:snapToGrid w:val="0"/>
              <w:spacing w:line="360" w:lineRule="exact"/>
              <w:jc w:val="center"/>
            </w:pPr>
            <w:r>
              <w:rPr>
                <w:rFonts w:hint="eastAsia"/>
              </w:rPr>
              <w:t>7</w:t>
            </w:r>
          </w:p>
        </w:tc>
        <w:tc>
          <w:tcPr>
            <w:tcW w:w="1383" w:type="dxa"/>
            <w:vAlign w:val="center"/>
          </w:tcPr>
          <w:p w14:paraId="2ADCAF2A">
            <w:pPr>
              <w:pStyle w:val="12"/>
              <w:adjustRightInd w:val="0"/>
              <w:snapToGrid w:val="0"/>
              <w:spacing w:line="360" w:lineRule="exact"/>
              <w:ind w:firstLine="0" w:firstLineChars="0"/>
              <w:jc w:val="center"/>
            </w:pPr>
            <w:r>
              <w:rPr>
                <w:rFonts w:hint="eastAsia"/>
              </w:rPr>
              <w:t>项目管理班子人员承诺</w:t>
            </w:r>
          </w:p>
        </w:tc>
        <w:tc>
          <w:tcPr>
            <w:tcW w:w="2979" w:type="dxa"/>
            <w:vAlign w:val="center"/>
          </w:tcPr>
          <w:p w14:paraId="6F389D6B">
            <w:pPr>
              <w:adjustRightInd w:val="0"/>
              <w:snapToGrid w:val="0"/>
              <w:spacing w:line="360" w:lineRule="exact"/>
              <w:ind w:firstLine="560"/>
              <w:rPr>
                <w:spacing w:val="-2"/>
              </w:rPr>
            </w:pPr>
            <w:r>
              <w:rPr>
                <w:rFonts w:hint="eastAsia"/>
                <w:spacing w:val="-2"/>
              </w:rPr>
              <w:t>我方保证投标文件中所拟派的</w:t>
            </w:r>
            <w:r>
              <w:rPr>
                <w:rFonts w:hint="eastAsia"/>
                <w:spacing w:val="-2"/>
                <w:u w:val="double"/>
              </w:rPr>
              <w:t>各项目负责人</w:t>
            </w:r>
            <w:r>
              <w:rPr>
                <w:rFonts w:hint="eastAsia"/>
              </w:rPr>
              <w:t>具有相对</w:t>
            </w:r>
            <w:r>
              <w:rPr>
                <w:rFonts w:hint="eastAsia"/>
                <w:lang w:eastAsia="zh-CN"/>
              </w:rPr>
              <w:t>应</w:t>
            </w:r>
            <w:r>
              <w:rPr>
                <w:rFonts w:hint="eastAsia"/>
              </w:rPr>
              <w:t>的注册资格证书。拟派人员全部到位，负责各自职责。</w:t>
            </w:r>
          </w:p>
        </w:tc>
        <w:tc>
          <w:tcPr>
            <w:tcW w:w="3767" w:type="dxa"/>
            <w:vAlign w:val="center"/>
          </w:tcPr>
          <w:p w14:paraId="69FC16CB">
            <w:pPr>
              <w:pStyle w:val="12"/>
              <w:adjustRightInd w:val="0"/>
              <w:snapToGrid w:val="0"/>
              <w:spacing w:line="360" w:lineRule="exact"/>
              <w:ind w:firstLine="472"/>
              <w:rPr>
                <w:spacing w:val="-2"/>
              </w:rPr>
            </w:pPr>
            <w:r>
              <w:rPr>
                <w:rFonts w:hint="eastAsia"/>
                <w:spacing w:val="-2"/>
              </w:rPr>
              <w:t>若我方中标后，各负责人未按时参加招标人要求出席的会议（包括图纸会审和技术交底等，具体以招标人书面通知为准），每缺席一人次扣1000元违约金。我方承担由此造成的所有责任及经济损失。</w:t>
            </w:r>
          </w:p>
        </w:tc>
      </w:tr>
      <w:tr w14:paraId="261A8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74" w:hRule="atLeast"/>
          <w:jc w:val="center"/>
        </w:trPr>
        <w:tc>
          <w:tcPr>
            <w:tcW w:w="786" w:type="dxa"/>
            <w:vAlign w:val="center"/>
          </w:tcPr>
          <w:p w14:paraId="2497D3E8">
            <w:pPr>
              <w:adjustRightInd w:val="0"/>
              <w:snapToGrid w:val="0"/>
              <w:spacing w:line="360" w:lineRule="exact"/>
              <w:jc w:val="center"/>
            </w:pPr>
            <w:r>
              <w:rPr>
                <w:rFonts w:hint="eastAsia"/>
              </w:rPr>
              <w:t>8</w:t>
            </w:r>
          </w:p>
        </w:tc>
        <w:tc>
          <w:tcPr>
            <w:tcW w:w="1383" w:type="dxa"/>
            <w:vAlign w:val="center"/>
          </w:tcPr>
          <w:p w14:paraId="6FA92ABE">
            <w:pPr>
              <w:pStyle w:val="12"/>
              <w:adjustRightInd w:val="0"/>
              <w:snapToGrid w:val="0"/>
              <w:spacing w:line="360" w:lineRule="exact"/>
              <w:ind w:firstLine="0" w:firstLineChars="0"/>
              <w:jc w:val="center"/>
            </w:pPr>
            <w:r>
              <w:rPr>
                <w:rFonts w:hint="eastAsia"/>
              </w:rPr>
              <w:t>项目负责人承诺</w:t>
            </w:r>
          </w:p>
        </w:tc>
        <w:tc>
          <w:tcPr>
            <w:tcW w:w="2979" w:type="dxa"/>
            <w:vAlign w:val="center"/>
          </w:tcPr>
          <w:p w14:paraId="47D9B575">
            <w:pPr>
              <w:pStyle w:val="12"/>
              <w:adjustRightInd w:val="0"/>
              <w:snapToGrid w:val="0"/>
              <w:spacing w:line="360" w:lineRule="exact"/>
              <w:ind w:firstLine="472"/>
              <w:rPr>
                <w:spacing w:val="-2"/>
              </w:rPr>
            </w:pPr>
            <w:r>
              <w:rPr>
                <w:rFonts w:hint="eastAsia"/>
                <w:spacing w:val="-2"/>
              </w:rPr>
              <w:t>我方保证投标文件中所拟派的</w:t>
            </w:r>
            <w:r>
              <w:rPr>
                <w:rFonts w:hint="eastAsia"/>
                <w:spacing w:val="-2"/>
                <w:u w:val="double"/>
              </w:rPr>
              <w:t>项目设计负责人</w:t>
            </w:r>
            <w:r>
              <w:rPr>
                <w:rFonts w:hint="eastAsia"/>
                <w:spacing w:val="-2"/>
              </w:rPr>
              <w:t>负责本项目设计全过程（包括方案设计、初步设计评审、初步设计修编等）。</w:t>
            </w:r>
          </w:p>
        </w:tc>
        <w:tc>
          <w:tcPr>
            <w:tcW w:w="3767" w:type="dxa"/>
            <w:vAlign w:val="center"/>
          </w:tcPr>
          <w:p w14:paraId="06131BB4">
            <w:pPr>
              <w:pStyle w:val="12"/>
              <w:adjustRightInd w:val="0"/>
              <w:snapToGrid w:val="0"/>
              <w:spacing w:line="360" w:lineRule="exact"/>
              <w:ind w:firstLine="472"/>
              <w:rPr>
                <w:spacing w:val="-2"/>
              </w:rPr>
            </w:pPr>
            <w:r>
              <w:rPr>
                <w:rFonts w:hint="eastAsia"/>
                <w:spacing w:val="-2"/>
              </w:rPr>
              <w:t>若因我方原因，</w:t>
            </w:r>
            <w:r>
              <w:rPr>
                <w:rFonts w:hint="eastAsia"/>
                <w:spacing w:val="-2"/>
                <w:u w:val="double"/>
              </w:rPr>
              <w:t>项目设计负责人</w:t>
            </w:r>
            <w:r>
              <w:rPr>
                <w:rFonts w:hint="eastAsia"/>
                <w:spacing w:val="-2"/>
              </w:rPr>
              <w:t>未准时参加本项目设计全过程（方案设计、初步设计评审、初步设计修编的技术指导）的，每缺席一次扣1000元（以</w:t>
            </w:r>
            <w:r>
              <w:rPr>
                <w:rFonts w:hint="eastAsia"/>
                <w:spacing w:val="-2"/>
                <w:lang w:eastAsia="zh-CN"/>
              </w:rPr>
              <w:t>招标人</w:t>
            </w:r>
            <w:r>
              <w:rPr>
                <w:rFonts w:hint="eastAsia"/>
                <w:spacing w:val="-2"/>
              </w:rPr>
              <w:t>发出的违约通知为准）。</w:t>
            </w:r>
          </w:p>
        </w:tc>
      </w:tr>
      <w:tr w14:paraId="42DC6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6" w:hRule="atLeast"/>
          <w:jc w:val="center"/>
        </w:trPr>
        <w:tc>
          <w:tcPr>
            <w:tcW w:w="786" w:type="dxa"/>
            <w:vAlign w:val="center"/>
          </w:tcPr>
          <w:p w14:paraId="628D141E">
            <w:pPr>
              <w:adjustRightInd w:val="0"/>
              <w:snapToGrid w:val="0"/>
              <w:spacing w:line="360" w:lineRule="exact"/>
              <w:jc w:val="center"/>
            </w:pPr>
            <w:r>
              <w:rPr>
                <w:rFonts w:hint="eastAsia"/>
              </w:rPr>
              <w:t>9</w:t>
            </w:r>
          </w:p>
        </w:tc>
        <w:tc>
          <w:tcPr>
            <w:tcW w:w="1383" w:type="dxa"/>
            <w:vAlign w:val="center"/>
          </w:tcPr>
          <w:p w14:paraId="5949B7A3">
            <w:pPr>
              <w:pStyle w:val="12"/>
              <w:adjustRightInd w:val="0"/>
              <w:snapToGrid w:val="0"/>
              <w:spacing w:line="360" w:lineRule="exact"/>
              <w:ind w:firstLine="240" w:firstLineChars="100"/>
              <w:jc w:val="center"/>
            </w:pPr>
            <w:r>
              <w:rPr>
                <w:rFonts w:hint="eastAsia"/>
              </w:rPr>
              <w:t>廉政承诺</w:t>
            </w:r>
          </w:p>
        </w:tc>
        <w:tc>
          <w:tcPr>
            <w:tcW w:w="2979" w:type="dxa"/>
            <w:vAlign w:val="center"/>
          </w:tcPr>
          <w:p w14:paraId="7C16C1E7">
            <w:pPr>
              <w:pStyle w:val="12"/>
              <w:adjustRightInd w:val="0"/>
              <w:snapToGrid w:val="0"/>
              <w:spacing w:line="360" w:lineRule="exact"/>
              <w:ind w:firstLine="240" w:firstLineChars="100"/>
              <w:rPr>
                <w:spacing w:val="-2"/>
              </w:rPr>
            </w:pPr>
            <w:r>
              <w:rPr>
                <w:rFonts w:hint="eastAsia"/>
              </w:rPr>
              <w:t>我方保证严格遵守有关法律法规及廉政规定。</w:t>
            </w:r>
          </w:p>
        </w:tc>
        <w:tc>
          <w:tcPr>
            <w:tcW w:w="3767" w:type="dxa"/>
            <w:vAlign w:val="center"/>
          </w:tcPr>
          <w:p w14:paraId="1019A505">
            <w:pPr>
              <w:adjustRightInd w:val="0"/>
              <w:snapToGrid w:val="0"/>
              <w:spacing w:line="360" w:lineRule="exact"/>
              <w:ind w:firstLine="480" w:firstLineChars="200"/>
            </w:pPr>
            <w:r>
              <w:rPr>
                <w:rFonts w:hint="eastAsia"/>
              </w:rPr>
              <w:t>如我单位及其工作人员违反本承诺规定的</w:t>
            </w:r>
            <w:r>
              <w:rPr>
                <w:rFonts w:hint="eastAsia"/>
                <w:lang w:eastAsia="zh-CN"/>
              </w:rPr>
              <w:t>，自</w:t>
            </w:r>
            <w:r>
              <w:rPr>
                <w:rFonts w:hint="eastAsia"/>
              </w:rPr>
              <w:t>愿接受党纪、</w:t>
            </w:r>
            <w:r>
              <w:rPr>
                <w:rFonts w:hint="eastAsia"/>
                <w:lang w:eastAsia="zh-CN"/>
              </w:rPr>
              <w:t>政务处分</w:t>
            </w:r>
            <w:r>
              <w:rPr>
                <w:rFonts w:hint="eastAsia"/>
              </w:rPr>
              <w:t>直至追究法律责任；给招标单位造成经济损失的，依法给予赔偿。</w:t>
            </w:r>
          </w:p>
        </w:tc>
      </w:tr>
      <w:tr w14:paraId="243AD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3" w:hRule="atLeast"/>
          <w:jc w:val="center"/>
        </w:trPr>
        <w:tc>
          <w:tcPr>
            <w:tcW w:w="786" w:type="dxa"/>
            <w:vAlign w:val="center"/>
          </w:tcPr>
          <w:p w14:paraId="1D2B5578">
            <w:pPr>
              <w:adjustRightInd w:val="0"/>
              <w:snapToGrid w:val="0"/>
              <w:spacing w:line="360" w:lineRule="exact"/>
              <w:jc w:val="center"/>
            </w:pPr>
            <w:r>
              <w:rPr>
                <w:rFonts w:hint="eastAsia"/>
              </w:rPr>
              <w:t>10</w:t>
            </w:r>
          </w:p>
        </w:tc>
        <w:tc>
          <w:tcPr>
            <w:tcW w:w="1383" w:type="dxa"/>
            <w:vAlign w:val="center"/>
          </w:tcPr>
          <w:p w14:paraId="227AAF64">
            <w:pPr>
              <w:adjustRightInd w:val="0"/>
              <w:snapToGrid w:val="0"/>
              <w:spacing w:line="360" w:lineRule="exact"/>
              <w:jc w:val="center"/>
            </w:pPr>
            <w:r>
              <w:rPr>
                <w:rFonts w:hint="eastAsia"/>
              </w:rPr>
              <w:t>投标文件信息公开承诺</w:t>
            </w:r>
          </w:p>
        </w:tc>
        <w:tc>
          <w:tcPr>
            <w:tcW w:w="2979" w:type="dxa"/>
            <w:vAlign w:val="center"/>
          </w:tcPr>
          <w:p w14:paraId="57A75E27">
            <w:pPr>
              <w:pStyle w:val="106"/>
              <w:wordWrap w:val="0"/>
              <w:adjustRightInd w:val="0"/>
              <w:snapToGrid w:val="0"/>
              <w:spacing w:line="360" w:lineRule="exact"/>
              <w:ind w:firstLine="480"/>
              <w:rPr>
                <w:rFonts w:hAnsi="宋体" w:eastAsia="宋体" w:cs="宋体"/>
                <w:snapToGrid w:val="0"/>
                <w:kern w:val="0"/>
                <w:szCs w:val="24"/>
              </w:rPr>
            </w:pPr>
            <w:r>
              <w:rPr>
                <w:rFonts w:hint="eastAsia" w:hAnsi="宋体" w:eastAsia="宋体" w:cs="宋体"/>
                <w:snapToGrid w:val="0"/>
                <w:kern w:val="0"/>
                <w:szCs w:val="24"/>
              </w:rPr>
              <w:t>我方提供完整的电子文件。如果我方成为本项目中标候选人，我方同意并授权招标人在评标结果公示期内公开我方商务经济部分的全部内容。</w:t>
            </w:r>
          </w:p>
        </w:tc>
        <w:tc>
          <w:tcPr>
            <w:tcW w:w="3767" w:type="dxa"/>
            <w:vAlign w:val="center"/>
          </w:tcPr>
          <w:p w14:paraId="4AD3DB4E">
            <w:pPr>
              <w:pStyle w:val="106"/>
              <w:wordWrap w:val="0"/>
              <w:adjustRightInd w:val="0"/>
              <w:snapToGrid w:val="0"/>
              <w:ind w:firstLine="0" w:firstLineChars="0"/>
              <w:jc w:val="left"/>
              <w:rPr>
                <w:rFonts w:hAnsi="宋体" w:eastAsia="宋体" w:cs="宋体"/>
                <w:szCs w:val="24"/>
              </w:rPr>
            </w:pPr>
            <w:r>
              <w:rPr>
                <w:rFonts w:hint="eastAsia" w:hAnsi="宋体" w:eastAsia="宋体" w:cs="宋体"/>
                <w:snapToGrid w:val="0"/>
                <w:kern w:val="0"/>
                <w:szCs w:val="24"/>
              </w:rPr>
              <w:t xml:space="preserve">   </w:t>
            </w:r>
          </w:p>
          <w:p w14:paraId="3C9110B5">
            <w:pPr>
              <w:pStyle w:val="106"/>
              <w:wordWrap w:val="0"/>
              <w:adjustRightInd w:val="0"/>
              <w:snapToGrid w:val="0"/>
              <w:spacing w:line="360" w:lineRule="exact"/>
              <w:ind w:firstLine="0" w:firstLineChars="0"/>
              <w:jc w:val="left"/>
              <w:rPr>
                <w:rFonts w:hAnsi="宋体" w:eastAsia="宋体" w:cs="宋体"/>
                <w:szCs w:val="24"/>
              </w:rPr>
            </w:pPr>
          </w:p>
        </w:tc>
      </w:tr>
      <w:tr w14:paraId="04F1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7" w:hRule="atLeast"/>
          <w:jc w:val="center"/>
        </w:trPr>
        <w:tc>
          <w:tcPr>
            <w:tcW w:w="786" w:type="dxa"/>
            <w:vAlign w:val="center"/>
          </w:tcPr>
          <w:p w14:paraId="7FD5CC8F">
            <w:pPr>
              <w:adjustRightInd w:val="0"/>
              <w:snapToGrid w:val="0"/>
              <w:spacing w:line="360" w:lineRule="exact"/>
              <w:jc w:val="center"/>
            </w:pPr>
            <w:r>
              <w:rPr>
                <w:rFonts w:hint="eastAsia"/>
              </w:rPr>
              <w:t>11</w:t>
            </w:r>
          </w:p>
        </w:tc>
        <w:tc>
          <w:tcPr>
            <w:tcW w:w="1383" w:type="dxa"/>
            <w:vAlign w:val="center"/>
          </w:tcPr>
          <w:p w14:paraId="48157A91">
            <w:pPr>
              <w:adjustRightInd w:val="0"/>
              <w:snapToGrid w:val="0"/>
              <w:spacing w:line="360" w:lineRule="exact"/>
              <w:jc w:val="center"/>
            </w:pPr>
            <w:r>
              <w:rPr>
                <w:rFonts w:hint="eastAsia"/>
              </w:rPr>
              <w:t>诚信承诺</w:t>
            </w:r>
          </w:p>
        </w:tc>
        <w:tc>
          <w:tcPr>
            <w:tcW w:w="2979" w:type="dxa"/>
            <w:vAlign w:val="center"/>
          </w:tcPr>
          <w:p w14:paraId="7B0BE6D0">
            <w:pPr>
              <w:pStyle w:val="106"/>
              <w:wordWrap w:val="0"/>
              <w:adjustRightInd w:val="0"/>
              <w:snapToGrid w:val="0"/>
              <w:spacing w:line="360" w:lineRule="exact"/>
              <w:ind w:firstLine="480"/>
              <w:rPr>
                <w:rFonts w:hAnsi="宋体" w:eastAsia="宋体" w:cs="宋体"/>
                <w:snapToGrid w:val="0"/>
                <w:kern w:val="0"/>
                <w:szCs w:val="24"/>
              </w:rPr>
            </w:pPr>
            <w:r>
              <w:rPr>
                <w:rFonts w:hint="eastAsia" w:hAnsi="宋体" w:eastAsia="宋体" w:cs="宋体"/>
                <w:snapToGrid w:val="0"/>
                <w:kern w:val="0"/>
                <w:szCs w:val="24"/>
              </w:rPr>
              <w:t>我方在此承诺，所递交投标文件的全部内容均为真实、有效、准确的，并愿意承担因我方就此弄虚作假所引起的一切法律后果，同时理解和同意有可能被要求提供更多的资料。</w:t>
            </w:r>
          </w:p>
        </w:tc>
        <w:tc>
          <w:tcPr>
            <w:tcW w:w="3767" w:type="dxa"/>
            <w:vAlign w:val="center"/>
          </w:tcPr>
          <w:p w14:paraId="12A2A71C">
            <w:pPr>
              <w:pStyle w:val="106"/>
              <w:wordWrap w:val="0"/>
              <w:adjustRightInd w:val="0"/>
              <w:snapToGrid w:val="0"/>
              <w:spacing w:line="360" w:lineRule="exact"/>
              <w:ind w:firstLine="480"/>
              <w:jc w:val="left"/>
              <w:rPr>
                <w:rFonts w:hAnsi="宋体" w:eastAsia="宋体" w:cs="宋体"/>
                <w:snapToGrid w:val="0"/>
                <w:kern w:val="0"/>
                <w:szCs w:val="24"/>
              </w:rPr>
            </w:pPr>
            <w:r>
              <w:rPr>
                <w:rFonts w:hint="eastAsia" w:hAnsi="宋体" w:eastAsia="宋体" w:cs="宋体"/>
                <w:snapToGrid w:val="0"/>
                <w:kern w:val="0"/>
                <w:szCs w:val="24"/>
              </w:rPr>
              <w:t>我方在此承诺，所递交投标文件的全部内容均为真实、有效、准确的，并愿意承担因我方就此弄虚作假所引起的一切法律后果，同时理解和同意有可能被要求提供更多的资料。</w:t>
            </w:r>
          </w:p>
        </w:tc>
      </w:tr>
    </w:tbl>
    <w:p w14:paraId="457D1CFD">
      <w:pPr>
        <w:wordWrap w:val="0"/>
        <w:adjustRightInd w:val="0"/>
        <w:snapToGrid w:val="0"/>
        <w:spacing w:line="360" w:lineRule="exact"/>
        <w:rPr>
          <w:snapToGrid w:val="0"/>
          <w:szCs w:val="21"/>
        </w:rPr>
      </w:pPr>
      <w:r>
        <w:rPr>
          <w:rFonts w:hint="eastAsia"/>
          <w:snapToGrid w:val="0"/>
          <w:sz w:val="21"/>
          <w:szCs w:val="21"/>
        </w:rPr>
        <w:t xml:space="preserve"> </w:t>
      </w:r>
    </w:p>
    <w:p w14:paraId="6BCDF9F0">
      <w:pPr>
        <w:wordWrap w:val="0"/>
        <w:adjustRightInd w:val="0"/>
        <w:snapToGrid w:val="0"/>
        <w:spacing w:line="360" w:lineRule="auto"/>
        <w:jc w:val="right"/>
        <w:rPr>
          <w:snapToGrid w:val="0"/>
        </w:rPr>
      </w:pPr>
      <w:r>
        <w:rPr>
          <w:rFonts w:hint="eastAsia"/>
          <w:snapToGrid w:val="0"/>
        </w:rPr>
        <w:t xml:space="preserve">  投标人：</w:t>
      </w:r>
      <w:r>
        <w:rPr>
          <w:rFonts w:hint="eastAsia"/>
          <w:snapToGrid w:val="0"/>
          <w:u w:val="single"/>
        </w:rPr>
        <w:t xml:space="preserve">                              </w:t>
      </w:r>
      <w:r>
        <w:rPr>
          <w:rFonts w:hint="eastAsia"/>
          <w:snapToGrid w:val="0"/>
        </w:rPr>
        <w:t>（盖单位章）</w:t>
      </w:r>
    </w:p>
    <w:p w14:paraId="57FA58D5">
      <w:pPr>
        <w:wordWrap w:val="0"/>
        <w:adjustRightInd w:val="0"/>
        <w:snapToGrid w:val="0"/>
        <w:spacing w:line="360" w:lineRule="auto"/>
        <w:ind w:firstLine="480" w:firstLineChars="200"/>
        <w:jc w:val="right"/>
        <w:rPr>
          <w:snapToGrid w:val="0"/>
        </w:rPr>
      </w:pPr>
      <w:r>
        <w:rPr>
          <w:rFonts w:hint="eastAsia"/>
          <w:snapToGrid w:val="0"/>
        </w:rPr>
        <w:t>法定代表人或其委托代理人：</w:t>
      </w:r>
      <w:r>
        <w:rPr>
          <w:rFonts w:hint="eastAsia"/>
          <w:snapToGrid w:val="0"/>
          <w:u w:val="single"/>
        </w:rPr>
        <w:t xml:space="preserve">          </w:t>
      </w:r>
      <w:r>
        <w:rPr>
          <w:rFonts w:hint="eastAsia"/>
          <w:snapToGrid w:val="0"/>
        </w:rPr>
        <w:t>（签字或盖章）</w:t>
      </w:r>
    </w:p>
    <w:p w14:paraId="3A2ECBC1">
      <w:pPr>
        <w:wordWrap w:val="0"/>
        <w:adjustRightInd w:val="0"/>
        <w:snapToGrid w:val="0"/>
        <w:spacing w:line="360" w:lineRule="auto"/>
        <w:rPr>
          <w:b/>
          <w:snapToGrid w:val="0"/>
        </w:rPr>
      </w:pPr>
      <w:r>
        <w:rPr>
          <w:rFonts w:hint="eastAsia"/>
          <w:snapToGrid w:val="0"/>
        </w:rPr>
        <w:t xml:space="preserve">                                       </w:t>
      </w:r>
      <w:r>
        <w:rPr>
          <w:rFonts w:hint="eastAsia"/>
          <w:snapToGrid w:val="0"/>
          <w:u w:val="single"/>
        </w:rPr>
        <w:t xml:space="preserve">       </w:t>
      </w:r>
      <w:r>
        <w:rPr>
          <w:rFonts w:hint="eastAsia"/>
          <w:snapToGrid w:val="0"/>
        </w:rPr>
        <w:t>年</w:t>
      </w:r>
      <w:r>
        <w:rPr>
          <w:rFonts w:hint="eastAsia"/>
          <w:snapToGrid w:val="0"/>
          <w:u w:val="single"/>
        </w:rPr>
        <w:t xml:space="preserve">     </w:t>
      </w:r>
      <w:r>
        <w:rPr>
          <w:rFonts w:hint="eastAsia"/>
          <w:snapToGrid w:val="0"/>
        </w:rPr>
        <w:t>月</w:t>
      </w:r>
      <w:r>
        <w:rPr>
          <w:rFonts w:hint="eastAsia"/>
          <w:snapToGrid w:val="0"/>
          <w:u w:val="single"/>
        </w:rPr>
        <w:t xml:space="preserve">     </w:t>
      </w:r>
      <w:r>
        <w:rPr>
          <w:rFonts w:hint="eastAsia"/>
          <w:snapToGrid w:val="0"/>
        </w:rPr>
        <w:t>日</w:t>
      </w:r>
    </w:p>
    <w:p w14:paraId="304B85ED">
      <w:pPr>
        <w:wordWrap w:val="0"/>
        <w:adjustRightInd w:val="0"/>
        <w:snapToGrid w:val="0"/>
        <w:spacing w:line="440" w:lineRule="exact"/>
        <w:outlineLvl w:val="1"/>
        <w:rPr>
          <w:b/>
          <w:bCs/>
          <w:snapToGrid w:val="0"/>
        </w:rPr>
      </w:pPr>
      <w:r>
        <w:rPr>
          <w:rFonts w:hint="eastAsia"/>
          <w:sz w:val="21"/>
          <w:szCs w:val="21"/>
        </w:rPr>
        <w:br w:type="page"/>
      </w:r>
      <w:bookmarkStart w:id="679" w:name="_Toc22549"/>
      <w:bookmarkStart w:id="680" w:name="_Toc12946"/>
      <w:bookmarkStart w:id="681" w:name="_Toc13375"/>
      <w:bookmarkStart w:id="682" w:name="_Toc15067"/>
      <w:r>
        <w:rPr>
          <w:rStyle w:val="40"/>
          <w:rFonts w:hint="eastAsia" w:ascii="宋体" w:hAnsi="宋体"/>
          <w:b/>
          <w:bCs/>
        </w:rPr>
        <w:t>格式五 投标人基本情况表</w:t>
      </w:r>
      <w:bookmarkEnd w:id="679"/>
      <w:bookmarkEnd w:id="680"/>
      <w:bookmarkEnd w:id="681"/>
      <w:bookmarkEnd w:id="682"/>
    </w:p>
    <w:p w14:paraId="5C5DB4A1">
      <w:pPr>
        <w:wordWrap w:val="0"/>
        <w:adjustRightInd w:val="0"/>
        <w:snapToGrid w:val="0"/>
        <w:spacing w:line="440" w:lineRule="exact"/>
        <w:rPr>
          <w:b/>
          <w:bCs/>
          <w:snapToGrid w:val="0"/>
          <w:szCs w:val="21"/>
        </w:rPr>
      </w:pPr>
    </w:p>
    <w:p w14:paraId="11E77509">
      <w:pPr>
        <w:pStyle w:val="100"/>
        <w:widowControl w:val="0"/>
        <w:wordWrap w:val="0"/>
        <w:adjustRightInd w:val="0"/>
        <w:snapToGrid w:val="0"/>
        <w:spacing w:line="360" w:lineRule="auto"/>
        <w:ind w:firstLine="0"/>
        <w:jc w:val="center"/>
        <w:rPr>
          <w:rFonts w:ascii="宋体" w:hAnsi="宋体" w:eastAsia="宋体" w:cs="宋体"/>
          <w:snapToGrid w:val="0"/>
          <w:sz w:val="24"/>
          <w:szCs w:val="24"/>
        </w:rPr>
      </w:pPr>
      <w:r>
        <w:rPr>
          <w:rFonts w:hint="eastAsia" w:ascii="宋体" w:hAnsi="宋体" w:eastAsia="宋体" w:cs="宋体"/>
          <w:b/>
          <w:snapToGrid w:val="0"/>
          <w:sz w:val="24"/>
          <w:szCs w:val="24"/>
        </w:rPr>
        <w:t>投标人基本情况表</w:t>
      </w:r>
    </w:p>
    <w:tbl>
      <w:tblPr>
        <w:tblStyle w:val="31"/>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1137"/>
        <w:gridCol w:w="1550"/>
        <w:gridCol w:w="1040"/>
        <w:gridCol w:w="92"/>
        <w:gridCol w:w="204"/>
        <w:gridCol w:w="999"/>
        <w:gridCol w:w="269"/>
        <w:gridCol w:w="533"/>
        <w:gridCol w:w="204"/>
        <w:gridCol w:w="1474"/>
      </w:tblGrid>
      <w:tr w14:paraId="07F2A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77818700">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投标人名称</w:t>
            </w:r>
          </w:p>
        </w:tc>
        <w:tc>
          <w:tcPr>
            <w:tcW w:w="7502" w:type="dxa"/>
            <w:gridSpan w:val="10"/>
            <w:vAlign w:val="center"/>
          </w:tcPr>
          <w:p w14:paraId="3F24F5B3">
            <w:pPr>
              <w:pStyle w:val="70"/>
              <w:wordWrap w:val="0"/>
              <w:adjustRightInd w:val="0"/>
              <w:snapToGrid w:val="0"/>
              <w:jc w:val="center"/>
              <w:rPr>
                <w:rFonts w:ascii="宋体" w:hAnsi="宋体" w:cs="宋体"/>
                <w:snapToGrid w:val="0"/>
                <w:kern w:val="0"/>
                <w:sz w:val="24"/>
              </w:rPr>
            </w:pPr>
          </w:p>
        </w:tc>
      </w:tr>
      <w:tr w14:paraId="38BB8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020B0616">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注册地址</w:t>
            </w:r>
          </w:p>
        </w:tc>
        <w:tc>
          <w:tcPr>
            <w:tcW w:w="3727" w:type="dxa"/>
            <w:gridSpan w:val="3"/>
            <w:vAlign w:val="center"/>
          </w:tcPr>
          <w:p w14:paraId="7BF5296B">
            <w:pPr>
              <w:pStyle w:val="70"/>
              <w:wordWrap w:val="0"/>
              <w:adjustRightInd w:val="0"/>
              <w:snapToGrid w:val="0"/>
              <w:jc w:val="center"/>
              <w:rPr>
                <w:rFonts w:ascii="宋体" w:hAnsi="宋体" w:cs="宋体"/>
                <w:snapToGrid w:val="0"/>
                <w:kern w:val="0"/>
                <w:sz w:val="24"/>
              </w:rPr>
            </w:pPr>
          </w:p>
        </w:tc>
        <w:tc>
          <w:tcPr>
            <w:tcW w:w="1295" w:type="dxa"/>
            <w:gridSpan w:val="3"/>
            <w:vAlign w:val="center"/>
          </w:tcPr>
          <w:p w14:paraId="0742ED41">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邮政编码</w:t>
            </w:r>
          </w:p>
        </w:tc>
        <w:tc>
          <w:tcPr>
            <w:tcW w:w="2480" w:type="dxa"/>
            <w:gridSpan w:val="4"/>
            <w:vAlign w:val="center"/>
          </w:tcPr>
          <w:p w14:paraId="2D9498ED">
            <w:pPr>
              <w:pStyle w:val="70"/>
              <w:wordWrap w:val="0"/>
              <w:adjustRightInd w:val="0"/>
              <w:snapToGrid w:val="0"/>
              <w:jc w:val="center"/>
              <w:rPr>
                <w:rFonts w:ascii="宋体" w:hAnsi="宋体" w:cs="宋体"/>
                <w:snapToGrid w:val="0"/>
                <w:kern w:val="0"/>
                <w:sz w:val="24"/>
              </w:rPr>
            </w:pPr>
          </w:p>
        </w:tc>
      </w:tr>
      <w:tr w14:paraId="365C5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Merge w:val="restart"/>
            <w:vAlign w:val="center"/>
          </w:tcPr>
          <w:p w14:paraId="0E06DA49">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联系方式</w:t>
            </w:r>
          </w:p>
        </w:tc>
        <w:tc>
          <w:tcPr>
            <w:tcW w:w="1137" w:type="dxa"/>
            <w:vAlign w:val="center"/>
          </w:tcPr>
          <w:p w14:paraId="37F0EE33">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联系人</w:t>
            </w:r>
          </w:p>
        </w:tc>
        <w:tc>
          <w:tcPr>
            <w:tcW w:w="2590" w:type="dxa"/>
            <w:gridSpan w:val="2"/>
            <w:vAlign w:val="center"/>
          </w:tcPr>
          <w:p w14:paraId="30EEDF8A">
            <w:pPr>
              <w:pStyle w:val="70"/>
              <w:wordWrap w:val="0"/>
              <w:adjustRightInd w:val="0"/>
              <w:snapToGrid w:val="0"/>
              <w:jc w:val="center"/>
              <w:rPr>
                <w:rFonts w:ascii="宋体" w:hAnsi="宋体" w:cs="宋体"/>
                <w:snapToGrid w:val="0"/>
                <w:kern w:val="0"/>
                <w:sz w:val="24"/>
              </w:rPr>
            </w:pPr>
          </w:p>
        </w:tc>
        <w:tc>
          <w:tcPr>
            <w:tcW w:w="1295" w:type="dxa"/>
            <w:gridSpan w:val="3"/>
            <w:vAlign w:val="center"/>
          </w:tcPr>
          <w:p w14:paraId="57026FC6">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电  话</w:t>
            </w:r>
          </w:p>
        </w:tc>
        <w:tc>
          <w:tcPr>
            <w:tcW w:w="2480" w:type="dxa"/>
            <w:gridSpan w:val="4"/>
            <w:vAlign w:val="center"/>
          </w:tcPr>
          <w:p w14:paraId="1386D314">
            <w:pPr>
              <w:pStyle w:val="70"/>
              <w:wordWrap w:val="0"/>
              <w:adjustRightInd w:val="0"/>
              <w:snapToGrid w:val="0"/>
              <w:jc w:val="center"/>
              <w:rPr>
                <w:rFonts w:ascii="宋体" w:hAnsi="宋体" w:cs="宋体"/>
                <w:snapToGrid w:val="0"/>
                <w:kern w:val="0"/>
                <w:sz w:val="24"/>
              </w:rPr>
            </w:pPr>
          </w:p>
        </w:tc>
      </w:tr>
      <w:tr w14:paraId="2603D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Merge w:val="continue"/>
            <w:vAlign w:val="center"/>
          </w:tcPr>
          <w:p w14:paraId="0FD1C0DD">
            <w:pPr>
              <w:pStyle w:val="70"/>
              <w:wordWrap w:val="0"/>
              <w:adjustRightInd w:val="0"/>
              <w:snapToGrid w:val="0"/>
              <w:jc w:val="center"/>
              <w:rPr>
                <w:rFonts w:ascii="宋体" w:hAnsi="宋体" w:cs="宋体"/>
                <w:snapToGrid w:val="0"/>
                <w:kern w:val="0"/>
                <w:sz w:val="24"/>
              </w:rPr>
            </w:pPr>
          </w:p>
        </w:tc>
        <w:tc>
          <w:tcPr>
            <w:tcW w:w="1137" w:type="dxa"/>
            <w:vAlign w:val="center"/>
          </w:tcPr>
          <w:p w14:paraId="7CE09009">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传  真</w:t>
            </w:r>
          </w:p>
        </w:tc>
        <w:tc>
          <w:tcPr>
            <w:tcW w:w="2590" w:type="dxa"/>
            <w:gridSpan w:val="2"/>
            <w:vAlign w:val="center"/>
          </w:tcPr>
          <w:p w14:paraId="4E029A7C">
            <w:pPr>
              <w:pStyle w:val="70"/>
              <w:wordWrap w:val="0"/>
              <w:adjustRightInd w:val="0"/>
              <w:snapToGrid w:val="0"/>
              <w:jc w:val="center"/>
              <w:rPr>
                <w:rFonts w:ascii="宋体" w:hAnsi="宋体" w:cs="宋体"/>
                <w:snapToGrid w:val="0"/>
                <w:kern w:val="0"/>
                <w:sz w:val="24"/>
              </w:rPr>
            </w:pPr>
          </w:p>
        </w:tc>
        <w:tc>
          <w:tcPr>
            <w:tcW w:w="1295" w:type="dxa"/>
            <w:gridSpan w:val="3"/>
            <w:vAlign w:val="center"/>
          </w:tcPr>
          <w:p w14:paraId="54ED7291">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电子邮箱</w:t>
            </w:r>
          </w:p>
        </w:tc>
        <w:tc>
          <w:tcPr>
            <w:tcW w:w="2480" w:type="dxa"/>
            <w:gridSpan w:val="4"/>
            <w:vAlign w:val="center"/>
          </w:tcPr>
          <w:p w14:paraId="3451179E">
            <w:pPr>
              <w:pStyle w:val="70"/>
              <w:wordWrap w:val="0"/>
              <w:adjustRightInd w:val="0"/>
              <w:snapToGrid w:val="0"/>
              <w:jc w:val="center"/>
              <w:rPr>
                <w:rFonts w:ascii="宋体" w:hAnsi="宋体" w:cs="宋体"/>
                <w:snapToGrid w:val="0"/>
                <w:kern w:val="0"/>
                <w:sz w:val="24"/>
              </w:rPr>
            </w:pPr>
          </w:p>
        </w:tc>
      </w:tr>
      <w:tr w14:paraId="0BD50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7BF467E2">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单位性质</w:t>
            </w:r>
          </w:p>
        </w:tc>
        <w:tc>
          <w:tcPr>
            <w:tcW w:w="7502" w:type="dxa"/>
            <w:gridSpan w:val="10"/>
            <w:vAlign w:val="center"/>
          </w:tcPr>
          <w:p w14:paraId="6A42481A">
            <w:pPr>
              <w:pStyle w:val="70"/>
              <w:wordWrap w:val="0"/>
              <w:adjustRightInd w:val="0"/>
              <w:snapToGrid w:val="0"/>
              <w:jc w:val="center"/>
              <w:rPr>
                <w:rFonts w:ascii="宋体" w:hAnsi="宋体" w:cs="宋体"/>
                <w:snapToGrid w:val="0"/>
                <w:kern w:val="0"/>
                <w:sz w:val="24"/>
              </w:rPr>
            </w:pPr>
          </w:p>
        </w:tc>
      </w:tr>
      <w:tr w14:paraId="457C8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06CCF2BD">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法定代表人</w:t>
            </w:r>
          </w:p>
        </w:tc>
        <w:tc>
          <w:tcPr>
            <w:tcW w:w="1137" w:type="dxa"/>
            <w:vAlign w:val="center"/>
          </w:tcPr>
          <w:p w14:paraId="7F8900C4">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姓名</w:t>
            </w:r>
          </w:p>
        </w:tc>
        <w:tc>
          <w:tcPr>
            <w:tcW w:w="1550" w:type="dxa"/>
            <w:vAlign w:val="center"/>
          </w:tcPr>
          <w:p w14:paraId="45EF63AD">
            <w:pPr>
              <w:pStyle w:val="70"/>
              <w:wordWrap w:val="0"/>
              <w:adjustRightInd w:val="0"/>
              <w:snapToGrid w:val="0"/>
              <w:jc w:val="center"/>
              <w:rPr>
                <w:rFonts w:ascii="宋体" w:hAnsi="宋体" w:cs="宋体"/>
                <w:snapToGrid w:val="0"/>
                <w:kern w:val="0"/>
                <w:sz w:val="24"/>
              </w:rPr>
            </w:pPr>
          </w:p>
        </w:tc>
        <w:tc>
          <w:tcPr>
            <w:tcW w:w="1336" w:type="dxa"/>
            <w:gridSpan w:val="3"/>
            <w:vAlign w:val="center"/>
          </w:tcPr>
          <w:p w14:paraId="0BCFC316">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技术职称</w:t>
            </w:r>
          </w:p>
        </w:tc>
        <w:tc>
          <w:tcPr>
            <w:tcW w:w="1268" w:type="dxa"/>
            <w:gridSpan w:val="2"/>
            <w:vAlign w:val="center"/>
          </w:tcPr>
          <w:p w14:paraId="3C7BD14C">
            <w:pPr>
              <w:pStyle w:val="70"/>
              <w:wordWrap w:val="0"/>
              <w:adjustRightInd w:val="0"/>
              <w:snapToGrid w:val="0"/>
              <w:jc w:val="center"/>
              <w:rPr>
                <w:rFonts w:ascii="宋体" w:hAnsi="宋体" w:cs="宋体"/>
                <w:snapToGrid w:val="0"/>
                <w:kern w:val="0"/>
                <w:sz w:val="24"/>
              </w:rPr>
            </w:pPr>
          </w:p>
        </w:tc>
        <w:tc>
          <w:tcPr>
            <w:tcW w:w="737" w:type="dxa"/>
            <w:gridSpan w:val="2"/>
            <w:vAlign w:val="center"/>
          </w:tcPr>
          <w:p w14:paraId="75193430">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电话</w:t>
            </w:r>
          </w:p>
        </w:tc>
        <w:tc>
          <w:tcPr>
            <w:tcW w:w="1474" w:type="dxa"/>
            <w:vAlign w:val="center"/>
          </w:tcPr>
          <w:p w14:paraId="62F3FEA3">
            <w:pPr>
              <w:pStyle w:val="70"/>
              <w:wordWrap w:val="0"/>
              <w:adjustRightInd w:val="0"/>
              <w:snapToGrid w:val="0"/>
              <w:jc w:val="center"/>
              <w:rPr>
                <w:rFonts w:ascii="宋体" w:hAnsi="宋体" w:cs="宋体"/>
                <w:snapToGrid w:val="0"/>
                <w:kern w:val="0"/>
                <w:sz w:val="24"/>
              </w:rPr>
            </w:pPr>
          </w:p>
        </w:tc>
      </w:tr>
      <w:tr w14:paraId="400E3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565EA234">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成立时间</w:t>
            </w:r>
          </w:p>
        </w:tc>
        <w:tc>
          <w:tcPr>
            <w:tcW w:w="2687" w:type="dxa"/>
            <w:gridSpan w:val="2"/>
            <w:vAlign w:val="center"/>
          </w:tcPr>
          <w:p w14:paraId="0781998F">
            <w:pPr>
              <w:pStyle w:val="70"/>
              <w:wordWrap w:val="0"/>
              <w:adjustRightInd w:val="0"/>
              <w:snapToGrid w:val="0"/>
              <w:jc w:val="center"/>
              <w:rPr>
                <w:rFonts w:ascii="宋体" w:hAnsi="宋体" w:cs="宋体"/>
                <w:snapToGrid w:val="0"/>
                <w:kern w:val="0"/>
                <w:sz w:val="24"/>
              </w:rPr>
            </w:pPr>
          </w:p>
        </w:tc>
        <w:tc>
          <w:tcPr>
            <w:tcW w:w="4815" w:type="dxa"/>
            <w:gridSpan w:val="8"/>
            <w:vAlign w:val="center"/>
          </w:tcPr>
          <w:p w14:paraId="11ECAF4F">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员工总人数（个）：</w:t>
            </w:r>
          </w:p>
        </w:tc>
      </w:tr>
      <w:tr w14:paraId="32A1E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7B8FF5D7">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企业资质等级</w:t>
            </w:r>
          </w:p>
        </w:tc>
        <w:tc>
          <w:tcPr>
            <w:tcW w:w="2687" w:type="dxa"/>
            <w:gridSpan w:val="2"/>
            <w:vAlign w:val="center"/>
          </w:tcPr>
          <w:p w14:paraId="5CD73077">
            <w:pPr>
              <w:pStyle w:val="70"/>
              <w:wordWrap w:val="0"/>
              <w:adjustRightInd w:val="0"/>
              <w:snapToGrid w:val="0"/>
              <w:jc w:val="center"/>
              <w:rPr>
                <w:rFonts w:ascii="宋体" w:hAnsi="宋体" w:cs="宋体"/>
                <w:snapToGrid w:val="0"/>
                <w:kern w:val="0"/>
                <w:sz w:val="24"/>
              </w:rPr>
            </w:pPr>
          </w:p>
        </w:tc>
        <w:tc>
          <w:tcPr>
            <w:tcW w:w="1132" w:type="dxa"/>
            <w:gridSpan w:val="2"/>
            <w:vMerge w:val="restart"/>
            <w:vAlign w:val="center"/>
          </w:tcPr>
          <w:p w14:paraId="466B2CB5">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其中</w:t>
            </w:r>
          </w:p>
        </w:tc>
        <w:tc>
          <w:tcPr>
            <w:tcW w:w="2005" w:type="dxa"/>
            <w:gridSpan w:val="4"/>
            <w:vAlign w:val="center"/>
          </w:tcPr>
          <w:p w14:paraId="189EEFAD">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设计负责人</w:t>
            </w:r>
          </w:p>
        </w:tc>
        <w:tc>
          <w:tcPr>
            <w:tcW w:w="1678" w:type="dxa"/>
            <w:gridSpan w:val="2"/>
            <w:vAlign w:val="center"/>
          </w:tcPr>
          <w:p w14:paraId="245D841C">
            <w:pPr>
              <w:pStyle w:val="70"/>
              <w:wordWrap w:val="0"/>
              <w:adjustRightInd w:val="0"/>
              <w:snapToGrid w:val="0"/>
              <w:jc w:val="center"/>
              <w:rPr>
                <w:rFonts w:ascii="宋体" w:hAnsi="宋体" w:cs="宋体"/>
                <w:snapToGrid w:val="0"/>
                <w:kern w:val="0"/>
                <w:sz w:val="24"/>
              </w:rPr>
            </w:pPr>
          </w:p>
        </w:tc>
      </w:tr>
      <w:tr w14:paraId="4E688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08E2078E">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营业执照号</w:t>
            </w:r>
          </w:p>
        </w:tc>
        <w:tc>
          <w:tcPr>
            <w:tcW w:w="2687" w:type="dxa"/>
            <w:gridSpan w:val="2"/>
            <w:vAlign w:val="center"/>
          </w:tcPr>
          <w:p w14:paraId="624881A4">
            <w:pPr>
              <w:pStyle w:val="70"/>
              <w:wordWrap w:val="0"/>
              <w:adjustRightInd w:val="0"/>
              <w:snapToGrid w:val="0"/>
              <w:jc w:val="center"/>
              <w:rPr>
                <w:rFonts w:ascii="宋体" w:hAnsi="宋体" w:cs="宋体"/>
                <w:snapToGrid w:val="0"/>
                <w:kern w:val="0"/>
                <w:sz w:val="24"/>
              </w:rPr>
            </w:pPr>
          </w:p>
        </w:tc>
        <w:tc>
          <w:tcPr>
            <w:tcW w:w="1132" w:type="dxa"/>
            <w:gridSpan w:val="2"/>
            <w:vMerge w:val="continue"/>
            <w:vAlign w:val="center"/>
          </w:tcPr>
          <w:p w14:paraId="12A24D1E">
            <w:pPr>
              <w:pStyle w:val="70"/>
              <w:wordWrap w:val="0"/>
              <w:adjustRightInd w:val="0"/>
              <w:snapToGrid w:val="0"/>
              <w:jc w:val="center"/>
              <w:rPr>
                <w:rFonts w:ascii="宋体" w:hAnsi="宋体" w:cs="宋体"/>
                <w:snapToGrid w:val="0"/>
                <w:kern w:val="0"/>
                <w:sz w:val="24"/>
              </w:rPr>
            </w:pPr>
          </w:p>
        </w:tc>
        <w:tc>
          <w:tcPr>
            <w:tcW w:w="2005" w:type="dxa"/>
            <w:gridSpan w:val="4"/>
            <w:vAlign w:val="center"/>
          </w:tcPr>
          <w:p w14:paraId="777537E2">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高级职称人员</w:t>
            </w:r>
          </w:p>
        </w:tc>
        <w:tc>
          <w:tcPr>
            <w:tcW w:w="1678" w:type="dxa"/>
            <w:gridSpan w:val="2"/>
            <w:vAlign w:val="center"/>
          </w:tcPr>
          <w:p w14:paraId="66EDDDF3">
            <w:pPr>
              <w:pStyle w:val="70"/>
              <w:wordWrap w:val="0"/>
              <w:adjustRightInd w:val="0"/>
              <w:snapToGrid w:val="0"/>
              <w:jc w:val="center"/>
              <w:rPr>
                <w:rFonts w:ascii="宋体" w:hAnsi="宋体" w:cs="宋体"/>
                <w:snapToGrid w:val="0"/>
                <w:kern w:val="0"/>
                <w:sz w:val="24"/>
              </w:rPr>
            </w:pPr>
          </w:p>
        </w:tc>
      </w:tr>
      <w:tr w14:paraId="7F62B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1C454636">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注册资金</w:t>
            </w:r>
          </w:p>
        </w:tc>
        <w:tc>
          <w:tcPr>
            <w:tcW w:w="2687" w:type="dxa"/>
            <w:gridSpan w:val="2"/>
            <w:vAlign w:val="center"/>
          </w:tcPr>
          <w:p w14:paraId="28A34096">
            <w:pPr>
              <w:pStyle w:val="70"/>
              <w:wordWrap w:val="0"/>
              <w:adjustRightInd w:val="0"/>
              <w:snapToGrid w:val="0"/>
              <w:jc w:val="center"/>
              <w:rPr>
                <w:rFonts w:ascii="宋体" w:hAnsi="宋体" w:cs="宋体"/>
                <w:snapToGrid w:val="0"/>
                <w:kern w:val="0"/>
                <w:sz w:val="24"/>
              </w:rPr>
            </w:pPr>
          </w:p>
        </w:tc>
        <w:tc>
          <w:tcPr>
            <w:tcW w:w="1132" w:type="dxa"/>
            <w:gridSpan w:val="2"/>
            <w:vMerge w:val="continue"/>
            <w:vAlign w:val="center"/>
          </w:tcPr>
          <w:p w14:paraId="19F19276">
            <w:pPr>
              <w:pStyle w:val="70"/>
              <w:wordWrap w:val="0"/>
              <w:adjustRightInd w:val="0"/>
              <w:snapToGrid w:val="0"/>
              <w:jc w:val="center"/>
              <w:rPr>
                <w:rFonts w:ascii="宋体" w:hAnsi="宋体" w:cs="宋体"/>
                <w:snapToGrid w:val="0"/>
                <w:kern w:val="0"/>
                <w:sz w:val="24"/>
              </w:rPr>
            </w:pPr>
          </w:p>
        </w:tc>
        <w:tc>
          <w:tcPr>
            <w:tcW w:w="2005" w:type="dxa"/>
            <w:gridSpan w:val="4"/>
            <w:vAlign w:val="center"/>
          </w:tcPr>
          <w:p w14:paraId="638C75C8">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中级职称人员</w:t>
            </w:r>
          </w:p>
        </w:tc>
        <w:tc>
          <w:tcPr>
            <w:tcW w:w="1678" w:type="dxa"/>
            <w:gridSpan w:val="2"/>
            <w:vAlign w:val="center"/>
          </w:tcPr>
          <w:p w14:paraId="1E8F6D59">
            <w:pPr>
              <w:pStyle w:val="70"/>
              <w:wordWrap w:val="0"/>
              <w:adjustRightInd w:val="0"/>
              <w:snapToGrid w:val="0"/>
              <w:jc w:val="center"/>
              <w:rPr>
                <w:rFonts w:ascii="宋体" w:hAnsi="宋体" w:cs="宋体"/>
                <w:snapToGrid w:val="0"/>
                <w:kern w:val="0"/>
                <w:sz w:val="24"/>
              </w:rPr>
            </w:pPr>
          </w:p>
        </w:tc>
      </w:tr>
      <w:tr w14:paraId="55164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08A792DF">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开户银行</w:t>
            </w:r>
          </w:p>
        </w:tc>
        <w:tc>
          <w:tcPr>
            <w:tcW w:w="2687" w:type="dxa"/>
            <w:gridSpan w:val="2"/>
            <w:vAlign w:val="center"/>
          </w:tcPr>
          <w:p w14:paraId="1FBA2B0A">
            <w:pPr>
              <w:pStyle w:val="70"/>
              <w:wordWrap w:val="0"/>
              <w:adjustRightInd w:val="0"/>
              <w:snapToGrid w:val="0"/>
              <w:jc w:val="center"/>
              <w:rPr>
                <w:rFonts w:ascii="宋体" w:hAnsi="宋体" w:cs="宋体"/>
                <w:snapToGrid w:val="0"/>
                <w:kern w:val="0"/>
                <w:sz w:val="24"/>
              </w:rPr>
            </w:pPr>
          </w:p>
        </w:tc>
        <w:tc>
          <w:tcPr>
            <w:tcW w:w="1132" w:type="dxa"/>
            <w:gridSpan w:val="2"/>
            <w:vMerge w:val="continue"/>
            <w:vAlign w:val="center"/>
          </w:tcPr>
          <w:p w14:paraId="4411D0AF">
            <w:pPr>
              <w:pStyle w:val="70"/>
              <w:wordWrap w:val="0"/>
              <w:adjustRightInd w:val="0"/>
              <w:snapToGrid w:val="0"/>
              <w:jc w:val="center"/>
              <w:rPr>
                <w:rFonts w:ascii="宋体" w:hAnsi="宋体" w:cs="宋体"/>
                <w:snapToGrid w:val="0"/>
                <w:kern w:val="0"/>
                <w:sz w:val="24"/>
              </w:rPr>
            </w:pPr>
          </w:p>
        </w:tc>
        <w:tc>
          <w:tcPr>
            <w:tcW w:w="2005" w:type="dxa"/>
            <w:gridSpan w:val="4"/>
            <w:vAlign w:val="center"/>
          </w:tcPr>
          <w:p w14:paraId="7A7FB04C">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初级职称人员</w:t>
            </w:r>
          </w:p>
        </w:tc>
        <w:tc>
          <w:tcPr>
            <w:tcW w:w="1678" w:type="dxa"/>
            <w:gridSpan w:val="2"/>
            <w:vAlign w:val="center"/>
          </w:tcPr>
          <w:p w14:paraId="0F9B54F0">
            <w:pPr>
              <w:pStyle w:val="70"/>
              <w:wordWrap w:val="0"/>
              <w:adjustRightInd w:val="0"/>
              <w:snapToGrid w:val="0"/>
              <w:jc w:val="center"/>
              <w:rPr>
                <w:rFonts w:ascii="宋体" w:hAnsi="宋体" w:cs="宋体"/>
                <w:snapToGrid w:val="0"/>
                <w:kern w:val="0"/>
                <w:sz w:val="24"/>
              </w:rPr>
            </w:pPr>
          </w:p>
        </w:tc>
      </w:tr>
      <w:tr w14:paraId="2E76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51FA1F8C">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账号</w:t>
            </w:r>
          </w:p>
        </w:tc>
        <w:tc>
          <w:tcPr>
            <w:tcW w:w="2687" w:type="dxa"/>
            <w:gridSpan w:val="2"/>
            <w:vAlign w:val="center"/>
          </w:tcPr>
          <w:p w14:paraId="039911B5">
            <w:pPr>
              <w:pStyle w:val="70"/>
              <w:wordWrap w:val="0"/>
              <w:adjustRightInd w:val="0"/>
              <w:snapToGrid w:val="0"/>
              <w:jc w:val="center"/>
              <w:rPr>
                <w:rFonts w:ascii="宋体" w:hAnsi="宋体" w:cs="宋体"/>
                <w:snapToGrid w:val="0"/>
                <w:kern w:val="0"/>
                <w:sz w:val="24"/>
              </w:rPr>
            </w:pPr>
          </w:p>
        </w:tc>
        <w:tc>
          <w:tcPr>
            <w:tcW w:w="1132" w:type="dxa"/>
            <w:gridSpan w:val="2"/>
            <w:vMerge w:val="continue"/>
            <w:vAlign w:val="center"/>
          </w:tcPr>
          <w:p w14:paraId="22490A0C">
            <w:pPr>
              <w:pStyle w:val="70"/>
              <w:wordWrap w:val="0"/>
              <w:adjustRightInd w:val="0"/>
              <w:snapToGrid w:val="0"/>
              <w:jc w:val="center"/>
              <w:rPr>
                <w:rFonts w:ascii="宋体" w:hAnsi="宋体" w:cs="宋体"/>
                <w:snapToGrid w:val="0"/>
                <w:kern w:val="0"/>
                <w:sz w:val="24"/>
              </w:rPr>
            </w:pPr>
          </w:p>
        </w:tc>
        <w:tc>
          <w:tcPr>
            <w:tcW w:w="2005" w:type="dxa"/>
            <w:gridSpan w:val="4"/>
            <w:vAlign w:val="center"/>
          </w:tcPr>
          <w:p w14:paraId="67133829">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技术员</w:t>
            </w:r>
          </w:p>
        </w:tc>
        <w:tc>
          <w:tcPr>
            <w:tcW w:w="1678" w:type="dxa"/>
            <w:gridSpan w:val="2"/>
            <w:vAlign w:val="center"/>
          </w:tcPr>
          <w:p w14:paraId="675E79DF">
            <w:pPr>
              <w:pStyle w:val="70"/>
              <w:wordWrap w:val="0"/>
              <w:adjustRightInd w:val="0"/>
              <w:snapToGrid w:val="0"/>
              <w:jc w:val="center"/>
              <w:rPr>
                <w:rFonts w:ascii="宋体" w:hAnsi="宋体" w:cs="宋体"/>
                <w:snapToGrid w:val="0"/>
                <w:kern w:val="0"/>
                <w:sz w:val="24"/>
              </w:rPr>
            </w:pPr>
          </w:p>
        </w:tc>
      </w:tr>
      <w:tr w14:paraId="73695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exact"/>
          <w:jc w:val="center"/>
        </w:trPr>
        <w:tc>
          <w:tcPr>
            <w:tcW w:w="1777" w:type="dxa"/>
            <w:vAlign w:val="center"/>
          </w:tcPr>
          <w:p w14:paraId="0E337135">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经营范围</w:t>
            </w:r>
          </w:p>
        </w:tc>
        <w:tc>
          <w:tcPr>
            <w:tcW w:w="7502" w:type="dxa"/>
            <w:gridSpan w:val="10"/>
            <w:vAlign w:val="center"/>
          </w:tcPr>
          <w:p w14:paraId="668ABC5E">
            <w:pPr>
              <w:pStyle w:val="70"/>
              <w:wordWrap w:val="0"/>
              <w:adjustRightInd w:val="0"/>
              <w:snapToGrid w:val="0"/>
              <w:jc w:val="center"/>
              <w:rPr>
                <w:rFonts w:ascii="宋体" w:hAnsi="宋体" w:cs="宋体"/>
                <w:snapToGrid w:val="0"/>
                <w:kern w:val="0"/>
                <w:sz w:val="24"/>
              </w:rPr>
            </w:pPr>
          </w:p>
        </w:tc>
      </w:tr>
      <w:tr w14:paraId="09FF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exact"/>
          <w:jc w:val="center"/>
        </w:trPr>
        <w:tc>
          <w:tcPr>
            <w:tcW w:w="1777" w:type="dxa"/>
            <w:vAlign w:val="center"/>
          </w:tcPr>
          <w:p w14:paraId="2A84E42D">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关联企业情况</w:t>
            </w:r>
          </w:p>
        </w:tc>
        <w:tc>
          <w:tcPr>
            <w:tcW w:w="7502" w:type="dxa"/>
            <w:gridSpan w:val="10"/>
            <w:vAlign w:val="center"/>
          </w:tcPr>
          <w:p w14:paraId="4732491F">
            <w:pPr>
              <w:pStyle w:val="70"/>
              <w:wordWrap w:val="0"/>
              <w:adjustRightInd w:val="0"/>
              <w:snapToGrid w:val="0"/>
              <w:rPr>
                <w:rFonts w:ascii="宋体" w:hAnsi="宋体" w:cs="宋体"/>
                <w:snapToGrid w:val="0"/>
                <w:kern w:val="0"/>
                <w:sz w:val="24"/>
              </w:rPr>
            </w:pPr>
            <w:r>
              <w:rPr>
                <w:rFonts w:hint="eastAsia" w:ascii="宋体" w:hAnsi="宋体" w:cs="宋体"/>
                <w:snapToGrid w:val="0"/>
                <w:kern w:val="0"/>
                <w:sz w:val="24"/>
              </w:rPr>
              <w:t>包括但不限于与投标人存在以下关系的不同单位：</w:t>
            </w:r>
          </w:p>
          <w:p w14:paraId="6F2BFBA2">
            <w:pPr>
              <w:pStyle w:val="70"/>
              <w:wordWrap w:val="0"/>
              <w:adjustRightInd w:val="0"/>
              <w:snapToGrid w:val="0"/>
              <w:rPr>
                <w:rFonts w:ascii="宋体" w:hAnsi="宋体" w:cs="宋体"/>
                <w:snapToGrid w:val="0"/>
                <w:kern w:val="0"/>
                <w:sz w:val="24"/>
              </w:rPr>
            </w:pPr>
            <w:r>
              <w:rPr>
                <w:rFonts w:hint="eastAsia" w:ascii="宋体" w:hAnsi="宋体" w:cs="宋体"/>
                <w:snapToGrid w:val="0"/>
                <w:kern w:val="0"/>
                <w:sz w:val="24"/>
                <w:lang w:eastAsia="zh-CN"/>
              </w:rPr>
              <w:t>1.</w:t>
            </w:r>
            <w:r>
              <w:rPr>
                <w:rFonts w:hint="eastAsia" w:ascii="宋体" w:hAnsi="宋体" w:cs="宋体"/>
                <w:snapToGrid w:val="0"/>
                <w:kern w:val="0"/>
                <w:sz w:val="24"/>
              </w:rPr>
              <w:t>法定代表人为同一人的。</w:t>
            </w:r>
          </w:p>
          <w:p w14:paraId="056159BC">
            <w:pPr>
              <w:pStyle w:val="70"/>
              <w:wordWrap w:val="0"/>
              <w:adjustRightInd w:val="0"/>
              <w:snapToGrid w:val="0"/>
              <w:rPr>
                <w:rFonts w:ascii="宋体" w:hAnsi="宋体" w:cs="宋体"/>
                <w:snapToGrid w:val="0"/>
                <w:kern w:val="0"/>
                <w:sz w:val="24"/>
              </w:rPr>
            </w:pPr>
            <w:r>
              <w:rPr>
                <w:rFonts w:hint="eastAsia" w:ascii="宋体" w:hAnsi="宋体" w:cs="宋体"/>
                <w:snapToGrid w:val="0"/>
                <w:kern w:val="0"/>
                <w:sz w:val="24"/>
                <w:lang w:eastAsia="zh-CN"/>
              </w:rPr>
              <w:t>2.</w:t>
            </w:r>
            <w:r>
              <w:rPr>
                <w:rFonts w:hint="eastAsia" w:ascii="宋体" w:hAnsi="宋体" w:cs="宋体"/>
                <w:snapToGrid w:val="0"/>
                <w:kern w:val="0"/>
                <w:sz w:val="24"/>
              </w:rPr>
              <w:t>存在控股、管理关系的。</w:t>
            </w:r>
          </w:p>
          <w:p w14:paraId="02BC39B9">
            <w:pPr>
              <w:pStyle w:val="70"/>
              <w:wordWrap w:val="0"/>
              <w:adjustRightInd w:val="0"/>
              <w:snapToGrid w:val="0"/>
              <w:jc w:val="left"/>
              <w:rPr>
                <w:rFonts w:ascii="宋体" w:hAnsi="宋体" w:cs="宋体"/>
                <w:snapToGrid w:val="0"/>
                <w:kern w:val="0"/>
                <w:sz w:val="24"/>
              </w:rPr>
            </w:pPr>
            <w:r>
              <w:rPr>
                <w:rFonts w:hint="eastAsia" w:ascii="宋体" w:hAnsi="宋体" w:cs="宋体"/>
                <w:snapToGrid w:val="0"/>
                <w:kern w:val="0"/>
                <w:sz w:val="24"/>
                <w:lang w:eastAsia="zh-CN"/>
              </w:rPr>
              <w:t>3.</w:t>
            </w:r>
            <w:r>
              <w:rPr>
                <w:rFonts w:hint="eastAsia" w:ascii="宋体" w:hAnsi="宋体" w:cs="宋体"/>
                <w:snapToGrid w:val="0"/>
                <w:kern w:val="0"/>
                <w:sz w:val="24"/>
              </w:rPr>
              <w:t>主要人员相互任职的。</w:t>
            </w:r>
          </w:p>
        </w:tc>
      </w:tr>
      <w:tr w14:paraId="59E0B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1777" w:type="dxa"/>
            <w:vAlign w:val="center"/>
          </w:tcPr>
          <w:p w14:paraId="1A717720">
            <w:pPr>
              <w:pStyle w:val="70"/>
              <w:wordWrap w:val="0"/>
              <w:adjustRightInd w:val="0"/>
              <w:snapToGrid w:val="0"/>
              <w:jc w:val="center"/>
              <w:rPr>
                <w:rFonts w:ascii="宋体" w:hAnsi="宋体" w:cs="宋体"/>
                <w:snapToGrid w:val="0"/>
                <w:kern w:val="0"/>
                <w:sz w:val="24"/>
              </w:rPr>
            </w:pPr>
            <w:r>
              <w:rPr>
                <w:rFonts w:hint="eastAsia" w:ascii="宋体" w:hAnsi="宋体" w:cs="宋体"/>
                <w:snapToGrid w:val="0"/>
                <w:kern w:val="0"/>
                <w:sz w:val="24"/>
              </w:rPr>
              <w:t>备注</w:t>
            </w:r>
          </w:p>
        </w:tc>
        <w:tc>
          <w:tcPr>
            <w:tcW w:w="7502" w:type="dxa"/>
            <w:gridSpan w:val="10"/>
            <w:vAlign w:val="center"/>
          </w:tcPr>
          <w:p w14:paraId="0DF3B7D9">
            <w:pPr>
              <w:pStyle w:val="70"/>
              <w:wordWrap w:val="0"/>
              <w:adjustRightInd w:val="0"/>
              <w:snapToGrid w:val="0"/>
              <w:jc w:val="center"/>
              <w:rPr>
                <w:rFonts w:ascii="宋体" w:hAnsi="宋体" w:cs="宋体"/>
                <w:snapToGrid w:val="0"/>
                <w:kern w:val="0"/>
                <w:sz w:val="24"/>
              </w:rPr>
            </w:pPr>
          </w:p>
        </w:tc>
      </w:tr>
    </w:tbl>
    <w:p w14:paraId="1BF40351">
      <w:pPr>
        <w:pStyle w:val="70"/>
        <w:wordWrap w:val="0"/>
        <w:adjustRightInd w:val="0"/>
        <w:snapToGrid w:val="0"/>
        <w:spacing w:line="400" w:lineRule="exact"/>
        <w:ind w:firstLine="420" w:firstLineChars="200"/>
        <w:rPr>
          <w:rFonts w:ascii="宋体" w:hAnsi="宋体" w:cs="宋体"/>
          <w:snapToGrid w:val="0"/>
          <w:kern w:val="0"/>
          <w:szCs w:val="21"/>
        </w:rPr>
      </w:pPr>
    </w:p>
    <w:p w14:paraId="7B300B45">
      <w:pPr>
        <w:pStyle w:val="70"/>
        <w:wordWrap w:val="0"/>
        <w:adjustRightInd w:val="0"/>
        <w:snapToGrid w:val="0"/>
        <w:spacing w:line="400" w:lineRule="exact"/>
        <w:ind w:firstLine="420" w:firstLineChars="200"/>
        <w:rPr>
          <w:rFonts w:ascii="宋体" w:hAnsi="宋体" w:cs="宋体"/>
          <w:snapToGrid w:val="0"/>
          <w:kern w:val="0"/>
          <w:szCs w:val="21"/>
        </w:rPr>
      </w:pPr>
      <w:r>
        <w:rPr>
          <w:rFonts w:hint="eastAsia" w:ascii="宋体" w:hAnsi="宋体" w:cs="宋体"/>
          <w:snapToGrid w:val="0"/>
          <w:kern w:val="0"/>
          <w:szCs w:val="21"/>
        </w:rPr>
        <w:t>说明：</w:t>
      </w:r>
    </w:p>
    <w:p w14:paraId="7D2D55E4">
      <w:pPr>
        <w:pStyle w:val="70"/>
        <w:wordWrap w:val="0"/>
        <w:adjustRightInd w:val="0"/>
        <w:snapToGrid w:val="0"/>
        <w:spacing w:line="400" w:lineRule="exact"/>
        <w:ind w:firstLine="420" w:firstLineChars="200"/>
        <w:rPr>
          <w:rFonts w:ascii="宋体" w:hAnsi="宋体" w:cs="宋体"/>
          <w:snapToGrid w:val="0"/>
          <w:kern w:val="0"/>
          <w:szCs w:val="21"/>
        </w:rPr>
      </w:pPr>
      <w:bookmarkStart w:id="683" w:name="_Toc21165"/>
      <w:bookmarkStart w:id="684" w:name="_Toc29870"/>
      <w:r>
        <w:rPr>
          <w:rFonts w:hint="eastAsia" w:ascii="宋体" w:hAnsi="宋体" w:cs="宋体"/>
          <w:snapToGrid w:val="0"/>
          <w:kern w:val="0"/>
          <w:szCs w:val="21"/>
        </w:rPr>
        <w:t>1.《投标人基本情况表》后应附以下资料：</w:t>
      </w:r>
      <w:bookmarkEnd w:id="683"/>
      <w:bookmarkEnd w:id="684"/>
    </w:p>
    <w:p w14:paraId="4F450762">
      <w:pPr>
        <w:pStyle w:val="70"/>
        <w:wordWrap w:val="0"/>
        <w:adjustRightInd w:val="0"/>
        <w:snapToGrid w:val="0"/>
        <w:spacing w:line="400" w:lineRule="exact"/>
        <w:ind w:firstLine="420" w:firstLineChars="200"/>
        <w:rPr>
          <w:rFonts w:ascii="宋体" w:hAnsi="宋体" w:cs="宋体"/>
          <w:snapToGrid w:val="0"/>
          <w:kern w:val="0"/>
          <w:szCs w:val="21"/>
        </w:rPr>
      </w:pPr>
      <w:r>
        <w:rPr>
          <w:rFonts w:hint="eastAsia" w:ascii="宋体" w:hAnsi="宋体" w:cs="宋体"/>
          <w:snapToGrid w:val="0"/>
          <w:kern w:val="0"/>
          <w:szCs w:val="21"/>
        </w:rPr>
        <w:t>（1）企业营业执照、资质证书的彩色扫描件；</w:t>
      </w:r>
    </w:p>
    <w:p w14:paraId="263928AC">
      <w:pPr>
        <w:pStyle w:val="70"/>
        <w:wordWrap w:val="0"/>
        <w:adjustRightInd w:val="0"/>
        <w:snapToGrid w:val="0"/>
        <w:spacing w:line="400" w:lineRule="exact"/>
        <w:ind w:firstLine="420" w:firstLineChars="200"/>
        <w:rPr>
          <w:rFonts w:ascii="宋体" w:hAnsi="宋体" w:cs="宋体"/>
          <w:snapToGrid w:val="0"/>
          <w:kern w:val="0"/>
          <w:szCs w:val="21"/>
        </w:rPr>
      </w:pPr>
      <w:r>
        <w:rPr>
          <w:rFonts w:hint="eastAsia" w:ascii="宋体" w:hAnsi="宋体" w:cs="宋体"/>
          <w:snapToGrid w:val="0"/>
          <w:kern w:val="0"/>
          <w:szCs w:val="21"/>
        </w:rPr>
        <w:t>（2）“进粤企业和人员诚信信息登记平台”企业信息情况打印页。（适用于省外企业）；</w:t>
      </w:r>
    </w:p>
    <w:p w14:paraId="79DA21CD">
      <w:pPr>
        <w:pStyle w:val="70"/>
        <w:wordWrap w:val="0"/>
        <w:adjustRightInd w:val="0"/>
        <w:snapToGrid w:val="0"/>
        <w:spacing w:line="400" w:lineRule="exact"/>
        <w:ind w:firstLine="420" w:firstLineChars="200"/>
        <w:rPr>
          <w:rFonts w:ascii="宋体" w:hAnsi="宋体" w:cs="宋体"/>
          <w:snapToGrid w:val="0"/>
          <w:kern w:val="0"/>
          <w:szCs w:val="21"/>
        </w:rPr>
      </w:pPr>
      <w:r>
        <w:rPr>
          <w:rFonts w:hint="eastAsia" w:ascii="宋体" w:hAnsi="宋体" w:cs="宋体"/>
          <w:snapToGrid w:val="0"/>
          <w:kern w:val="0"/>
          <w:szCs w:val="21"/>
          <w:lang w:eastAsia="zh-CN"/>
        </w:rPr>
        <w:t>2.</w:t>
      </w:r>
      <w:r>
        <w:rPr>
          <w:rFonts w:hint="eastAsia" w:ascii="宋体" w:hAnsi="宋体" w:cs="宋体"/>
          <w:snapToGrid w:val="0"/>
          <w:kern w:val="0"/>
          <w:szCs w:val="21"/>
        </w:rPr>
        <w:t>联合体投标的，联合体成员单位均应填写《投标人基本情况表》并提供以上所需资料。</w:t>
      </w:r>
    </w:p>
    <w:p w14:paraId="404FB513">
      <w:pPr>
        <w:wordWrap w:val="0"/>
        <w:adjustRightInd w:val="0"/>
        <w:snapToGrid w:val="0"/>
        <w:spacing w:line="440" w:lineRule="exact"/>
        <w:outlineLvl w:val="1"/>
        <w:rPr>
          <w:b/>
          <w:bCs/>
          <w:snapToGrid w:val="0"/>
        </w:rPr>
      </w:pPr>
      <w:r>
        <w:rPr>
          <w:rFonts w:hint="eastAsia"/>
          <w:b/>
          <w:bCs/>
          <w:sz w:val="21"/>
          <w:szCs w:val="21"/>
        </w:rPr>
        <w:br w:type="page"/>
      </w:r>
      <w:bookmarkStart w:id="685" w:name="_Toc2740"/>
      <w:bookmarkStart w:id="686" w:name="_Toc6071"/>
      <w:bookmarkStart w:id="687" w:name="_Toc29917"/>
      <w:bookmarkStart w:id="688" w:name="_Toc12787"/>
      <w:r>
        <w:rPr>
          <w:rStyle w:val="40"/>
          <w:rFonts w:hint="eastAsia" w:ascii="宋体" w:hAnsi="宋体"/>
          <w:b/>
          <w:bCs/>
        </w:rPr>
        <w:t>格式六 项目设计负责人简历表</w:t>
      </w:r>
      <w:bookmarkEnd w:id="685"/>
      <w:bookmarkEnd w:id="686"/>
      <w:bookmarkEnd w:id="687"/>
      <w:bookmarkEnd w:id="688"/>
    </w:p>
    <w:p w14:paraId="4CE280A1">
      <w:pPr>
        <w:wordWrap w:val="0"/>
        <w:adjustRightInd w:val="0"/>
        <w:snapToGrid w:val="0"/>
        <w:spacing w:line="440" w:lineRule="exact"/>
        <w:rPr>
          <w:b/>
          <w:bCs/>
          <w:snapToGrid w:val="0"/>
          <w:szCs w:val="21"/>
        </w:rPr>
      </w:pPr>
    </w:p>
    <w:p w14:paraId="286D7B74">
      <w:pPr>
        <w:wordWrap w:val="0"/>
        <w:adjustRightInd w:val="0"/>
        <w:snapToGrid w:val="0"/>
        <w:spacing w:line="440" w:lineRule="exact"/>
        <w:jc w:val="center"/>
        <w:rPr>
          <w:b/>
          <w:bCs/>
          <w:snapToGrid w:val="0"/>
        </w:rPr>
      </w:pPr>
      <w:r>
        <w:rPr>
          <w:rFonts w:hint="eastAsia"/>
          <w:b/>
          <w:snapToGrid w:val="0"/>
        </w:rPr>
        <w:t>项目设计负责人简历表</w:t>
      </w:r>
    </w:p>
    <w:tbl>
      <w:tblPr>
        <w:tblStyle w:val="3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435"/>
        <w:gridCol w:w="728"/>
        <w:gridCol w:w="1523"/>
        <w:gridCol w:w="953"/>
        <w:gridCol w:w="105"/>
        <w:gridCol w:w="1195"/>
        <w:gridCol w:w="761"/>
        <w:gridCol w:w="73"/>
        <w:gridCol w:w="1408"/>
      </w:tblGrid>
      <w:tr w14:paraId="45E5D1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040" w:type="dxa"/>
            <w:gridSpan w:val="10"/>
            <w:vAlign w:val="center"/>
          </w:tcPr>
          <w:p w14:paraId="0B25D840">
            <w:pPr>
              <w:jc w:val="center"/>
            </w:pPr>
            <w:r>
              <w:rPr>
                <w:rFonts w:hint="eastAsia"/>
              </w:rPr>
              <w:t>1.基本情况</w:t>
            </w:r>
          </w:p>
        </w:tc>
      </w:tr>
      <w:tr w14:paraId="172001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1C96F249">
            <w:pPr>
              <w:jc w:val="center"/>
            </w:pPr>
            <w:r>
              <w:rPr>
                <w:rFonts w:hint="eastAsia"/>
              </w:rPr>
              <w:t>姓名</w:t>
            </w:r>
          </w:p>
        </w:tc>
        <w:tc>
          <w:tcPr>
            <w:tcW w:w="1435" w:type="dxa"/>
            <w:vAlign w:val="center"/>
          </w:tcPr>
          <w:p w14:paraId="65D997CF">
            <w:pPr>
              <w:jc w:val="center"/>
            </w:pPr>
          </w:p>
        </w:tc>
        <w:tc>
          <w:tcPr>
            <w:tcW w:w="728" w:type="dxa"/>
            <w:vAlign w:val="center"/>
          </w:tcPr>
          <w:p w14:paraId="67A1D05D">
            <w:pPr>
              <w:jc w:val="center"/>
            </w:pPr>
            <w:r>
              <w:rPr>
                <w:rFonts w:hint="eastAsia"/>
              </w:rPr>
              <w:t>性别</w:t>
            </w:r>
          </w:p>
        </w:tc>
        <w:tc>
          <w:tcPr>
            <w:tcW w:w="1523" w:type="dxa"/>
            <w:vAlign w:val="center"/>
          </w:tcPr>
          <w:p w14:paraId="45C37CC4">
            <w:pPr>
              <w:jc w:val="center"/>
            </w:pPr>
          </w:p>
        </w:tc>
        <w:tc>
          <w:tcPr>
            <w:tcW w:w="953" w:type="dxa"/>
            <w:vAlign w:val="center"/>
          </w:tcPr>
          <w:p w14:paraId="77964424">
            <w:pPr>
              <w:jc w:val="center"/>
            </w:pPr>
            <w:r>
              <w:rPr>
                <w:rFonts w:hint="eastAsia"/>
              </w:rPr>
              <w:t>年 龄</w:t>
            </w:r>
          </w:p>
        </w:tc>
        <w:tc>
          <w:tcPr>
            <w:tcW w:w="1300" w:type="dxa"/>
            <w:gridSpan w:val="2"/>
            <w:vAlign w:val="center"/>
          </w:tcPr>
          <w:p w14:paraId="5AC10A38">
            <w:pPr>
              <w:jc w:val="center"/>
            </w:pPr>
          </w:p>
        </w:tc>
        <w:tc>
          <w:tcPr>
            <w:tcW w:w="761" w:type="dxa"/>
            <w:vAlign w:val="center"/>
          </w:tcPr>
          <w:p w14:paraId="3AB1EAD3">
            <w:pPr>
              <w:jc w:val="center"/>
            </w:pPr>
            <w:r>
              <w:rPr>
                <w:rFonts w:hint="eastAsia"/>
              </w:rPr>
              <w:t>学位</w:t>
            </w:r>
          </w:p>
        </w:tc>
        <w:tc>
          <w:tcPr>
            <w:tcW w:w="1481" w:type="dxa"/>
            <w:gridSpan w:val="2"/>
            <w:vAlign w:val="center"/>
          </w:tcPr>
          <w:p w14:paraId="568A6A61">
            <w:pPr>
              <w:jc w:val="center"/>
            </w:pPr>
          </w:p>
        </w:tc>
      </w:tr>
      <w:tr w14:paraId="3AC839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41DCD150">
            <w:pPr>
              <w:jc w:val="center"/>
            </w:pPr>
            <w:r>
              <w:rPr>
                <w:rFonts w:hint="eastAsia"/>
              </w:rPr>
              <w:t>职称</w:t>
            </w:r>
          </w:p>
        </w:tc>
        <w:tc>
          <w:tcPr>
            <w:tcW w:w="1435" w:type="dxa"/>
            <w:vAlign w:val="center"/>
          </w:tcPr>
          <w:p w14:paraId="4F56B477">
            <w:pPr>
              <w:jc w:val="center"/>
            </w:pPr>
          </w:p>
        </w:tc>
        <w:tc>
          <w:tcPr>
            <w:tcW w:w="2251" w:type="dxa"/>
            <w:gridSpan w:val="2"/>
            <w:vAlign w:val="center"/>
          </w:tcPr>
          <w:p w14:paraId="4C56213B">
            <w:pPr>
              <w:jc w:val="center"/>
            </w:pPr>
            <w:r>
              <w:rPr>
                <w:rFonts w:hint="eastAsia"/>
                <w:spacing w:val="-12"/>
              </w:rPr>
              <w:t>为投标人服务时间</w:t>
            </w:r>
          </w:p>
        </w:tc>
        <w:tc>
          <w:tcPr>
            <w:tcW w:w="953" w:type="dxa"/>
            <w:vAlign w:val="center"/>
          </w:tcPr>
          <w:p w14:paraId="1F45B2C5">
            <w:pPr>
              <w:jc w:val="center"/>
            </w:pPr>
          </w:p>
        </w:tc>
        <w:tc>
          <w:tcPr>
            <w:tcW w:w="2061" w:type="dxa"/>
            <w:gridSpan w:val="3"/>
            <w:vAlign w:val="center"/>
          </w:tcPr>
          <w:p w14:paraId="4FE7FD57">
            <w:pPr>
              <w:jc w:val="center"/>
            </w:pPr>
            <w:r>
              <w:rPr>
                <w:rFonts w:hint="eastAsia"/>
              </w:rPr>
              <w:t>在本合同中</w:t>
            </w:r>
          </w:p>
          <w:p w14:paraId="11EEE147">
            <w:pPr>
              <w:jc w:val="center"/>
              <w:rPr>
                <w:spacing w:val="-12"/>
              </w:rPr>
            </w:pPr>
            <w:r>
              <w:rPr>
                <w:rFonts w:hint="eastAsia"/>
              </w:rPr>
              <w:t>拟任职</w:t>
            </w:r>
          </w:p>
        </w:tc>
        <w:tc>
          <w:tcPr>
            <w:tcW w:w="1481" w:type="dxa"/>
            <w:gridSpan w:val="2"/>
            <w:vAlign w:val="center"/>
          </w:tcPr>
          <w:p w14:paraId="14451F23">
            <w:pPr>
              <w:jc w:val="center"/>
            </w:pPr>
          </w:p>
        </w:tc>
      </w:tr>
      <w:tr w14:paraId="5C1B9A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2E656232">
            <w:pPr>
              <w:jc w:val="center"/>
            </w:pPr>
            <w:r>
              <w:rPr>
                <w:rFonts w:hint="eastAsia"/>
              </w:rPr>
              <w:t>学历</w:t>
            </w:r>
          </w:p>
        </w:tc>
        <w:tc>
          <w:tcPr>
            <w:tcW w:w="8181" w:type="dxa"/>
            <w:gridSpan w:val="9"/>
            <w:vAlign w:val="center"/>
          </w:tcPr>
          <w:p w14:paraId="0274F65A">
            <w:pPr>
              <w:ind w:firstLine="600"/>
              <w:jc w:val="center"/>
            </w:pPr>
            <w:r>
              <w:rPr>
                <w:rFonts w:hint="eastAsia"/>
              </w:rPr>
              <w:t>年毕业于              学校           专业</w:t>
            </w:r>
          </w:p>
        </w:tc>
      </w:tr>
      <w:tr w14:paraId="01A400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9040" w:type="dxa"/>
            <w:gridSpan w:val="10"/>
            <w:vAlign w:val="center"/>
          </w:tcPr>
          <w:p w14:paraId="2A044A52">
            <w:pPr>
              <w:jc w:val="center"/>
            </w:pPr>
            <w:r>
              <w:rPr>
                <w:rFonts w:hint="eastAsia"/>
              </w:rPr>
              <w:t>2.经历</w:t>
            </w:r>
          </w:p>
        </w:tc>
      </w:tr>
      <w:tr w14:paraId="5E0909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0BAF8C37">
            <w:pPr>
              <w:jc w:val="center"/>
            </w:pPr>
            <w:r>
              <w:rPr>
                <w:rFonts w:hint="eastAsia"/>
              </w:rPr>
              <w:t>时间</w:t>
            </w:r>
          </w:p>
        </w:tc>
        <w:tc>
          <w:tcPr>
            <w:tcW w:w="4744" w:type="dxa"/>
            <w:gridSpan w:val="5"/>
            <w:vAlign w:val="center"/>
          </w:tcPr>
          <w:p w14:paraId="68A2E0F0">
            <w:pPr>
              <w:jc w:val="center"/>
            </w:pPr>
            <w:r>
              <w:rPr>
                <w:rFonts w:hint="eastAsia"/>
              </w:rPr>
              <w:t>负责过的主要工程（类型和金额）</w:t>
            </w:r>
          </w:p>
        </w:tc>
        <w:tc>
          <w:tcPr>
            <w:tcW w:w="2029" w:type="dxa"/>
            <w:gridSpan w:val="3"/>
            <w:vAlign w:val="center"/>
          </w:tcPr>
          <w:p w14:paraId="4B9C3D0D">
            <w:pPr>
              <w:jc w:val="center"/>
            </w:pPr>
            <w:r>
              <w:rPr>
                <w:rFonts w:hint="eastAsia"/>
              </w:rPr>
              <w:t>该项目中任职</w:t>
            </w:r>
          </w:p>
        </w:tc>
        <w:tc>
          <w:tcPr>
            <w:tcW w:w="1408" w:type="dxa"/>
            <w:vAlign w:val="center"/>
          </w:tcPr>
          <w:p w14:paraId="43DF067F">
            <w:pPr>
              <w:jc w:val="center"/>
            </w:pPr>
            <w:r>
              <w:rPr>
                <w:rFonts w:hint="eastAsia"/>
              </w:rPr>
              <w:t>备 注</w:t>
            </w:r>
          </w:p>
        </w:tc>
      </w:tr>
      <w:tr w14:paraId="703FA6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1BC8263B">
            <w:pPr>
              <w:jc w:val="center"/>
            </w:pPr>
          </w:p>
        </w:tc>
        <w:tc>
          <w:tcPr>
            <w:tcW w:w="4744" w:type="dxa"/>
            <w:gridSpan w:val="5"/>
            <w:vAlign w:val="center"/>
          </w:tcPr>
          <w:p w14:paraId="686F553C">
            <w:pPr>
              <w:jc w:val="center"/>
            </w:pPr>
          </w:p>
        </w:tc>
        <w:tc>
          <w:tcPr>
            <w:tcW w:w="2029" w:type="dxa"/>
            <w:gridSpan w:val="3"/>
            <w:vAlign w:val="center"/>
          </w:tcPr>
          <w:p w14:paraId="1225DAA8">
            <w:pPr>
              <w:jc w:val="center"/>
            </w:pPr>
          </w:p>
        </w:tc>
        <w:tc>
          <w:tcPr>
            <w:tcW w:w="1408" w:type="dxa"/>
            <w:vAlign w:val="center"/>
          </w:tcPr>
          <w:p w14:paraId="51421C2C">
            <w:pPr>
              <w:jc w:val="center"/>
            </w:pPr>
          </w:p>
        </w:tc>
      </w:tr>
      <w:tr w14:paraId="054F4A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54D86AD7">
            <w:pPr>
              <w:jc w:val="center"/>
            </w:pPr>
          </w:p>
        </w:tc>
        <w:tc>
          <w:tcPr>
            <w:tcW w:w="4744" w:type="dxa"/>
            <w:gridSpan w:val="5"/>
            <w:vAlign w:val="center"/>
          </w:tcPr>
          <w:p w14:paraId="0D87924D">
            <w:pPr>
              <w:jc w:val="center"/>
            </w:pPr>
          </w:p>
        </w:tc>
        <w:tc>
          <w:tcPr>
            <w:tcW w:w="2029" w:type="dxa"/>
            <w:gridSpan w:val="3"/>
            <w:vAlign w:val="center"/>
          </w:tcPr>
          <w:p w14:paraId="25043F6F">
            <w:pPr>
              <w:jc w:val="center"/>
            </w:pPr>
          </w:p>
        </w:tc>
        <w:tc>
          <w:tcPr>
            <w:tcW w:w="1408" w:type="dxa"/>
            <w:vAlign w:val="center"/>
          </w:tcPr>
          <w:p w14:paraId="2F02464A">
            <w:pPr>
              <w:jc w:val="center"/>
            </w:pPr>
          </w:p>
        </w:tc>
      </w:tr>
      <w:tr w14:paraId="7A4940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4DF7F326">
            <w:pPr>
              <w:jc w:val="center"/>
            </w:pPr>
          </w:p>
        </w:tc>
        <w:tc>
          <w:tcPr>
            <w:tcW w:w="4744" w:type="dxa"/>
            <w:gridSpan w:val="5"/>
            <w:vAlign w:val="center"/>
          </w:tcPr>
          <w:p w14:paraId="3C37E41A">
            <w:pPr>
              <w:jc w:val="center"/>
            </w:pPr>
          </w:p>
        </w:tc>
        <w:tc>
          <w:tcPr>
            <w:tcW w:w="2029" w:type="dxa"/>
            <w:gridSpan w:val="3"/>
            <w:vAlign w:val="center"/>
          </w:tcPr>
          <w:p w14:paraId="4736977B">
            <w:pPr>
              <w:jc w:val="center"/>
            </w:pPr>
          </w:p>
        </w:tc>
        <w:tc>
          <w:tcPr>
            <w:tcW w:w="1408" w:type="dxa"/>
            <w:vAlign w:val="center"/>
          </w:tcPr>
          <w:p w14:paraId="145E21F4">
            <w:pPr>
              <w:jc w:val="center"/>
            </w:pPr>
          </w:p>
        </w:tc>
      </w:tr>
      <w:tr w14:paraId="11F408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040" w:type="dxa"/>
            <w:gridSpan w:val="10"/>
            <w:vAlign w:val="center"/>
          </w:tcPr>
          <w:p w14:paraId="672BAF61">
            <w:pPr>
              <w:jc w:val="center"/>
            </w:pPr>
            <w:r>
              <w:rPr>
                <w:rFonts w:hint="eastAsia"/>
              </w:rPr>
              <w:t>3.获奖情况（如有）</w:t>
            </w:r>
          </w:p>
        </w:tc>
      </w:tr>
      <w:tr w14:paraId="1549C3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40" w:type="dxa"/>
            <w:gridSpan w:val="10"/>
            <w:vAlign w:val="center"/>
          </w:tcPr>
          <w:p w14:paraId="5A088E59">
            <w:pPr>
              <w:jc w:val="center"/>
            </w:pPr>
          </w:p>
        </w:tc>
      </w:tr>
      <w:tr w14:paraId="235642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9040" w:type="dxa"/>
            <w:gridSpan w:val="10"/>
            <w:vAlign w:val="center"/>
          </w:tcPr>
          <w:p w14:paraId="49CB9D16">
            <w:pPr>
              <w:jc w:val="center"/>
            </w:pPr>
            <w:r>
              <w:rPr>
                <w:rFonts w:hint="eastAsia"/>
              </w:rPr>
              <w:t>4.目前承担的任务</w:t>
            </w:r>
          </w:p>
        </w:tc>
      </w:tr>
      <w:tr w14:paraId="156777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9040" w:type="dxa"/>
            <w:gridSpan w:val="10"/>
            <w:vAlign w:val="center"/>
          </w:tcPr>
          <w:p w14:paraId="3F2F51F2">
            <w:pPr>
              <w:jc w:val="center"/>
            </w:pPr>
          </w:p>
        </w:tc>
      </w:tr>
    </w:tbl>
    <w:p w14:paraId="3D51C1AB">
      <w:pPr>
        <w:wordWrap w:val="0"/>
        <w:adjustRightInd w:val="0"/>
        <w:snapToGrid w:val="0"/>
        <w:spacing w:line="440" w:lineRule="exact"/>
        <w:ind w:firstLine="570"/>
        <w:jc w:val="right"/>
        <w:rPr>
          <w:snapToGrid w:val="0"/>
          <w:szCs w:val="21"/>
        </w:rPr>
      </w:pPr>
      <w:r>
        <w:rPr>
          <w:rFonts w:hint="eastAsia"/>
          <w:sz w:val="21"/>
          <w:szCs w:val="21"/>
        </w:rPr>
        <w:t>注：本表不够时自制</w:t>
      </w:r>
    </w:p>
    <w:p w14:paraId="047F9C0F">
      <w:pPr>
        <w:wordWrap w:val="0"/>
        <w:adjustRightInd w:val="0"/>
        <w:snapToGrid w:val="0"/>
        <w:spacing w:line="400" w:lineRule="exact"/>
        <w:rPr>
          <w:snapToGrid w:val="0"/>
          <w:szCs w:val="21"/>
        </w:rPr>
      </w:pPr>
      <w:r>
        <w:rPr>
          <w:rFonts w:hint="eastAsia"/>
          <w:snapToGrid w:val="0"/>
          <w:sz w:val="21"/>
          <w:szCs w:val="21"/>
        </w:rPr>
        <w:t>说明：《项目设计负责人简历表》后应附拟派设计负责人以下资料：</w:t>
      </w:r>
    </w:p>
    <w:p w14:paraId="2E92A43F">
      <w:pPr>
        <w:wordWrap w:val="0"/>
        <w:adjustRightInd w:val="0"/>
        <w:snapToGrid w:val="0"/>
        <w:spacing w:line="400" w:lineRule="exact"/>
        <w:rPr>
          <w:snapToGrid w:val="0"/>
          <w:szCs w:val="21"/>
        </w:rPr>
      </w:pPr>
      <w:r>
        <w:rPr>
          <w:rFonts w:hint="eastAsia"/>
          <w:snapToGrid w:val="0"/>
          <w:sz w:val="21"/>
          <w:szCs w:val="21"/>
        </w:rPr>
        <w:t xml:space="preserve">    </w:t>
      </w:r>
      <w:bookmarkStart w:id="689" w:name="_Toc27146"/>
      <w:bookmarkStart w:id="690" w:name="_Toc10714"/>
      <w:r>
        <w:rPr>
          <w:rFonts w:hint="eastAsia"/>
          <w:snapToGrid w:val="0"/>
          <w:sz w:val="21"/>
          <w:szCs w:val="21"/>
          <w:lang w:eastAsia="zh-CN"/>
        </w:rPr>
        <w:t>1.</w:t>
      </w:r>
      <w:r>
        <w:rPr>
          <w:rFonts w:hint="eastAsia"/>
          <w:snapToGrid w:val="0"/>
          <w:sz w:val="21"/>
          <w:szCs w:val="21"/>
        </w:rPr>
        <w:t>身份证彩色扫描件；</w:t>
      </w:r>
      <w:bookmarkEnd w:id="689"/>
      <w:bookmarkEnd w:id="690"/>
    </w:p>
    <w:p w14:paraId="4AB3D296">
      <w:pPr>
        <w:wordWrap w:val="0"/>
        <w:adjustRightInd w:val="0"/>
        <w:snapToGrid w:val="0"/>
        <w:spacing w:line="400" w:lineRule="exact"/>
        <w:rPr>
          <w:snapToGrid w:val="0"/>
          <w:szCs w:val="21"/>
        </w:rPr>
      </w:pPr>
      <w:r>
        <w:rPr>
          <w:rFonts w:hint="eastAsia"/>
          <w:snapToGrid w:val="0"/>
          <w:sz w:val="21"/>
          <w:szCs w:val="21"/>
        </w:rPr>
        <w:t xml:space="preserve">    </w:t>
      </w:r>
      <w:r>
        <w:rPr>
          <w:rFonts w:hint="eastAsia"/>
          <w:snapToGrid w:val="0"/>
          <w:sz w:val="21"/>
          <w:szCs w:val="21"/>
          <w:lang w:eastAsia="zh-CN"/>
        </w:rPr>
        <w:t>2.</w:t>
      </w:r>
      <w:r>
        <w:rPr>
          <w:rFonts w:hint="eastAsia"/>
          <w:snapToGrid w:val="0"/>
          <w:sz w:val="21"/>
          <w:szCs w:val="21"/>
        </w:rPr>
        <w:t>注册证书（如需）（须扫描至变更注册栏，电子证书除外）、职称证（如需）彩色扫描件；</w:t>
      </w:r>
    </w:p>
    <w:p w14:paraId="6FA2AC31">
      <w:pPr>
        <w:wordWrap w:val="0"/>
        <w:adjustRightInd w:val="0"/>
        <w:snapToGrid w:val="0"/>
        <w:spacing w:line="400" w:lineRule="exact"/>
        <w:ind w:firstLine="420" w:firstLineChars="200"/>
        <w:rPr>
          <w:snapToGrid w:val="0"/>
          <w:szCs w:val="21"/>
        </w:rPr>
      </w:pPr>
      <w:r>
        <w:rPr>
          <w:rFonts w:hint="eastAsia"/>
          <w:snapToGrid w:val="0"/>
          <w:sz w:val="21"/>
          <w:szCs w:val="21"/>
          <w:lang w:eastAsia="zh-CN"/>
        </w:rPr>
        <w:t>3.</w:t>
      </w:r>
      <w:r>
        <w:rPr>
          <w:rFonts w:hint="eastAsia"/>
          <w:snapToGrid w:val="0"/>
          <w:sz w:val="21"/>
          <w:szCs w:val="21"/>
        </w:rPr>
        <w:t>在本单位</w:t>
      </w:r>
      <w:r>
        <w:rPr>
          <w:rFonts w:hint="eastAsia"/>
          <w:sz w:val="21"/>
          <w:szCs w:val="21"/>
        </w:rPr>
        <w:t>（或其分支机构）</w:t>
      </w:r>
      <w:r>
        <w:rPr>
          <w:rFonts w:hint="eastAsia"/>
          <w:snapToGrid w:val="0"/>
          <w:sz w:val="21"/>
          <w:szCs w:val="21"/>
        </w:rPr>
        <w:t>缴纳社保的证明（至少</w:t>
      </w:r>
      <w:r>
        <w:rPr>
          <w:rFonts w:hint="eastAsia"/>
          <w:snapToGrid w:val="0"/>
          <w:sz w:val="21"/>
          <w:szCs w:val="21"/>
          <w:lang w:val="en-US" w:eastAsia="zh-CN"/>
        </w:rPr>
        <w:t>3</w:t>
      </w:r>
      <w:r>
        <w:rPr>
          <w:rFonts w:hint="eastAsia"/>
          <w:snapToGrid w:val="0"/>
          <w:sz w:val="21"/>
          <w:szCs w:val="21"/>
        </w:rPr>
        <w:t>个月，其中必须有2026年5月）彩色扫描件；拟派设计负责人为退休返聘人员无法提供社保证明的，提供退休证和劳动合同彩色扫描件。</w:t>
      </w:r>
    </w:p>
    <w:p w14:paraId="4EB4BCA0">
      <w:pPr>
        <w:wordWrap w:val="0"/>
        <w:adjustRightInd w:val="0"/>
        <w:snapToGrid w:val="0"/>
        <w:spacing w:line="440" w:lineRule="exact"/>
        <w:rPr>
          <w:b/>
          <w:snapToGrid w:val="0"/>
          <w:szCs w:val="21"/>
        </w:rPr>
      </w:pPr>
    </w:p>
    <w:p w14:paraId="06B52477">
      <w:pPr>
        <w:wordWrap w:val="0"/>
        <w:adjustRightInd w:val="0"/>
        <w:snapToGrid w:val="0"/>
        <w:spacing w:line="440" w:lineRule="exact"/>
        <w:rPr>
          <w:b/>
          <w:snapToGrid w:val="0"/>
          <w:szCs w:val="21"/>
        </w:rPr>
      </w:pPr>
    </w:p>
    <w:p w14:paraId="6E4490A4">
      <w:pPr>
        <w:wordWrap w:val="0"/>
        <w:adjustRightInd w:val="0"/>
        <w:snapToGrid w:val="0"/>
        <w:spacing w:line="440" w:lineRule="exact"/>
        <w:rPr>
          <w:rStyle w:val="40"/>
          <w:rFonts w:ascii="宋体" w:hAnsi="宋体"/>
          <w:b/>
          <w:bCs/>
          <w:szCs w:val="21"/>
        </w:rPr>
      </w:pPr>
    </w:p>
    <w:p w14:paraId="576DD23F">
      <w:pPr>
        <w:wordWrap w:val="0"/>
        <w:adjustRightInd w:val="0"/>
        <w:snapToGrid w:val="0"/>
        <w:spacing w:line="440" w:lineRule="exact"/>
        <w:rPr>
          <w:rStyle w:val="40"/>
          <w:rFonts w:ascii="宋体" w:hAnsi="宋体"/>
          <w:b/>
          <w:bCs/>
          <w:szCs w:val="21"/>
        </w:rPr>
      </w:pPr>
    </w:p>
    <w:p w14:paraId="2B279FAB">
      <w:pPr>
        <w:wordWrap w:val="0"/>
        <w:adjustRightInd w:val="0"/>
        <w:snapToGrid w:val="0"/>
        <w:spacing w:line="440" w:lineRule="exact"/>
        <w:outlineLvl w:val="1"/>
        <w:rPr>
          <w:rStyle w:val="40"/>
          <w:rFonts w:ascii="宋体" w:hAnsi="宋体"/>
          <w:b/>
          <w:bCs/>
        </w:rPr>
      </w:pPr>
      <w:bookmarkStart w:id="691" w:name="_Toc19225"/>
      <w:bookmarkStart w:id="692" w:name="_Toc28846"/>
      <w:bookmarkStart w:id="693" w:name="_Toc20906"/>
      <w:bookmarkStart w:id="694" w:name="_Toc21592"/>
      <w:r>
        <w:rPr>
          <w:rStyle w:val="40"/>
          <w:rFonts w:hint="eastAsia" w:ascii="宋体" w:hAnsi="宋体"/>
          <w:b/>
          <w:bCs/>
        </w:rPr>
        <w:t>格式七 本项目拟投入的人员基本情况表</w:t>
      </w:r>
      <w:bookmarkEnd w:id="691"/>
      <w:bookmarkEnd w:id="692"/>
    </w:p>
    <w:bookmarkEnd w:id="693"/>
    <w:bookmarkEnd w:id="694"/>
    <w:p w14:paraId="2A25225D">
      <w:pPr>
        <w:wordWrap w:val="0"/>
        <w:adjustRightInd w:val="0"/>
        <w:snapToGrid w:val="0"/>
        <w:spacing w:line="440" w:lineRule="exact"/>
        <w:rPr>
          <w:b/>
          <w:bCs/>
          <w:snapToGrid w:val="0"/>
          <w:szCs w:val="21"/>
        </w:rPr>
      </w:pPr>
    </w:p>
    <w:p w14:paraId="6DA408F2">
      <w:pPr>
        <w:wordWrap w:val="0"/>
        <w:adjustRightInd w:val="0"/>
        <w:snapToGrid w:val="0"/>
        <w:spacing w:line="440" w:lineRule="exact"/>
        <w:ind w:firstLine="570"/>
        <w:jc w:val="center"/>
        <w:rPr>
          <w:snapToGrid w:val="0"/>
        </w:rPr>
      </w:pPr>
      <w:r>
        <w:rPr>
          <w:rFonts w:hint="eastAsia"/>
          <w:b/>
          <w:snapToGrid w:val="0"/>
        </w:rPr>
        <w:t>本项目拟投入的人员基本情况表</w:t>
      </w:r>
    </w:p>
    <w:p w14:paraId="48F830D6">
      <w:pPr>
        <w:pStyle w:val="101"/>
        <w:wordWrap w:val="0"/>
        <w:adjustRightInd w:val="0"/>
        <w:snapToGrid w:val="0"/>
        <w:spacing w:line="440" w:lineRule="exact"/>
        <w:jc w:val="right"/>
        <w:rPr>
          <w:rFonts w:ascii="宋体" w:hAnsi="宋体" w:eastAsia="宋体" w:cs="宋体"/>
          <w:snapToGrid w:val="0"/>
          <w:kern w:val="0"/>
          <w:szCs w:val="21"/>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8"/>
        <w:gridCol w:w="1476"/>
        <w:gridCol w:w="1385"/>
        <w:gridCol w:w="3360"/>
      </w:tblGrid>
      <w:tr w14:paraId="1714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358" w:type="dxa"/>
            <w:vAlign w:val="center"/>
          </w:tcPr>
          <w:p w14:paraId="7476646B">
            <w:pPr>
              <w:adjustRightInd w:val="0"/>
              <w:snapToGrid w:val="0"/>
              <w:spacing w:line="440" w:lineRule="exact"/>
              <w:jc w:val="center"/>
            </w:pPr>
            <w:r>
              <w:rPr>
                <w:rFonts w:hint="eastAsia"/>
              </w:rPr>
              <w:t>人员安排</w:t>
            </w:r>
          </w:p>
        </w:tc>
        <w:tc>
          <w:tcPr>
            <w:tcW w:w="1476" w:type="dxa"/>
            <w:vAlign w:val="center"/>
          </w:tcPr>
          <w:p w14:paraId="7CF76589">
            <w:pPr>
              <w:adjustRightInd w:val="0"/>
              <w:snapToGrid w:val="0"/>
              <w:spacing w:line="440" w:lineRule="exact"/>
              <w:jc w:val="center"/>
            </w:pPr>
            <w:r>
              <w:rPr>
                <w:rFonts w:hint="eastAsia"/>
              </w:rPr>
              <w:t>姓 名</w:t>
            </w:r>
          </w:p>
        </w:tc>
        <w:tc>
          <w:tcPr>
            <w:tcW w:w="1385" w:type="dxa"/>
            <w:vAlign w:val="center"/>
          </w:tcPr>
          <w:p w14:paraId="39FF44F6">
            <w:pPr>
              <w:adjustRightInd w:val="0"/>
              <w:snapToGrid w:val="0"/>
              <w:spacing w:line="440" w:lineRule="exact"/>
              <w:jc w:val="center"/>
            </w:pPr>
            <w:r>
              <w:rPr>
                <w:rFonts w:hint="eastAsia"/>
              </w:rPr>
              <w:t>年 龄</w:t>
            </w:r>
          </w:p>
        </w:tc>
        <w:tc>
          <w:tcPr>
            <w:tcW w:w="3360" w:type="dxa"/>
            <w:vAlign w:val="center"/>
          </w:tcPr>
          <w:p w14:paraId="11056584">
            <w:pPr>
              <w:adjustRightInd w:val="0"/>
              <w:snapToGrid w:val="0"/>
              <w:spacing w:line="440" w:lineRule="exact"/>
              <w:jc w:val="center"/>
            </w:pPr>
            <w:r>
              <w:rPr>
                <w:rFonts w:hint="eastAsia"/>
              </w:rPr>
              <w:t>职称证或注册执业专业</w:t>
            </w:r>
          </w:p>
        </w:tc>
      </w:tr>
      <w:tr w14:paraId="20D58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exact"/>
          <w:jc w:val="center"/>
        </w:trPr>
        <w:tc>
          <w:tcPr>
            <w:tcW w:w="2358" w:type="dxa"/>
            <w:vAlign w:val="center"/>
          </w:tcPr>
          <w:p w14:paraId="7BDF6ACB">
            <w:pPr>
              <w:adjustRightInd w:val="0"/>
              <w:snapToGrid w:val="0"/>
              <w:spacing w:line="440" w:lineRule="exact"/>
              <w:rPr>
                <w:b/>
              </w:rPr>
            </w:pPr>
            <w:r>
              <w:rPr>
                <w:rFonts w:hint="eastAsia"/>
                <w:b/>
              </w:rPr>
              <w:t>项目设计负责人</w:t>
            </w:r>
          </w:p>
        </w:tc>
        <w:tc>
          <w:tcPr>
            <w:tcW w:w="1476" w:type="dxa"/>
            <w:vAlign w:val="center"/>
          </w:tcPr>
          <w:p w14:paraId="4510EC3A">
            <w:pPr>
              <w:adjustRightInd w:val="0"/>
              <w:snapToGrid w:val="0"/>
              <w:spacing w:line="440" w:lineRule="exact"/>
            </w:pPr>
          </w:p>
        </w:tc>
        <w:tc>
          <w:tcPr>
            <w:tcW w:w="1385" w:type="dxa"/>
          </w:tcPr>
          <w:p w14:paraId="354337ED">
            <w:pPr>
              <w:adjustRightInd w:val="0"/>
              <w:snapToGrid w:val="0"/>
              <w:spacing w:line="440" w:lineRule="exact"/>
            </w:pPr>
          </w:p>
        </w:tc>
        <w:tc>
          <w:tcPr>
            <w:tcW w:w="3360" w:type="dxa"/>
            <w:vAlign w:val="center"/>
          </w:tcPr>
          <w:p w14:paraId="6EC5442E">
            <w:pPr>
              <w:adjustRightInd w:val="0"/>
              <w:snapToGrid w:val="0"/>
              <w:spacing w:line="440" w:lineRule="exact"/>
            </w:pPr>
          </w:p>
        </w:tc>
      </w:tr>
      <w:tr w14:paraId="2338A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7" w:hRule="exact"/>
          <w:jc w:val="center"/>
        </w:trPr>
        <w:tc>
          <w:tcPr>
            <w:tcW w:w="2358" w:type="dxa"/>
            <w:vAlign w:val="center"/>
          </w:tcPr>
          <w:p w14:paraId="3A4FFDAC">
            <w:pPr>
              <w:adjustRightInd w:val="0"/>
              <w:snapToGrid w:val="0"/>
              <w:spacing w:line="440" w:lineRule="exact"/>
              <w:rPr>
                <w:b/>
              </w:rPr>
            </w:pPr>
          </w:p>
        </w:tc>
        <w:tc>
          <w:tcPr>
            <w:tcW w:w="1476" w:type="dxa"/>
            <w:vAlign w:val="center"/>
          </w:tcPr>
          <w:p w14:paraId="29C38FFE">
            <w:pPr>
              <w:adjustRightInd w:val="0"/>
              <w:snapToGrid w:val="0"/>
              <w:spacing w:line="440" w:lineRule="exact"/>
            </w:pPr>
          </w:p>
        </w:tc>
        <w:tc>
          <w:tcPr>
            <w:tcW w:w="1385" w:type="dxa"/>
          </w:tcPr>
          <w:p w14:paraId="4E77DB50">
            <w:pPr>
              <w:adjustRightInd w:val="0"/>
              <w:snapToGrid w:val="0"/>
              <w:spacing w:line="440" w:lineRule="exact"/>
            </w:pPr>
          </w:p>
        </w:tc>
        <w:tc>
          <w:tcPr>
            <w:tcW w:w="3360" w:type="dxa"/>
            <w:vAlign w:val="center"/>
          </w:tcPr>
          <w:p w14:paraId="6725764F">
            <w:pPr>
              <w:adjustRightInd w:val="0"/>
              <w:snapToGrid w:val="0"/>
              <w:spacing w:line="440" w:lineRule="exact"/>
            </w:pPr>
          </w:p>
        </w:tc>
      </w:tr>
      <w:tr w14:paraId="71090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4F02B04D">
            <w:pPr>
              <w:adjustRightInd w:val="0"/>
              <w:snapToGrid w:val="0"/>
              <w:spacing w:line="440" w:lineRule="exact"/>
            </w:pPr>
          </w:p>
        </w:tc>
        <w:tc>
          <w:tcPr>
            <w:tcW w:w="1476" w:type="dxa"/>
            <w:vAlign w:val="center"/>
          </w:tcPr>
          <w:p w14:paraId="35324D85">
            <w:pPr>
              <w:adjustRightInd w:val="0"/>
              <w:snapToGrid w:val="0"/>
              <w:spacing w:line="440" w:lineRule="exact"/>
            </w:pPr>
          </w:p>
        </w:tc>
        <w:tc>
          <w:tcPr>
            <w:tcW w:w="1385" w:type="dxa"/>
          </w:tcPr>
          <w:p w14:paraId="65D4AF19">
            <w:pPr>
              <w:adjustRightInd w:val="0"/>
              <w:snapToGrid w:val="0"/>
              <w:spacing w:line="440" w:lineRule="exact"/>
            </w:pPr>
          </w:p>
        </w:tc>
        <w:tc>
          <w:tcPr>
            <w:tcW w:w="3360" w:type="dxa"/>
            <w:vAlign w:val="center"/>
          </w:tcPr>
          <w:p w14:paraId="2B4E2C5F">
            <w:pPr>
              <w:adjustRightInd w:val="0"/>
              <w:snapToGrid w:val="0"/>
              <w:spacing w:line="440" w:lineRule="exact"/>
            </w:pPr>
          </w:p>
        </w:tc>
      </w:tr>
      <w:tr w14:paraId="3189E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035CC085">
            <w:pPr>
              <w:adjustRightInd w:val="0"/>
              <w:snapToGrid w:val="0"/>
              <w:spacing w:line="440" w:lineRule="exact"/>
              <w:rPr>
                <w:b/>
              </w:rPr>
            </w:pPr>
          </w:p>
        </w:tc>
        <w:tc>
          <w:tcPr>
            <w:tcW w:w="1476" w:type="dxa"/>
            <w:vAlign w:val="center"/>
          </w:tcPr>
          <w:p w14:paraId="18525881">
            <w:pPr>
              <w:adjustRightInd w:val="0"/>
              <w:snapToGrid w:val="0"/>
              <w:spacing w:line="440" w:lineRule="exact"/>
            </w:pPr>
          </w:p>
        </w:tc>
        <w:tc>
          <w:tcPr>
            <w:tcW w:w="1385" w:type="dxa"/>
          </w:tcPr>
          <w:p w14:paraId="2A1A0A75">
            <w:pPr>
              <w:adjustRightInd w:val="0"/>
              <w:snapToGrid w:val="0"/>
              <w:spacing w:line="440" w:lineRule="exact"/>
            </w:pPr>
          </w:p>
        </w:tc>
        <w:tc>
          <w:tcPr>
            <w:tcW w:w="3360" w:type="dxa"/>
            <w:vAlign w:val="center"/>
          </w:tcPr>
          <w:p w14:paraId="440FE9D2">
            <w:pPr>
              <w:adjustRightInd w:val="0"/>
              <w:snapToGrid w:val="0"/>
              <w:spacing w:line="440" w:lineRule="exact"/>
            </w:pPr>
          </w:p>
        </w:tc>
      </w:tr>
      <w:tr w14:paraId="03F13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2358" w:type="dxa"/>
            <w:vAlign w:val="center"/>
          </w:tcPr>
          <w:p w14:paraId="11E680AD">
            <w:pPr>
              <w:adjustRightInd w:val="0"/>
              <w:snapToGrid w:val="0"/>
              <w:spacing w:line="440" w:lineRule="exact"/>
              <w:rPr>
                <w:b/>
              </w:rPr>
            </w:pPr>
            <w:r>
              <w:rPr>
                <w:rFonts w:hint="eastAsia"/>
                <w:b/>
              </w:rPr>
              <w:t>....各专业负责人（如有）</w:t>
            </w:r>
          </w:p>
        </w:tc>
        <w:tc>
          <w:tcPr>
            <w:tcW w:w="1476" w:type="dxa"/>
            <w:vAlign w:val="center"/>
          </w:tcPr>
          <w:p w14:paraId="52E3298A">
            <w:pPr>
              <w:adjustRightInd w:val="0"/>
              <w:snapToGrid w:val="0"/>
              <w:spacing w:line="440" w:lineRule="exact"/>
            </w:pPr>
          </w:p>
        </w:tc>
        <w:tc>
          <w:tcPr>
            <w:tcW w:w="1385" w:type="dxa"/>
          </w:tcPr>
          <w:p w14:paraId="6FBD71EA">
            <w:pPr>
              <w:adjustRightInd w:val="0"/>
              <w:snapToGrid w:val="0"/>
              <w:spacing w:line="440" w:lineRule="exact"/>
            </w:pPr>
          </w:p>
        </w:tc>
        <w:tc>
          <w:tcPr>
            <w:tcW w:w="3360" w:type="dxa"/>
            <w:vAlign w:val="center"/>
          </w:tcPr>
          <w:p w14:paraId="51C81598">
            <w:pPr>
              <w:adjustRightInd w:val="0"/>
              <w:snapToGrid w:val="0"/>
              <w:spacing w:line="440" w:lineRule="exact"/>
            </w:pPr>
          </w:p>
        </w:tc>
      </w:tr>
      <w:tr w14:paraId="30A5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2" w:hRule="exact"/>
          <w:jc w:val="center"/>
        </w:trPr>
        <w:tc>
          <w:tcPr>
            <w:tcW w:w="2358" w:type="dxa"/>
            <w:vAlign w:val="center"/>
          </w:tcPr>
          <w:p w14:paraId="58EA91D8">
            <w:pPr>
              <w:adjustRightInd w:val="0"/>
              <w:snapToGrid w:val="0"/>
              <w:spacing w:line="440" w:lineRule="exact"/>
              <w:rPr>
                <w:b/>
              </w:rPr>
            </w:pPr>
          </w:p>
        </w:tc>
        <w:tc>
          <w:tcPr>
            <w:tcW w:w="1476" w:type="dxa"/>
            <w:vAlign w:val="center"/>
          </w:tcPr>
          <w:p w14:paraId="39E9FB56">
            <w:pPr>
              <w:adjustRightInd w:val="0"/>
              <w:snapToGrid w:val="0"/>
              <w:spacing w:line="440" w:lineRule="exact"/>
            </w:pPr>
          </w:p>
        </w:tc>
        <w:tc>
          <w:tcPr>
            <w:tcW w:w="1385" w:type="dxa"/>
          </w:tcPr>
          <w:p w14:paraId="605BF359">
            <w:pPr>
              <w:adjustRightInd w:val="0"/>
              <w:snapToGrid w:val="0"/>
              <w:spacing w:line="440" w:lineRule="exact"/>
            </w:pPr>
          </w:p>
        </w:tc>
        <w:tc>
          <w:tcPr>
            <w:tcW w:w="3360" w:type="dxa"/>
            <w:vAlign w:val="center"/>
          </w:tcPr>
          <w:p w14:paraId="429386C2">
            <w:pPr>
              <w:adjustRightInd w:val="0"/>
              <w:snapToGrid w:val="0"/>
              <w:spacing w:line="440" w:lineRule="exact"/>
            </w:pPr>
          </w:p>
        </w:tc>
      </w:tr>
      <w:tr w14:paraId="77C5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exact"/>
          <w:jc w:val="center"/>
        </w:trPr>
        <w:tc>
          <w:tcPr>
            <w:tcW w:w="2358" w:type="dxa"/>
            <w:vAlign w:val="center"/>
          </w:tcPr>
          <w:p w14:paraId="59A2A3AD">
            <w:pPr>
              <w:adjustRightInd w:val="0"/>
              <w:snapToGrid w:val="0"/>
              <w:spacing w:line="440" w:lineRule="exact"/>
              <w:rPr>
                <w:b/>
              </w:rPr>
            </w:pPr>
          </w:p>
        </w:tc>
        <w:tc>
          <w:tcPr>
            <w:tcW w:w="1476" w:type="dxa"/>
            <w:vAlign w:val="center"/>
          </w:tcPr>
          <w:p w14:paraId="4F6E19A2">
            <w:pPr>
              <w:adjustRightInd w:val="0"/>
              <w:snapToGrid w:val="0"/>
              <w:spacing w:line="440" w:lineRule="exact"/>
            </w:pPr>
          </w:p>
        </w:tc>
        <w:tc>
          <w:tcPr>
            <w:tcW w:w="1385" w:type="dxa"/>
          </w:tcPr>
          <w:p w14:paraId="4DDA4A5F">
            <w:pPr>
              <w:adjustRightInd w:val="0"/>
              <w:snapToGrid w:val="0"/>
              <w:spacing w:line="440" w:lineRule="exact"/>
            </w:pPr>
          </w:p>
        </w:tc>
        <w:tc>
          <w:tcPr>
            <w:tcW w:w="3360" w:type="dxa"/>
            <w:vAlign w:val="center"/>
          </w:tcPr>
          <w:p w14:paraId="4A63F547">
            <w:pPr>
              <w:adjustRightInd w:val="0"/>
              <w:snapToGrid w:val="0"/>
              <w:spacing w:line="440" w:lineRule="exact"/>
            </w:pPr>
          </w:p>
        </w:tc>
      </w:tr>
      <w:tr w14:paraId="20150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7" w:hRule="exact"/>
          <w:jc w:val="center"/>
        </w:trPr>
        <w:tc>
          <w:tcPr>
            <w:tcW w:w="2358" w:type="dxa"/>
            <w:vAlign w:val="center"/>
          </w:tcPr>
          <w:p w14:paraId="708C0805">
            <w:pPr>
              <w:adjustRightInd w:val="0"/>
              <w:snapToGrid w:val="0"/>
              <w:spacing w:line="440" w:lineRule="exact"/>
              <w:rPr>
                <w:b/>
              </w:rPr>
            </w:pPr>
          </w:p>
        </w:tc>
        <w:tc>
          <w:tcPr>
            <w:tcW w:w="1476" w:type="dxa"/>
            <w:vAlign w:val="center"/>
          </w:tcPr>
          <w:p w14:paraId="471C8D0B">
            <w:pPr>
              <w:adjustRightInd w:val="0"/>
              <w:snapToGrid w:val="0"/>
              <w:spacing w:line="440" w:lineRule="exact"/>
            </w:pPr>
          </w:p>
        </w:tc>
        <w:tc>
          <w:tcPr>
            <w:tcW w:w="1385" w:type="dxa"/>
          </w:tcPr>
          <w:p w14:paraId="2D5BC81F">
            <w:pPr>
              <w:adjustRightInd w:val="0"/>
              <w:snapToGrid w:val="0"/>
              <w:spacing w:line="440" w:lineRule="exact"/>
            </w:pPr>
          </w:p>
        </w:tc>
        <w:tc>
          <w:tcPr>
            <w:tcW w:w="3360" w:type="dxa"/>
            <w:vAlign w:val="center"/>
          </w:tcPr>
          <w:p w14:paraId="35192108">
            <w:pPr>
              <w:adjustRightInd w:val="0"/>
              <w:snapToGrid w:val="0"/>
              <w:spacing w:line="440" w:lineRule="exact"/>
            </w:pPr>
          </w:p>
        </w:tc>
      </w:tr>
      <w:tr w14:paraId="61FE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6290F124">
            <w:pPr>
              <w:adjustRightInd w:val="0"/>
              <w:snapToGrid w:val="0"/>
              <w:spacing w:line="440" w:lineRule="exact"/>
              <w:rPr>
                <w:b/>
              </w:rPr>
            </w:pPr>
          </w:p>
        </w:tc>
        <w:tc>
          <w:tcPr>
            <w:tcW w:w="1476" w:type="dxa"/>
            <w:vAlign w:val="center"/>
          </w:tcPr>
          <w:p w14:paraId="6D7FEEAE">
            <w:pPr>
              <w:adjustRightInd w:val="0"/>
              <w:snapToGrid w:val="0"/>
              <w:spacing w:line="440" w:lineRule="exact"/>
            </w:pPr>
          </w:p>
        </w:tc>
        <w:tc>
          <w:tcPr>
            <w:tcW w:w="1385" w:type="dxa"/>
          </w:tcPr>
          <w:p w14:paraId="5FF48C09">
            <w:pPr>
              <w:adjustRightInd w:val="0"/>
              <w:snapToGrid w:val="0"/>
              <w:spacing w:line="440" w:lineRule="exact"/>
            </w:pPr>
          </w:p>
        </w:tc>
        <w:tc>
          <w:tcPr>
            <w:tcW w:w="3360" w:type="dxa"/>
            <w:vAlign w:val="center"/>
          </w:tcPr>
          <w:p w14:paraId="43AD14A7">
            <w:pPr>
              <w:adjustRightInd w:val="0"/>
              <w:snapToGrid w:val="0"/>
              <w:spacing w:line="440" w:lineRule="exact"/>
            </w:pPr>
          </w:p>
        </w:tc>
      </w:tr>
      <w:tr w14:paraId="218BC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exact"/>
          <w:jc w:val="center"/>
        </w:trPr>
        <w:tc>
          <w:tcPr>
            <w:tcW w:w="2358" w:type="dxa"/>
            <w:vAlign w:val="center"/>
          </w:tcPr>
          <w:p w14:paraId="6F1BB1C4">
            <w:pPr>
              <w:adjustRightInd w:val="0"/>
              <w:snapToGrid w:val="0"/>
              <w:spacing w:line="440" w:lineRule="exact"/>
              <w:rPr>
                <w:b/>
              </w:rPr>
            </w:pPr>
          </w:p>
        </w:tc>
        <w:tc>
          <w:tcPr>
            <w:tcW w:w="1476" w:type="dxa"/>
            <w:vAlign w:val="center"/>
          </w:tcPr>
          <w:p w14:paraId="147F9628">
            <w:pPr>
              <w:adjustRightInd w:val="0"/>
              <w:snapToGrid w:val="0"/>
              <w:spacing w:line="440" w:lineRule="exact"/>
            </w:pPr>
          </w:p>
        </w:tc>
        <w:tc>
          <w:tcPr>
            <w:tcW w:w="1385" w:type="dxa"/>
          </w:tcPr>
          <w:p w14:paraId="7DB029DC">
            <w:pPr>
              <w:adjustRightInd w:val="0"/>
              <w:snapToGrid w:val="0"/>
              <w:spacing w:line="440" w:lineRule="exact"/>
            </w:pPr>
          </w:p>
        </w:tc>
        <w:tc>
          <w:tcPr>
            <w:tcW w:w="3360" w:type="dxa"/>
            <w:vAlign w:val="center"/>
          </w:tcPr>
          <w:p w14:paraId="6A42D900">
            <w:pPr>
              <w:adjustRightInd w:val="0"/>
              <w:snapToGrid w:val="0"/>
              <w:spacing w:line="440" w:lineRule="exact"/>
            </w:pPr>
          </w:p>
        </w:tc>
      </w:tr>
    </w:tbl>
    <w:p w14:paraId="0B540B04">
      <w:pPr>
        <w:wordWrap w:val="0"/>
        <w:adjustRightInd w:val="0"/>
        <w:snapToGrid w:val="0"/>
        <w:spacing w:line="400" w:lineRule="exact"/>
        <w:rPr>
          <w:snapToGrid w:val="0"/>
          <w:szCs w:val="21"/>
        </w:rPr>
      </w:pPr>
      <w:r>
        <w:rPr>
          <w:rFonts w:hint="eastAsia"/>
          <w:snapToGrid w:val="0"/>
          <w:sz w:val="21"/>
          <w:szCs w:val="21"/>
        </w:rPr>
        <w:t xml:space="preserve">   说明：</w:t>
      </w:r>
    </w:p>
    <w:p w14:paraId="32375213">
      <w:pPr>
        <w:wordWrap w:val="0"/>
        <w:adjustRightInd w:val="0"/>
        <w:snapToGrid w:val="0"/>
        <w:spacing w:line="400" w:lineRule="exact"/>
        <w:ind w:firstLine="420" w:firstLineChars="200"/>
        <w:rPr>
          <w:snapToGrid w:val="0"/>
          <w:szCs w:val="21"/>
        </w:rPr>
      </w:pPr>
      <w:r>
        <w:rPr>
          <w:rFonts w:hint="eastAsia"/>
          <w:snapToGrid w:val="0"/>
          <w:sz w:val="21"/>
          <w:szCs w:val="21"/>
        </w:rPr>
        <w:t>1.《本项目拟投入的人员基本情况表》后应附拟派其他主要人员（项目设计负责人除外）以下资料：</w:t>
      </w:r>
    </w:p>
    <w:p w14:paraId="0F547088">
      <w:pPr>
        <w:wordWrap w:val="0"/>
        <w:adjustRightInd w:val="0"/>
        <w:snapToGrid w:val="0"/>
        <w:spacing w:line="400" w:lineRule="exact"/>
        <w:ind w:firstLine="478" w:firstLineChars="228"/>
        <w:rPr>
          <w:snapToGrid w:val="0"/>
          <w:szCs w:val="21"/>
        </w:rPr>
      </w:pPr>
      <w:r>
        <w:rPr>
          <w:rFonts w:hint="eastAsia"/>
          <w:snapToGrid w:val="0"/>
          <w:sz w:val="21"/>
          <w:szCs w:val="21"/>
        </w:rPr>
        <w:t>（1）身份证彩色扫描件；</w:t>
      </w:r>
    </w:p>
    <w:p w14:paraId="356DCBC7">
      <w:pPr>
        <w:wordWrap w:val="0"/>
        <w:adjustRightInd w:val="0"/>
        <w:snapToGrid w:val="0"/>
        <w:spacing w:line="400" w:lineRule="exact"/>
        <w:ind w:firstLine="478" w:firstLineChars="228"/>
        <w:rPr>
          <w:snapToGrid w:val="0"/>
          <w:szCs w:val="21"/>
        </w:rPr>
      </w:pPr>
      <w:r>
        <w:rPr>
          <w:rFonts w:hint="eastAsia"/>
          <w:snapToGrid w:val="0"/>
          <w:sz w:val="21"/>
          <w:szCs w:val="21"/>
        </w:rPr>
        <w:t>（2）毕业证（如需）、职称证（如需）、注册证书（如需）的彩色扫描件（注册证书须扫描至变更注册栏，电子证书除外）；</w:t>
      </w:r>
    </w:p>
    <w:p w14:paraId="502F57E0">
      <w:pPr>
        <w:wordWrap w:val="0"/>
        <w:adjustRightInd w:val="0"/>
        <w:snapToGrid w:val="0"/>
        <w:spacing w:line="400" w:lineRule="exact"/>
        <w:ind w:firstLine="478" w:firstLineChars="228"/>
        <w:rPr>
          <w:snapToGrid w:val="0"/>
          <w:szCs w:val="21"/>
        </w:rPr>
      </w:pPr>
      <w:r>
        <w:rPr>
          <w:rFonts w:hint="eastAsia"/>
          <w:snapToGrid w:val="0"/>
          <w:sz w:val="21"/>
          <w:szCs w:val="21"/>
        </w:rPr>
        <w:t>（3）在本单位</w:t>
      </w:r>
      <w:r>
        <w:rPr>
          <w:rFonts w:hint="eastAsia"/>
          <w:sz w:val="21"/>
          <w:szCs w:val="21"/>
        </w:rPr>
        <w:t>（或其分支机构）</w:t>
      </w:r>
      <w:r>
        <w:rPr>
          <w:rFonts w:hint="eastAsia"/>
          <w:snapToGrid w:val="0"/>
          <w:sz w:val="21"/>
          <w:szCs w:val="21"/>
        </w:rPr>
        <w:t>缴纳社保的证明（至少</w:t>
      </w:r>
      <w:r>
        <w:rPr>
          <w:rFonts w:hint="eastAsia"/>
          <w:snapToGrid w:val="0"/>
          <w:sz w:val="21"/>
          <w:szCs w:val="21"/>
          <w:lang w:val="en-US" w:eastAsia="zh-CN"/>
        </w:rPr>
        <w:t>3</w:t>
      </w:r>
      <w:r>
        <w:rPr>
          <w:rFonts w:hint="eastAsia"/>
          <w:snapToGrid w:val="0"/>
          <w:sz w:val="21"/>
          <w:szCs w:val="21"/>
        </w:rPr>
        <w:t>个月，其中必须有2026年5月）彩色扫描件。拟派人员为退休返聘人员无法提供社保证明的，提供退休证和劳动合同彩色扫描件；</w:t>
      </w:r>
    </w:p>
    <w:p w14:paraId="434B0A43">
      <w:pPr>
        <w:wordWrap w:val="0"/>
        <w:adjustRightInd w:val="0"/>
        <w:snapToGrid w:val="0"/>
        <w:spacing w:line="400" w:lineRule="exact"/>
        <w:ind w:firstLine="420" w:firstLineChars="200"/>
        <w:rPr>
          <w:snapToGrid w:val="0"/>
          <w:szCs w:val="21"/>
        </w:rPr>
      </w:pPr>
      <w:r>
        <w:rPr>
          <w:rFonts w:hint="eastAsia"/>
          <w:snapToGrid w:val="0"/>
          <w:sz w:val="21"/>
          <w:szCs w:val="21"/>
        </w:rPr>
        <w:t xml:space="preserve"> </w:t>
      </w:r>
      <w:r>
        <w:rPr>
          <w:rFonts w:hint="eastAsia"/>
          <w:snapToGrid w:val="0"/>
          <w:sz w:val="21"/>
          <w:szCs w:val="21"/>
          <w:lang w:eastAsia="zh-CN"/>
        </w:rPr>
        <w:t>2.</w:t>
      </w:r>
      <w:r>
        <w:rPr>
          <w:rFonts w:hint="eastAsia"/>
          <w:snapToGrid w:val="0"/>
          <w:sz w:val="21"/>
          <w:szCs w:val="21"/>
        </w:rPr>
        <w:t>联合体投标的，《本项目拟投入的人员基本情况表》应包括联合体成员单位参与项目管理机构的人员，并提供以上所需资料。</w:t>
      </w:r>
    </w:p>
    <w:p w14:paraId="30D576AC">
      <w:pPr>
        <w:snapToGrid w:val="0"/>
        <w:spacing w:line="440" w:lineRule="exact"/>
        <w:outlineLvl w:val="1"/>
        <w:rPr>
          <w:rStyle w:val="40"/>
          <w:rFonts w:ascii="宋体" w:hAnsi="宋体"/>
          <w:b/>
          <w:bCs/>
        </w:rPr>
      </w:pPr>
      <w:bookmarkStart w:id="695" w:name="_Toc5749"/>
      <w:r>
        <w:rPr>
          <w:rFonts w:hint="eastAsia"/>
          <w:b/>
          <w:bCs/>
          <w:sz w:val="21"/>
          <w:szCs w:val="21"/>
        </w:rPr>
        <w:br w:type="page"/>
      </w:r>
      <w:bookmarkEnd w:id="695"/>
      <w:bookmarkStart w:id="696" w:name="_Toc9436"/>
      <w:bookmarkStart w:id="697" w:name="_Toc396"/>
      <w:bookmarkStart w:id="698" w:name="_Toc6426"/>
      <w:bookmarkStart w:id="699" w:name="_Toc4328"/>
      <w:r>
        <w:rPr>
          <w:rStyle w:val="40"/>
          <w:rFonts w:hint="eastAsia" w:ascii="宋体" w:hAnsi="宋体"/>
          <w:b/>
          <w:bCs/>
        </w:rPr>
        <w:t>格式八 法定代表人身份证明</w:t>
      </w:r>
      <w:bookmarkEnd w:id="696"/>
      <w:bookmarkEnd w:id="697"/>
    </w:p>
    <w:bookmarkEnd w:id="698"/>
    <w:bookmarkEnd w:id="699"/>
    <w:p w14:paraId="08365F28">
      <w:pPr>
        <w:snapToGrid w:val="0"/>
        <w:spacing w:line="440" w:lineRule="exact"/>
        <w:rPr>
          <w:b/>
          <w:szCs w:val="21"/>
        </w:rPr>
      </w:pPr>
      <w:r>
        <w:rPr>
          <w:rStyle w:val="40"/>
          <w:rFonts w:hint="eastAsia" w:ascii="宋体" w:hAnsi="宋体"/>
          <w:b/>
          <w:bCs/>
          <w:sz w:val="21"/>
          <w:szCs w:val="21"/>
        </w:rPr>
        <w:t xml:space="preserve">  </w:t>
      </w:r>
      <w:r>
        <w:rPr>
          <w:rFonts w:hint="eastAsia"/>
          <w:b/>
          <w:sz w:val="21"/>
          <w:szCs w:val="21"/>
        </w:rPr>
        <w:t xml:space="preserve">                         </w:t>
      </w:r>
    </w:p>
    <w:p w14:paraId="28ED3DA0">
      <w:pPr>
        <w:snapToGrid w:val="0"/>
        <w:spacing w:line="440" w:lineRule="exact"/>
        <w:jc w:val="center"/>
        <w:rPr>
          <w:b/>
        </w:rPr>
      </w:pPr>
      <w:r>
        <w:rPr>
          <w:rFonts w:hint="eastAsia"/>
          <w:b/>
        </w:rPr>
        <w:t>法定代表人身份证明</w:t>
      </w:r>
    </w:p>
    <w:p w14:paraId="3061F087">
      <w:pPr>
        <w:adjustRightInd w:val="0"/>
        <w:snapToGrid w:val="0"/>
        <w:spacing w:line="440" w:lineRule="exact"/>
      </w:pPr>
    </w:p>
    <w:p w14:paraId="385536DF">
      <w:pPr>
        <w:snapToGrid w:val="0"/>
        <w:spacing w:line="440" w:lineRule="exact"/>
        <w:rPr>
          <w:u w:val="single"/>
        </w:rPr>
      </w:pPr>
      <w:bookmarkStart w:id="700" w:name="_Toc48547015"/>
      <w:bookmarkStart w:id="701" w:name="_Toc118541763"/>
      <w:bookmarkStart w:id="702" w:name="_Toc535300004"/>
      <w:r>
        <w:rPr>
          <w:rFonts w:hint="eastAsia"/>
        </w:rPr>
        <w:t>投 标 人：</w:t>
      </w:r>
      <w:r>
        <w:rPr>
          <w:rFonts w:hint="eastAsia"/>
          <w:u w:val="single"/>
        </w:rPr>
        <w:t xml:space="preserve">                                                              </w:t>
      </w:r>
    </w:p>
    <w:p w14:paraId="3826DBF5">
      <w:pPr>
        <w:snapToGrid w:val="0"/>
        <w:spacing w:line="440" w:lineRule="exact"/>
        <w:rPr>
          <w:u w:val="single"/>
        </w:rPr>
      </w:pPr>
      <w:r>
        <w:rPr>
          <w:rFonts w:hint="eastAsia"/>
        </w:rPr>
        <w:t>单位性质：</w:t>
      </w:r>
      <w:r>
        <w:rPr>
          <w:rFonts w:hint="eastAsia"/>
          <w:u w:val="single"/>
        </w:rPr>
        <w:t xml:space="preserve">                                                              </w:t>
      </w:r>
    </w:p>
    <w:p w14:paraId="45D122C4">
      <w:pPr>
        <w:snapToGrid w:val="0"/>
        <w:spacing w:line="440" w:lineRule="exact"/>
        <w:rPr>
          <w:u w:val="single"/>
        </w:rPr>
      </w:pPr>
      <w:r>
        <w:rPr>
          <w:rFonts w:hint="eastAsia"/>
        </w:rPr>
        <w:t>地    址：</w:t>
      </w:r>
      <w:r>
        <w:rPr>
          <w:rFonts w:hint="eastAsia"/>
          <w:u w:val="single"/>
        </w:rPr>
        <w:t xml:space="preserve">                                                              </w:t>
      </w:r>
    </w:p>
    <w:p w14:paraId="032F8E1A">
      <w:pPr>
        <w:snapToGrid w:val="0"/>
        <w:spacing w:line="440" w:lineRule="exact"/>
      </w:pPr>
      <w:r>
        <w:rPr>
          <w:rFonts w:hint="eastAsia"/>
        </w:rPr>
        <w:t>成立时间：</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  联系电话：</w:t>
      </w:r>
      <w:r>
        <w:rPr>
          <w:rFonts w:hint="eastAsia"/>
          <w:u w:val="single"/>
        </w:rPr>
        <w:t xml:space="preserve">                      </w:t>
      </w:r>
    </w:p>
    <w:p w14:paraId="526B2734">
      <w:pPr>
        <w:snapToGrid w:val="0"/>
        <w:spacing w:line="440" w:lineRule="exact"/>
      </w:pPr>
      <w:r>
        <w:rPr>
          <w:rFonts w:hint="eastAsia"/>
        </w:rPr>
        <w:t>营业执照号码：</w:t>
      </w:r>
      <w:r>
        <w:rPr>
          <w:rFonts w:hint="eastAsia"/>
          <w:u w:val="single"/>
        </w:rPr>
        <w:t xml:space="preserve">                       </w:t>
      </w:r>
      <w:r>
        <w:rPr>
          <w:rFonts w:hint="eastAsia"/>
        </w:rPr>
        <w:t xml:space="preserve">   经营期限：</w:t>
      </w:r>
      <w:r>
        <w:rPr>
          <w:rFonts w:hint="eastAsia"/>
          <w:u w:val="single"/>
        </w:rPr>
        <w:t xml:space="preserve">                      </w:t>
      </w:r>
      <w:r>
        <w:rPr>
          <w:rFonts w:hint="eastAsia"/>
        </w:rPr>
        <w:t xml:space="preserve"> </w:t>
      </w:r>
    </w:p>
    <w:p w14:paraId="73CBD2BA">
      <w:pPr>
        <w:snapToGrid w:val="0"/>
        <w:spacing w:line="440" w:lineRule="exact"/>
        <w:rPr>
          <w:u w:val="single"/>
        </w:rPr>
      </w:pPr>
      <w:r>
        <w:rPr>
          <w:rFonts w:hint="eastAsia"/>
        </w:rPr>
        <w:t>主    营：</w:t>
      </w:r>
      <w:r>
        <w:rPr>
          <w:rFonts w:hint="eastAsia"/>
          <w:u w:val="single"/>
        </w:rPr>
        <w:t xml:space="preserve">                           </w:t>
      </w:r>
      <w:r>
        <w:rPr>
          <w:rFonts w:hint="eastAsia"/>
        </w:rPr>
        <w:t xml:space="preserve">   兼    营：</w:t>
      </w:r>
      <w:r>
        <w:rPr>
          <w:rFonts w:hint="eastAsia"/>
          <w:u w:val="single"/>
        </w:rPr>
        <w:t xml:space="preserve">                      </w:t>
      </w:r>
    </w:p>
    <w:p w14:paraId="6D601C6F">
      <w:pPr>
        <w:snapToGrid w:val="0"/>
        <w:spacing w:line="440" w:lineRule="exact"/>
      </w:pPr>
    </w:p>
    <w:p w14:paraId="1B2FB9B3">
      <w:pPr>
        <w:snapToGrid w:val="0"/>
        <w:spacing w:line="440" w:lineRule="exact"/>
        <w:rPr>
          <w:u w:val="single"/>
        </w:rPr>
      </w:pPr>
      <w:r>
        <w:rPr>
          <w:rFonts w:hint="eastAsia"/>
        </w:rPr>
        <w:t>姓    名：</w:t>
      </w:r>
      <w:r>
        <w:rPr>
          <w:rFonts w:hint="eastAsia"/>
          <w:u w:val="single"/>
        </w:rPr>
        <w:t xml:space="preserve">                          </w:t>
      </w:r>
      <w:r>
        <w:rPr>
          <w:rFonts w:hint="eastAsia"/>
        </w:rPr>
        <w:t xml:space="preserve">    性    别：</w:t>
      </w:r>
      <w:r>
        <w:rPr>
          <w:rFonts w:hint="eastAsia"/>
          <w:u w:val="single"/>
        </w:rPr>
        <w:t xml:space="preserve">                      </w:t>
      </w:r>
    </w:p>
    <w:p w14:paraId="10F3C6BF">
      <w:pPr>
        <w:snapToGrid w:val="0"/>
        <w:spacing w:line="440" w:lineRule="exact"/>
        <w:rPr>
          <w:u w:val="single"/>
        </w:rPr>
      </w:pPr>
      <w:r>
        <w:rPr>
          <w:rFonts w:hint="eastAsia"/>
        </w:rPr>
        <w:t>年    龄：</w:t>
      </w:r>
      <w:r>
        <w:rPr>
          <w:rFonts w:hint="eastAsia"/>
          <w:u w:val="single"/>
        </w:rPr>
        <w:t xml:space="preserve">                          </w:t>
      </w:r>
      <w:r>
        <w:rPr>
          <w:rFonts w:hint="eastAsia"/>
        </w:rPr>
        <w:t xml:space="preserve">    职    务：</w:t>
      </w:r>
      <w:r>
        <w:rPr>
          <w:rFonts w:hint="eastAsia"/>
          <w:u w:val="single"/>
        </w:rPr>
        <w:t xml:space="preserve">                      </w:t>
      </w:r>
    </w:p>
    <w:p w14:paraId="731C4222">
      <w:pPr>
        <w:snapToGrid w:val="0"/>
        <w:spacing w:line="440" w:lineRule="exact"/>
        <w:rPr>
          <w:u w:val="single"/>
        </w:rPr>
      </w:pPr>
      <w:r>
        <w:rPr>
          <w:rFonts w:hint="eastAsia"/>
        </w:rPr>
        <w:t>身份证号码：</w:t>
      </w:r>
      <w:r>
        <w:rPr>
          <w:rFonts w:hint="eastAsia"/>
          <w:u w:val="single"/>
        </w:rPr>
        <w:t xml:space="preserve">                        </w:t>
      </w:r>
      <w:r>
        <w:rPr>
          <w:rFonts w:hint="eastAsia"/>
        </w:rPr>
        <w:t xml:space="preserve">    手机号码：</w:t>
      </w:r>
      <w:r>
        <w:rPr>
          <w:rFonts w:hint="eastAsia"/>
          <w:u w:val="single"/>
        </w:rPr>
        <w:t xml:space="preserve">                      </w:t>
      </w:r>
    </w:p>
    <w:p w14:paraId="1E220DC3">
      <w:pPr>
        <w:snapToGrid w:val="0"/>
        <w:spacing w:line="440" w:lineRule="exact"/>
      </w:pPr>
      <w:r>
        <w:rPr>
          <w:rFonts w:hint="eastAsia"/>
        </w:rPr>
        <w:t>系</w:t>
      </w:r>
      <w:r>
        <w:rPr>
          <w:rFonts w:hint="eastAsia"/>
          <w:u w:val="single"/>
        </w:rPr>
        <w:t xml:space="preserve">                                        </w:t>
      </w:r>
      <w:r>
        <w:rPr>
          <w:rFonts w:hint="eastAsia"/>
        </w:rPr>
        <w:t>（投标人名称）的法定代表人。</w:t>
      </w:r>
    </w:p>
    <w:p w14:paraId="1B76AB9D">
      <w:pPr>
        <w:snapToGrid w:val="0"/>
        <w:spacing w:line="440" w:lineRule="exact"/>
      </w:pPr>
      <w:r>
        <w:rPr>
          <w:rFonts w:hint="eastAsia"/>
        </w:rPr>
        <w:t>特此证明。</w:t>
      </w:r>
    </w:p>
    <w:p w14:paraId="32A25B3C">
      <w:pPr>
        <w:snapToGrid w:val="0"/>
        <w:spacing w:line="440" w:lineRule="exact"/>
      </w:pPr>
    </w:p>
    <w:p w14:paraId="1992E54A">
      <w:pPr>
        <w:snapToGrid w:val="0"/>
        <w:spacing w:line="440" w:lineRule="exact"/>
      </w:pPr>
    </w:p>
    <w:p w14:paraId="33730F37">
      <w:pPr>
        <w:snapToGrid w:val="0"/>
        <w:spacing w:line="440" w:lineRule="exact"/>
        <w:jc w:val="right"/>
      </w:pPr>
      <w:r>
        <w:rPr>
          <w:rFonts w:hint="eastAsia"/>
        </w:rPr>
        <w:t>投标人：</w:t>
      </w:r>
      <w:r>
        <w:rPr>
          <w:rFonts w:hint="eastAsia"/>
          <w:u w:val="single"/>
        </w:rPr>
        <w:t xml:space="preserve">                          </w:t>
      </w:r>
      <w:r>
        <w:rPr>
          <w:rFonts w:hint="eastAsia"/>
        </w:rPr>
        <w:t>（单位公章）</w:t>
      </w:r>
    </w:p>
    <w:p w14:paraId="601B87D2">
      <w:pPr>
        <w:snapToGrid w:val="0"/>
        <w:spacing w:line="440" w:lineRule="exact"/>
        <w:jc w:val="right"/>
      </w:pPr>
    </w:p>
    <w:p w14:paraId="1B367123">
      <w:pPr>
        <w:snapToGrid w:val="0"/>
        <w:spacing w:line="440" w:lineRule="exact"/>
      </w:pPr>
      <w:r>
        <w:rPr>
          <w:rFonts w:hint="eastAsia"/>
        </w:rPr>
        <w:t xml:space="preserve">                            法定代表人：</w:t>
      </w:r>
      <w:r>
        <w:rPr>
          <w:rFonts w:hint="eastAsia"/>
          <w:u w:val="single"/>
        </w:rPr>
        <w:t xml:space="preserve">                     </w:t>
      </w:r>
      <w:r>
        <w:rPr>
          <w:rFonts w:hint="eastAsia"/>
        </w:rPr>
        <w:t>（签字或盖章）</w:t>
      </w:r>
    </w:p>
    <w:p w14:paraId="129F0A22">
      <w:pPr>
        <w:snapToGrid w:val="0"/>
        <w:spacing w:line="440" w:lineRule="exact"/>
        <w:jc w:val="center"/>
      </w:pPr>
      <w:r>
        <w:rPr>
          <w:rFonts w:hint="eastAsia"/>
        </w:rPr>
        <w:t xml:space="preserve">                        </w:t>
      </w:r>
    </w:p>
    <w:p w14:paraId="7A547996">
      <w:pPr>
        <w:snapToGrid w:val="0"/>
        <w:spacing w:line="440" w:lineRule="exact"/>
        <w:jc w:val="center"/>
        <w:rPr>
          <w:szCs w:val="21"/>
        </w:rPr>
      </w:pPr>
      <w:r>
        <w:rPr>
          <w:rFonts w:hint="eastAsia"/>
        </w:rPr>
        <w:t xml:space="preserve">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 xml:space="preserve">日 </w:t>
      </w:r>
      <w:r>
        <w:rPr>
          <w:rFonts w:hint="eastAsia"/>
          <w:sz w:val="21"/>
          <w:szCs w:val="21"/>
        </w:rPr>
        <w:t xml:space="preserve">      </w:t>
      </w:r>
    </w:p>
    <w:p w14:paraId="15C97B63">
      <w:pPr>
        <w:snapToGrid w:val="0"/>
        <w:spacing w:line="440" w:lineRule="exact"/>
        <w:ind w:firstLine="210" w:firstLineChars="100"/>
        <w:rPr>
          <w:szCs w:val="21"/>
        </w:rPr>
      </w:pPr>
      <w:r>
        <w:rPr>
          <w:rFonts w:hint="eastAsia"/>
          <w:sz w:val="21"/>
          <w:szCs w:val="21"/>
        </w:rPr>
        <w:t xml:space="preserve">     </w:t>
      </w:r>
    </w:p>
    <w:p w14:paraId="6D8F3D3C">
      <w:pPr>
        <w:snapToGrid w:val="0"/>
        <w:spacing w:line="440" w:lineRule="exact"/>
        <w:ind w:firstLine="630" w:firstLineChars="300"/>
        <w:rPr>
          <w:b/>
          <w:szCs w:val="21"/>
        </w:rPr>
      </w:pPr>
      <w:r>
        <w:rPr>
          <w:rFonts w:hint="eastAsia"/>
          <w:sz w:val="21"/>
          <w:szCs w:val="21"/>
        </w:rPr>
        <w:t xml:space="preserve">  </w:t>
      </w:r>
      <w:r>
        <w:rPr>
          <w:rFonts w:hint="eastAsia"/>
          <w:i/>
          <w:iCs/>
          <w:sz w:val="21"/>
          <w:szCs w:val="21"/>
        </w:rPr>
        <w:t xml:space="preserve"> </w:t>
      </w:r>
    </w:p>
    <w:p w14:paraId="2B2D1073">
      <w:pPr>
        <w:rPr>
          <w:b/>
          <w:szCs w:val="21"/>
        </w:rPr>
      </w:pPr>
      <w:r>
        <w:rPr>
          <w:rFonts w:hint="eastAsia"/>
          <w:b/>
          <w:szCs w:val="21"/>
        </w:rPr>
        <mc:AlternateContent>
          <mc:Choice Requires="wps">
            <w:drawing>
              <wp:anchor distT="0" distB="0" distL="114300" distR="114300" simplePos="0" relativeHeight="251661312"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1" name="自选图形 18"/>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45A2905">
                            <w:pPr>
                              <w:jc w:val="center"/>
                              <w:rPr>
                                <w:szCs w:val="21"/>
                              </w:rPr>
                            </w:pPr>
                          </w:p>
                          <w:p w14:paraId="31E47657">
                            <w:pPr>
                              <w:jc w:val="center"/>
                              <w:rPr>
                                <w:szCs w:val="21"/>
                              </w:rPr>
                            </w:pPr>
                          </w:p>
                          <w:p w14:paraId="249CB30F">
                            <w:pPr>
                              <w:jc w:val="center"/>
                              <w:rPr>
                                <w:szCs w:val="21"/>
                              </w:rPr>
                            </w:pPr>
                          </w:p>
                          <w:p w14:paraId="2A8E1CEB">
                            <w:pPr>
                              <w:jc w:val="center"/>
                              <w:rPr>
                                <w:szCs w:val="21"/>
                              </w:rPr>
                            </w:pPr>
                            <w:r>
                              <w:rPr>
                                <w:rFonts w:hint="eastAsia"/>
                                <w:szCs w:val="21"/>
                              </w:rPr>
                              <w:t>法定代表人身份证彩色扫描件正、反面</w:t>
                            </w:r>
                          </w:p>
                        </w:txbxContent>
                      </wps:txbx>
                      <wps:bodyPr upright="1"/>
                    </wps:wsp>
                  </a:graphicData>
                </a:graphic>
              </wp:anchor>
            </w:drawing>
          </mc:Choice>
          <mc:Fallback>
            <w:pict>
              <v:shape id="自选图形 18" o:spid="_x0000_s1026" o:spt="176" type="#_x0000_t176" style="position:absolute;left:0pt;margin-left:127.5pt;margin-top:1.6pt;height:124.75pt;width:222.45pt;z-index:251661312;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B4V1KbYAAAACQEA&#10;AA8AAAAAAAAAAQAgAAAAIgAAAGRycy9kb3ducmV2LnhtbFBLAQIUABQAAAAIAIdO4kBnrG0jGgIA&#10;AEYEAAAOAAAAAAAAAAEAIAAAACcBAABkcnMvZTJvRG9jLnhtbFBLBQYAAAAABgAGAFkBAACzBQAA&#10;AAA=&#10;">
                <v:fill on="t" focussize="0,0"/>
                <v:stroke color="#000000" joinstyle="miter"/>
                <v:imagedata o:title=""/>
                <o:lock v:ext="edit" aspectratio="f"/>
                <v:textbox>
                  <w:txbxContent>
                    <w:p w14:paraId="245A2905">
                      <w:pPr>
                        <w:jc w:val="center"/>
                        <w:rPr>
                          <w:szCs w:val="21"/>
                        </w:rPr>
                      </w:pPr>
                    </w:p>
                    <w:p w14:paraId="31E47657">
                      <w:pPr>
                        <w:jc w:val="center"/>
                        <w:rPr>
                          <w:szCs w:val="21"/>
                        </w:rPr>
                      </w:pPr>
                    </w:p>
                    <w:p w14:paraId="249CB30F">
                      <w:pPr>
                        <w:jc w:val="center"/>
                        <w:rPr>
                          <w:szCs w:val="21"/>
                        </w:rPr>
                      </w:pPr>
                    </w:p>
                    <w:p w14:paraId="2A8E1CEB">
                      <w:pPr>
                        <w:jc w:val="center"/>
                        <w:rPr>
                          <w:szCs w:val="21"/>
                        </w:rPr>
                      </w:pPr>
                      <w:r>
                        <w:rPr>
                          <w:rFonts w:hint="eastAsia"/>
                          <w:szCs w:val="21"/>
                        </w:rPr>
                        <w:t>法定代表人身份证彩色扫描件正、反面</w:t>
                      </w:r>
                    </w:p>
                  </w:txbxContent>
                </v:textbox>
              </v:shape>
            </w:pict>
          </mc:Fallback>
        </mc:AlternateContent>
      </w:r>
    </w:p>
    <w:p w14:paraId="7ADCC398">
      <w:pPr>
        <w:tabs>
          <w:tab w:val="left" w:pos="654"/>
          <w:tab w:val="left" w:pos="1734"/>
          <w:tab w:val="left" w:pos="2814"/>
          <w:tab w:val="left" w:pos="3894"/>
          <w:tab w:val="left" w:pos="5334"/>
          <w:tab w:val="left" w:pos="6414"/>
          <w:tab w:val="left" w:pos="7254"/>
          <w:tab w:val="left" w:pos="8574"/>
          <w:tab w:val="left" w:pos="9654"/>
        </w:tabs>
        <w:rPr>
          <w:szCs w:val="21"/>
        </w:rPr>
      </w:pPr>
    </w:p>
    <w:p w14:paraId="0248AACA">
      <w:pPr>
        <w:spacing w:line="480" w:lineRule="exact"/>
        <w:jc w:val="center"/>
        <w:rPr>
          <w:b/>
          <w:szCs w:val="21"/>
        </w:rPr>
      </w:pPr>
      <w:bookmarkStart w:id="703" w:name="_Toc210101349"/>
    </w:p>
    <w:p w14:paraId="38CCB191">
      <w:pPr>
        <w:spacing w:line="480" w:lineRule="exact"/>
        <w:jc w:val="center"/>
        <w:rPr>
          <w:b/>
          <w:szCs w:val="21"/>
        </w:rPr>
      </w:pPr>
    </w:p>
    <w:p w14:paraId="1FC4EBA2">
      <w:pPr>
        <w:spacing w:line="480" w:lineRule="exact"/>
        <w:jc w:val="center"/>
        <w:rPr>
          <w:b/>
          <w:szCs w:val="21"/>
        </w:rPr>
      </w:pPr>
    </w:p>
    <w:p w14:paraId="60907C2B">
      <w:pPr>
        <w:snapToGrid w:val="0"/>
        <w:spacing w:line="440" w:lineRule="exact"/>
        <w:outlineLvl w:val="1"/>
        <w:rPr>
          <w:b/>
          <w:szCs w:val="21"/>
        </w:rPr>
      </w:pPr>
      <w:r>
        <w:rPr>
          <w:rFonts w:hint="eastAsia"/>
          <w:b/>
          <w:sz w:val="21"/>
          <w:szCs w:val="21"/>
        </w:rPr>
        <w:br w:type="page"/>
      </w:r>
      <w:bookmarkStart w:id="704" w:name="_Toc20543"/>
      <w:bookmarkStart w:id="705" w:name="_Toc2372"/>
      <w:bookmarkStart w:id="706" w:name="_Toc7068"/>
      <w:bookmarkStart w:id="707" w:name="_Toc3091"/>
      <w:r>
        <w:rPr>
          <w:rStyle w:val="40"/>
          <w:rFonts w:hint="eastAsia" w:ascii="宋体" w:hAnsi="宋体"/>
          <w:b/>
          <w:bCs/>
        </w:rPr>
        <w:t xml:space="preserve">格式九 </w:t>
      </w:r>
      <w:bookmarkEnd w:id="704"/>
      <w:bookmarkEnd w:id="705"/>
      <w:r>
        <w:rPr>
          <w:rFonts w:hint="eastAsia"/>
          <w:b/>
        </w:rPr>
        <w:t>法定代表人授权委托书</w:t>
      </w:r>
      <w:bookmarkEnd w:id="706"/>
      <w:bookmarkEnd w:id="707"/>
    </w:p>
    <w:p w14:paraId="21F8610E">
      <w:pPr>
        <w:snapToGrid w:val="0"/>
        <w:spacing w:line="440" w:lineRule="exact"/>
        <w:rPr>
          <w:b/>
          <w:szCs w:val="21"/>
        </w:rPr>
      </w:pPr>
      <w:r>
        <w:rPr>
          <w:rStyle w:val="40"/>
          <w:rFonts w:hint="eastAsia" w:ascii="宋体" w:hAnsi="宋体"/>
          <w:b/>
          <w:bCs/>
          <w:sz w:val="21"/>
          <w:szCs w:val="21"/>
        </w:rPr>
        <w:t xml:space="preserve"> </w:t>
      </w:r>
      <w:r>
        <w:rPr>
          <w:rFonts w:hint="eastAsia"/>
          <w:b/>
          <w:sz w:val="21"/>
          <w:szCs w:val="21"/>
        </w:rPr>
        <w:t xml:space="preserve">                         </w:t>
      </w:r>
    </w:p>
    <w:bookmarkEnd w:id="700"/>
    <w:bookmarkEnd w:id="701"/>
    <w:bookmarkEnd w:id="702"/>
    <w:bookmarkEnd w:id="703"/>
    <w:p w14:paraId="50B00AFC">
      <w:pPr>
        <w:snapToGrid w:val="0"/>
        <w:spacing w:line="440" w:lineRule="exact"/>
        <w:jc w:val="center"/>
        <w:rPr>
          <w:b/>
          <w:szCs w:val="21"/>
        </w:rPr>
      </w:pPr>
      <w:r>
        <w:rPr>
          <w:rFonts w:hint="eastAsia"/>
          <w:b/>
          <w:sz w:val="21"/>
          <w:szCs w:val="21"/>
        </w:rPr>
        <w:t>法定代表人授权委托书</w:t>
      </w:r>
    </w:p>
    <w:p w14:paraId="0CA24888">
      <w:pPr>
        <w:adjustRightInd w:val="0"/>
        <w:snapToGrid w:val="0"/>
        <w:spacing w:line="440" w:lineRule="exact"/>
        <w:rPr>
          <w:szCs w:val="21"/>
        </w:rPr>
      </w:pPr>
    </w:p>
    <w:p w14:paraId="48C53ADC">
      <w:pPr>
        <w:snapToGrid w:val="0"/>
        <w:spacing w:line="440" w:lineRule="exact"/>
      </w:pPr>
      <w:r>
        <w:rPr>
          <w:rFonts w:hint="eastAsia"/>
          <w:sz w:val="21"/>
          <w:szCs w:val="21"/>
        </w:rPr>
        <w:t xml:space="preserve">    </w:t>
      </w:r>
      <w:r>
        <w:rPr>
          <w:rFonts w:hint="eastAsia"/>
        </w:rPr>
        <w:t>本人</w:t>
      </w:r>
      <w:r>
        <w:rPr>
          <w:rFonts w:hint="eastAsia"/>
          <w:u w:val="single"/>
        </w:rPr>
        <w:t xml:space="preserve">      </w:t>
      </w:r>
      <w:r>
        <w:rPr>
          <w:rFonts w:hint="eastAsia"/>
        </w:rPr>
        <w:t>（姓名）系</w:t>
      </w:r>
      <w:r>
        <w:rPr>
          <w:rFonts w:hint="eastAsia"/>
          <w:u w:val="single"/>
        </w:rPr>
        <w:t xml:space="preserve">         </w:t>
      </w:r>
      <w:r>
        <w:rPr>
          <w:rFonts w:hint="eastAsia"/>
        </w:rPr>
        <w:t>（投标人名称）的法定代表人，现委托</w:t>
      </w:r>
      <w:r>
        <w:rPr>
          <w:rFonts w:hint="eastAsia"/>
          <w:u w:val="single"/>
        </w:rPr>
        <w:t xml:space="preserve">     </w:t>
      </w:r>
      <w:r>
        <w:rPr>
          <w:rFonts w:hint="eastAsia"/>
        </w:rPr>
        <w:t>（姓名）为我方代理人。代理人根据授权，以我方名义签署、澄清、说明、补正、递交、撤回、修改</w:t>
      </w:r>
      <w:r>
        <w:rPr>
          <w:rFonts w:hint="eastAsia"/>
          <w:u w:val="single"/>
        </w:rPr>
        <w:t xml:space="preserve">             </w:t>
      </w:r>
      <w:r>
        <w:rPr>
          <w:rFonts w:hint="eastAsia"/>
        </w:rPr>
        <w:t>（项目名称）投标文件、签订合同和处理有关事宜，其法律后果由我方承担。</w:t>
      </w:r>
    </w:p>
    <w:p w14:paraId="516FDF44">
      <w:pPr>
        <w:snapToGrid w:val="0"/>
        <w:spacing w:line="440" w:lineRule="exact"/>
        <w:ind w:firstLine="480" w:firstLineChars="200"/>
      </w:pPr>
      <w:r>
        <w:rPr>
          <w:rFonts w:hint="eastAsia"/>
        </w:rPr>
        <w:t>委托期限：</w:t>
      </w:r>
      <w:r>
        <w:rPr>
          <w:rFonts w:hint="eastAsia"/>
          <w:u w:val="single"/>
        </w:rPr>
        <w:t xml:space="preserve">至投标有效期的期满之日止  </w:t>
      </w:r>
      <w:r>
        <w:rPr>
          <w:rFonts w:hint="eastAsia"/>
        </w:rPr>
        <w:t xml:space="preserve"> 。</w:t>
      </w:r>
    </w:p>
    <w:p w14:paraId="4BD50945">
      <w:pPr>
        <w:snapToGrid w:val="0"/>
        <w:spacing w:line="440" w:lineRule="exact"/>
      </w:pPr>
      <w:r>
        <w:rPr>
          <w:rFonts w:hint="eastAsia"/>
        </w:rPr>
        <w:t xml:space="preserve">    代理人无转委托权。</w:t>
      </w:r>
    </w:p>
    <w:p w14:paraId="46D1868A">
      <w:pPr>
        <w:snapToGrid w:val="0"/>
        <w:spacing w:line="440" w:lineRule="exact"/>
        <w:ind w:firstLine="480" w:firstLineChars="200"/>
      </w:pPr>
    </w:p>
    <w:p w14:paraId="6F233A3D">
      <w:pPr>
        <w:snapToGrid w:val="0"/>
        <w:spacing w:line="440" w:lineRule="exact"/>
        <w:ind w:firstLine="480" w:firstLineChars="200"/>
      </w:pPr>
      <w:r>
        <w:rPr>
          <w:rFonts w:hint="eastAsia"/>
        </w:rPr>
        <w:t>　　　　　　　　　　　投  标  人：</w:t>
      </w:r>
      <w:r>
        <w:rPr>
          <w:rFonts w:hint="eastAsia"/>
          <w:u w:val="single"/>
        </w:rPr>
        <w:t xml:space="preserve">                        </w:t>
      </w:r>
      <w:r>
        <w:rPr>
          <w:rFonts w:hint="eastAsia"/>
        </w:rPr>
        <w:t>（单位公章）</w:t>
      </w:r>
    </w:p>
    <w:p w14:paraId="357E3BC2">
      <w:pPr>
        <w:snapToGrid w:val="0"/>
        <w:spacing w:line="440" w:lineRule="exact"/>
        <w:ind w:firstLine="480" w:firstLineChars="200"/>
      </w:pPr>
      <w:r>
        <w:rPr>
          <w:rFonts w:hint="eastAsia"/>
        </w:rPr>
        <w:t>　　　　　　　　　　　　　　　　　</w:t>
      </w:r>
    </w:p>
    <w:p w14:paraId="46C75638">
      <w:pPr>
        <w:snapToGrid w:val="0"/>
        <w:spacing w:line="440" w:lineRule="exact"/>
        <w:ind w:firstLine="480" w:firstLineChars="200"/>
      </w:pPr>
      <w:r>
        <w:rPr>
          <w:rFonts w:hint="eastAsia"/>
        </w:rPr>
        <w:t>　　　　　　　　　　　法定代表人：</w:t>
      </w:r>
      <w:r>
        <w:rPr>
          <w:rFonts w:hint="eastAsia"/>
          <w:u w:val="single"/>
        </w:rPr>
        <w:t xml:space="preserve">                        </w:t>
      </w:r>
      <w:r>
        <w:rPr>
          <w:rFonts w:hint="eastAsia"/>
        </w:rPr>
        <w:t>（签字或盖章）</w:t>
      </w:r>
    </w:p>
    <w:p w14:paraId="68438CE4">
      <w:pPr>
        <w:snapToGrid w:val="0"/>
        <w:spacing w:line="440" w:lineRule="exact"/>
        <w:ind w:firstLine="480" w:firstLineChars="200"/>
      </w:pPr>
      <w:r>
        <w:rPr>
          <w:rFonts w:hint="eastAsia"/>
        </w:rPr>
        <w:t>　　　　　　　　　　　　　　　　</w:t>
      </w:r>
    </w:p>
    <w:p w14:paraId="0280EBE9">
      <w:pPr>
        <w:snapToGrid w:val="0"/>
        <w:spacing w:line="440" w:lineRule="exact"/>
        <w:ind w:firstLine="480" w:firstLineChars="200"/>
        <w:rPr>
          <w:u w:val="single"/>
        </w:rPr>
      </w:pPr>
      <w:r>
        <w:rPr>
          <w:rFonts w:hint="eastAsia"/>
        </w:rPr>
        <w:t>　　　　　　　　　　　身份证号码：</w:t>
      </w:r>
      <w:r>
        <w:rPr>
          <w:rFonts w:hint="eastAsia"/>
          <w:u w:val="single"/>
        </w:rPr>
        <w:t xml:space="preserve">                                   </w:t>
      </w:r>
    </w:p>
    <w:p w14:paraId="26E6FE65">
      <w:pPr>
        <w:snapToGrid w:val="0"/>
        <w:spacing w:line="440" w:lineRule="exact"/>
        <w:ind w:firstLine="480" w:firstLineChars="200"/>
      </w:pPr>
      <w:r>
        <w:rPr>
          <w:rFonts w:hint="eastAsia"/>
        </w:rPr>
        <w:t>　　　　　　　　　　　　　　　　　</w:t>
      </w:r>
    </w:p>
    <w:p w14:paraId="06BA3DBE">
      <w:pPr>
        <w:snapToGrid w:val="0"/>
        <w:spacing w:line="440" w:lineRule="exact"/>
        <w:ind w:firstLine="480" w:firstLineChars="200"/>
      </w:pPr>
      <w:r>
        <w:rPr>
          <w:rFonts w:hint="eastAsia"/>
        </w:rPr>
        <w:t>　 　　　　　　　　　　委托代理人：</w:t>
      </w:r>
      <w:r>
        <w:rPr>
          <w:rFonts w:hint="eastAsia"/>
          <w:u w:val="single"/>
        </w:rPr>
        <w:t xml:space="preserve">                       </w:t>
      </w:r>
      <w:r>
        <w:rPr>
          <w:rFonts w:hint="eastAsia"/>
        </w:rPr>
        <w:t>（签字或盖章）</w:t>
      </w:r>
    </w:p>
    <w:p w14:paraId="31DF4C5C">
      <w:pPr>
        <w:snapToGrid w:val="0"/>
        <w:spacing w:line="440" w:lineRule="exact"/>
        <w:ind w:firstLine="480" w:firstLineChars="200"/>
      </w:pPr>
      <w:r>
        <w:rPr>
          <w:rFonts w:hint="eastAsia"/>
        </w:rPr>
        <w:t>　　　　　　　　　　　　　　　　　</w:t>
      </w:r>
    </w:p>
    <w:p w14:paraId="5E8130F3">
      <w:pPr>
        <w:snapToGrid w:val="0"/>
        <w:spacing w:line="440" w:lineRule="exact"/>
        <w:ind w:firstLine="480" w:firstLineChars="200"/>
        <w:rPr>
          <w:u w:val="single"/>
        </w:rPr>
      </w:pPr>
      <w:r>
        <w:rPr>
          <w:rFonts w:hint="eastAsia"/>
        </w:rPr>
        <w:t>　　　　　　　　　　　身份证号码：</w:t>
      </w:r>
      <w:r>
        <w:rPr>
          <w:rFonts w:hint="eastAsia"/>
          <w:u w:val="single"/>
        </w:rPr>
        <w:t xml:space="preserve">                                   </w:t>
      </w:r>
    </w:p>
    <w:p w14:paraId="1D3FB7B7">
      <w:pPr>
        <w:snapToGrid w:val="0"/>
        <w:spacing w:line="440" w:lineRule="exact"/>
        <w:ind w:firstLine="480" w:firstLineChars="200"/>
      </w:pPr>
      <w:r>
        <w:rPr>
          <w:rFonts w:hint="eastAsia"/>
        </w:rPr>
        <w:t>　　　　　　　　　　　　　　　　　</w:t>
      </w:r>
    </w:p>
    <w:p w14:paraId="3077AE5D">
      <w:pPr>
        <w:snapToGrid w:val="0"/>
        <w:spacing w:line="440" w:lineRule="exact"/>
        <w:ind w:firstLine="480" w:firstLineChars="200"/>
      </w:pPr>
      <w:r>
        <w:rPr>
          <w:rFonts w:hint="eastAsia"/>
        </w:rPr>
        <w:t xml:space="preserve">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14:paraId="7A68F92D">
      <w:pPr>
        <w:snapToGrid w:val="0"/>
        <w:spacing w:line="440" w:lineRule="exact"/>
        <w:ind w:firstLine="480" w:firstLineChars="200"/>
        <w:rPr>
          <w:szCs w:val="21"/>
        </w:rPr>
      </w:pPr>
    </w:p>
    <w:p w14:paraId="282C39EC">
      <w:pPr>
        <w:ind w:firstLine="5520" w:firstLineChars="2300"/>
        <w:rPr>
          <w:szCs w:val="21"/>
        </w:rPr>
      </w:pPr>
      <w:r>
        <w:rPr>
          <w:rFonts w:hint="eastAsia"/>
          <w:szCs w:val="21"/>
          <w:u w:val="single"/>
        </w:rPr>
        <mc:AlternateContent>
          <mc:Choice Requires="wps">
            <w:drawing>
              <wp:anchor distT="0" distB="0" distL="114300" distR="114300" simplePos="0" relativeHeight="251662336"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2"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417EBE5">
                            <w:pPr>
                              <w:jc w:val="center"/>
                              <w:rPr>
                                <w:szCs w:val="21"/>
                              </w:rPr>
                            </w:pPr>
                          </w:p>
                          <w:p w14:paraId="34C193EC">
                            <w:pPr>
                              <w:jc w:val="center"/>
                              <w:rPr>
                                <w:szCs w:val="21"/>
                              </w:rPr>
                            </w:pPr>
                          </w:p>
                          <w:p w14:paraId="01549583">
                            <w:pPr>
                              <w:jc w:val="center"/>
                              <w:rPr>
                                <w:szCs w:val="21"/>
                              </w:rPr>
                            </w:pPr>
                          </w:p>
                          <w:p w14:paraId="24F86EB9">
                            <w:pPr>
                              <w:jc w:val="center"/>
                              <w:rPr>
                                <w:szCs w:val="21"/>
                              </w:rPr>
                            </w:pPr>
                            <w:r>
                              <w:rPr>
                                <w:rFonts w:hint="eastAsia"/>
                                <w:szCs w:val="21"/>
                              </w:rPr>
                              <w:t>委托代理人身份证彩色扫描件正、反面</w:t>
                            </w:r>
                          </w:p>
                        </w:txbxContent>
                      </wps:txbx>
                      <wps:bodyPr upright="1"/>
                    </wps:wsp>
                  </a:graphicData>
                </a:graphic>
              </wp:anchor>
            </w:drawing>
          </mc:Choice>
          <mc:Fallback>
            <w:pict>
              <v:shape id="自选图形 19" o:spid="_x0000_s1026" o:spt="176" type="#_x0000_t176" style="position:absolute;left:0pt;margin-left:115.5pt;margin-top:2.6pt;height:124.75pt;width:251.25pt;z-index:251662336;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ayfTrNgAAAAJ&#10;AQAADwAAAAAAAAABACAAAAAiAAAAZHJzL2Rvd25yZXYueG1sUEsBAhQAFAAAAAgAh07iQPMLNIoc&#10;AgAARgQAAA4AAAAAAAAAAQAgAAAAJwEAAGRycy9lMm9Eb2MueG1sUEsFBgAAAAAGAAYAWQEAALUF&#10;AAAAAA==&#10;">
                <v:fill on="t" focussize="0,0"/>
                <v:stroke color="#000000" joinstyle="miter"/>
                <v:imagedata o:title=""/>
                <o:lock v:ext="edit" aspectratio="f"/>
                <v:textbox>
                  <w:txbxContent>
                    <w:p w14:paraId="5417EBE5">
                      <w:pPr>
                        <w:jc w:val="center"/>
                        <w:rPr>
                          <w:szCs w:val="21"/>
                        </w:rPr>
                      </w:pPr>
                    </w:p>
                    <w:p w14:paraId="34C193EC">
                      <w:pPr>
                        <w:jc w:val="center"/>
                        <w:rPr>
                          <w:szCs w:val="21"/>
                        </w:rPr>
                      </w:pPr>
                    </w:p>
                    <w:p w14:paraId="01549583">
                      <w:pPr>
                        <w:jc w:val="center"/>
                        <w:rPr>
                          <w:szCs w:val="21"/>
                        </w:rPr>
                      </w:pPr>
                    </w:p>
                    <w:p w14:paraId="24F86EB9">
                      <w:pPr>
                        <w:jc w:val="center"/>
                        <w:rPr>
                          <w:szCs w:val="21"/>
                        </w:rPr>
                      </w:pPr>
                      <w:r>
                        <w:rPr>
                          <w:rFonts w:hint="eastAsia"/>
                          <w:szCs w:val="21"/>
                        </w:rPr>
                        <w:t>委托代理人身份证彩色扫描件正、反面</w:t>
                      </w:r>
                    </w:p>
                  </w:txbxContent>
                </v:textbox>
              </v:shape>
            </w:pict>
          </mc:Fallback>
        </mc:AlternateContent>
      </w:r>
    </w:p>
    <w:p w14:paraId="43B6CEE7">
      <w:pPr>
        <w:pStyle w:val="11"/>
        <w:rPr>
          <w:szCs w:val="21"/>
        </w:rPr>
      </w:pPr>
    </w:p>
    <w:p w14:paraId="572C4849">
      <w:pPr>
        <w:rPr>
          <w:szCs w:val="21"/>
        </w:rPr>
      </w:pPr>
    </w:p>
    <w:p w14:paraId="58DE0697">
      <w:pPr>
        <w:rPr>
          <w:b/>
          <w:bCs/>
          <w:szCs w:val="21"/>
        </w:rPr>
      </w:pPr>
    </w:p>
    <w:p w14:paraId="58AFA22D">
      <w:pPr>
        <w:rPr>
          <w:b/>
          <w:bCs/>
          <w:szCs w:val="21"/>
        </w:rPr>
      </w:pPr>
    </w:p>
    <w:bookmarkEnd w:id="597"/>
    <w:p w14:paraId="64ED7196">
      <w:pPr>
        <w:rPr>
          <w:szCs w:val="21"/>
        </w:rPr>
      </w:pPr>
      <w:bookmarkStart w:id="708" w:name="_附件二：工期承诺书"/>
      <w:bookmarkEnd w:id="708"/>
      <w:bookmarkStart w:id="709" w:name="_附件二：近三年度主要施工项目（竣工及在建）一览表"/>
      <w:bookmarkEnd w:id="709"/>
      <w:bookmarkStart w:id="710" w:name="_附件一：投标函"/>
      <w:bookmarkEnd w:id="710"/>
      <w:bookmarkStart w:id="711" w:name="_附件四：工期承诺书"/>
      <w:bookmarkEnd w:id="711"/>
      <w:bookmarkStart w:id="712" w:name="_附件一：对招标文件条款自愿接受承诺书"/>
      <w:bookmarkEnd w:id="712"/>
      <w:bookmarkStart w:id="713" w:name="_附件五：综合评审合理低价法"/>
      <w:bookmarkEnd w:id="713"/>
      <w:r>
        <w:rPr>
          <w:rFonts w:hint="eastAsia"/>
          <w:b/>
          <w:bCs/>
          <w:sz w:val="21"/>
          <w:szCs w:val="21"/>
        </w:rPr>
        <w:br w:type="page"/>
      </w:r>
      <w:bookmarkStart w:id="714" w:name="_Toc19064"/>
      <w:bookmarkStart w:id="715" w:name="_Toc17438"/>
      <w:bookmarkStart w:id="716" w:name="_Toc3713121"/>
    </w:p>
    <w:p w14:paraId="042B6E26">
      <w:pPr>
        <w:pStyle w:val="100"/>
        <w:widowControl w:val="0"/>
        <w:wordWrap w:val="0"/>
        <w:adjustRightInd w:val="0"/>
        <w:snapToGrid w:val="0"/>
        <w:spacing w:before="240" w:after="240" w:line="440" w:lineRule="exact"/>
        <w:ind w:firstLine="0"/>
        <w:outlineLvl w:val="1"/>
        <w:rPr>
          <w:rFonts w:ascii="宋体" w:hAnsi="宋体" w:eastAsia="宋体" w:cs="宋体"/>
          <w:snapToGrid w:val="0"/>
          <w:sz w:val="24"/>
          <w:szCs w:val="24"/>
        </w:rPr>
      </w:pPr>
      <w:bookmarkStart w:id="717" w:name="_Toc18405"/>
      <w:bookmarkStart w:id="718" w:name="_Toc11957"/>
      <w:bookmarkStart w:id="719" w:name="_Toc11653"/>
      <w:bookmarkStart w:id="720" w:name="_Toc7922"/>
      <w:r>
        <w:rPr>
          <w:rStyle w:val="40"/>
          <w:rFonts w:hint="eastAsia" w:ascii="宋体" w:hAnsi="宋体" w:eastAsia="宋体" w:cs="宋体"/>
          <w:b/>
          <w:bCs/>
          <w:sz w:val="24"/>
        </w:rPr>
        <w:t xml:space="preserve">格式十 </w:t>
      </w:r>
      <w:bookmarkEnd w:id="717"/>
      <w:bookmarkEnd w:id="718"/>
      <w:r>
        <w:rPr>
          <w:rFonts w:hint="eastAsia" w:ascii="宋体" w:hAnsi="宋体" w:eastAsia="宋体" w:cs="宋体"/>
          <w:b/>
          <w:snapToGrid w:val="0"/>
          <w:sz w:val="24"/>
          <w:szCs w:val="24"/>
        </w:rPr>
        <w:t>联合体协议书</w:t>
      </w:r>
      <w:bookmarkEnd w:id="719"/>
      <w:bookmarkEnd w:id="720"/>
    </w:p>
    <w:p w14:paraId="112D5570">
      <w:pPr>
        <w:pStyle w:val="100"/>
        <w:widowControl w:val="0"/>
        <w:wordWrap w:val="0"/>
        <w:adjustRightInd w:val="0"/>
        <w:snapToGrid w:val="0"/>
        <w:spacing w:line="440" w:lineRule="exact"/>
        <w:ind w:firstLine="0"/>
        <w:rPr>
          <w:rStyle w:val="40"/>
          <w:rFonts w:ascii="宋体" w:hAnsi="宋体" w:eastAsia="宋体" w:cs="宋体"/>
          <w:b/>
          <w:bCs/>
          <w:sz w:val="21"/>
          <w:szCs w:val="21"/>
        </w:rPr>
      </w:pPr>
    </w:p>
    <w:p w14:paraId="133374EB">
      <w:pPr>
        <w:pStyle w:val="100"/>
        <w:widowControl w:val="0"/>
        <w:wordWrap w:val="0"/>
        <w:adjustRightInd w:val="0"/>
        <w:snapToGrid w:val="0"/>
        <w:spacing w:before="240" w:after="240" w:line="440" w:lineRule="exact"/>
        <w:ind w:firstLine="0"/>
        <w:jc w:val="center"/>
        <w:rPr>
          <w:rFonts w:ascii="宋体" w:hAnsi="宋体" w:eastAsia="宋体" w:cs="宋体"/>
          <w:snapToGrid w:val="0"/>
          <w:sz w:val="21"/>
          <w:szCs w:val="21"/>
        </w:rPr>
      </w:pPr>
      <w:r>
        <w:rPr>
          <w:rFonts w:hint="eastAsia" w:ascii="宋体" w:hAnsi="宋体" w:eastAsia="宋体" w:cs="宋体"/>
          <w:b/>
          <w:snapToGrid w:val="0"/>
          <w:sz w:val="21"/>
          <w:szCs w:val="21"/>
        </w:rPr>
        <w:t>联合体协议书</w:t>
      </w:r>
    </w:p>
    <w:p w14:paraId="38191CEF">
      <w:pPr>
        <w:spacing w:line="440" w:lineRule="exact"/>
        <w:ind w:firstLine="480" w:firstLineChars="200"/>
      </w:pPr>
      <w:r>
        <w:rPr>
          <w:rFonts w:hint="eastAsia"/>
          <w:u w:val="single"/>
        </w:rPr>
        <w:t xml:space="preserve">                  、                 </w:t>
      </w:r>
      <w:r>
        <w:rPr>
          <w:rFonts w:hint="eastAsia"/>
        </w:rPr>
        <w:t>（所有成员单位名称）自愿组成联合体，共同参加</w:t>
      </w:r>
      <w:r>
        <w:rPr>
          <w:rFonts w:hint="eastAsia"/>
          <w:u w:val="single"/>
        </w:rPr>
        <w:t xml:space="preserve">     （项目名称）       </w:t>
      </w:r>
      <w:r>
        <w:rPr>
          <w:rFonts w:hint="eastAsia"/>
        </w:rPr>
        <w:t>投标。现就联合体投标事宜订立如下协议：</w:t>
      </w:r>
    </w:p>
    <w:p w14:paraId="3677D431">
      <w:pPr>
        <w:spacing w:line="440" w:lineRule="exact"/>
        <w:ind w:firstLine="480" w:firstLineChars="200"/>
      </w:pPr>
      <w:r>
        <w:rPr>
          <w:rFonts w:hint="eastAsia"/>
        </w:rPr>
        <w:t>1.__________（某成员单位名称）为_____________________（联合体名称）牵头人。</w:t>
      </w:r>
    </w:p>
    <w:p w14:paraId="2E142DB3">
      <w:pPr>
        <w:spacing w:line="440" w:lineRule="exact"/>
        <w:ind w:firstLine="480" w:firstLineChars="200"/>
      </w:pPr>
      <w:r>
        <w:rPr>
          <w:rFonts w:hint="eastAsia"/>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5729F3F5">
      <w:pPr>
        <w:spacing w:line="440" w:lineRule="exact"/>
        <w:ind w:firstLine="480" w:firstLineChars="200"/>
      </w:pPr>
      <w:r>
        <w:rPr>
          <w:rFonts w:hint="eastAsia"/>
        </w:rPr>
        <w:t>3.联合体将严格按照招标文件的各项要求，递交投标文件，履行合同，并对外承担连带责任。</w:t>
      </w:r>
    </w:p>
    <w:p w14:paraId="7F80E63A">
      <w:pPr>
        <w:spacing w:line="440" w:lineRule="exact"/>
        <w:ind w:firstLine="480" w:firstLineChars="200"/>
      </w:pPr>
      <w:r>
        <w:rPr>
          <w:rFonts w:hint="eastAsia"/>
        </w:rPr>
        <w:t>4.联合体各成员单位内部的职责分工如下：</w:t>
      </w:r>
      <w:r>
        <w:rPr>
          <w:rFonts w:hint="eastAsia"/>
          <w:u w:val="single"/>
        </w:rPr>
        <w:t>联合体牵头人   （单位名称）    除负责本协议第2条的工作外，还负责承担       工作，联合体成员（单位名称）     承担      工作。</w:t>
      </w:r>
    </w:p>
    <w:p w14:paraId="0F0D3250">
      <w:pPr>
        <w:spacing w:line="440" w:lineRule="exact"/>
        <w:ind w:firstLine="480" w:firstLineChars="200"/>
      </w:pPr>
      <w:r>
        <w:rPr>
          <w:rFonts w:hint="eastAsia"/>
        </w:rPr>
        <w:t>5.本协议书自签署之日起生效，合同履行完毕后自动失效。</w:t>
      </w:r>
    </w:p>
    <w:p w14:paraId="084FE87B">
      <w:pPr>
        <w:spacing w:line="440" w:lineRule="exact"/>
        <w:ind w:firstLine="480" w:firstLineChars="200"/>
      </w:pPr>
      <w:r>
        <w:rPr>
          <w:rFonts w:hint="eastAsia"/>
        </w:rPr>
        <w:t>6.本协议书一式</w:t>
      </w:r>
      <w:r>
        <w:rPr>
          <w:rFonts w:hint="eastAsia"/>
          <w:u w:val="single"/>
        </w:rPr>
        <w:t xml:space="preserve">   </w:t>
      </w:r>
      <w:r>
        <w:rPr>
          <w:rFonts w:hint="eastAsia"/>
        </w:rPr>
        <w:t>份，联合体各成员和招标人各执一份。</w:t>
      </w:r>
    </w:p>
    <w:p w14:paraId="7C9659BF">
      <w:pPr>
        <w:pStyle w:val="100"/>
        <w:widowControl w:val="0"/>
        <w:wordWrap w:val="0"/>
        <w:adjustRightInd w:val="0"/>
        <w:snapToGrid w:val="0"/>
        <w:spacing w:line="440" w:lineRule="exact"/>
        <w:rPr>
          <w:rFonts w:ascii="宋体" w:hAnsi="宋体" w:eastAsia="宋体" w:cs="宋体"/>
          <w:snapToGrid w:val="0"/>
          <w:sz w:val="24"/>
          <w:szCs w:val="24"/>
        </w:rPr>
      </w:pPr>
    </w:p>
    <w:p w14:paraId="2EFDF4E4">
      <w:pPr>
        <w:pStyle w:val="100"/>
        <w:widowControl w:val="0"/>
        <w:wordWrap w:val="0"/>
        <w:adjustRightInd w:val="0"/>
        <w:snapToGrid w:val="0"/>
        <w:spacing w:line="440" w:lineRule="exact"/>
        <w:jc w:val="right"/>
        <w:rPr>
          <w:rFonts w:ascii="宋体" w:hAnsi="宋体" w:eastAsia="宋体" w:cs="宋体"/>
          <w:snapToGrid w:val="0"/>
          <w:sz w:val="24"/>
          <w:szCs w:val="24"/>
        </w:rPr>
      </w:pPr>
      <w:r>
        <w:rPr>
          <w:rFonts w:hint="eastAsia" w:ascii="宋体" w:hAnsi="宋体" w:eastAsia="宋体" w:cs="宋体"/>
          <w:snapToGrid w:val="0"/>
          <w:sz w:val="24"/>
          <w:szCs w:val="24"/>
        </w:rPr>
        <w:t>　　　　　　牵头人名称：</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rPr>
        <w:t>（盖单位章）</w:t>
      </w:r>
    </w:p>
    <w:p w14:paraId="5FA89615">
      <w:pPr>
        <w:pStyle w:val="100"/>
        <w:widowControl w:val="0"/>
        <w:wordWrap w:val="0"/>
        <w:adjustRightInd w:val="0"/>
        <w:snapToGrid w:val="0"/>
        <w:spacing w:line="440" w:lineRule="exact"/>
        <w:jc w:val="right"/>
        <w:rPr>
          <w:rFonts w:ascii="宋体" w:hAnsi="宋体" w:eastAsia="宋体" w:cs="宋体"/>
          <w:snapToGrid w:val="0"/>
          <w:sz w:val="24"/>
          <w:szCs w:val="24"/>
        </w:rPr>
      </w:pPr>
      <w:r>
        <w:rPr>
          <w:rFonts w:hint="eastAsia" w:ascii="宋体" w:hAnsi="宋体" w:eastAsia="宋体" w:cs="宋体"/>
          <w:snapToGrid w:val="0"/>
          <w:sz w:val="24"/>
          <w:szCs w:val="24"/>
        </w:rPr>
        <w:t xml:space="preserve">        法定代表人或其委托代理人：</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rPr>
        <w:t>（签字或盖章）</w:t>
      </w:r>
    </w:p>
    <w:p w14:paraId="619299DD">
      <w:pPr>
        <w:pStyle w:val="100"/>
        <w:widowControl w:val="0"/>
        <w:wordWrap w:val="0"/>
        <w:adjustRightInd w:val="0"/>
        <w:snapToGrid w:val="0"/>
        <w:spacing w:line="440" w:lineRule="exact"/>
        <w:jc w:val="right"/>
        <w:rPr>
          <w:rFonts w:ascii="宋体" w:hAnsi="宋体" w:eastAsia="宋体" w:cs="宋体"/>
          <w:snapToGrid w:val="0"/>
          <w:sz w:val="24"/>
          <w:szCs w:val="24"/>
        </w:rPr>
      </w:pPr>
      <w:r>
        <w:rPr>
          <w:rFonts w:hint="eastAsia" w:ascii="宋体" w:hAnsi="宋体" w:eastAsia="宋体" w:cs="宋体"/>
          <w:snapToGrid w:val="0"/>
          <w:sz w:val="24"/>
          <w:szCs w:val="24"/>
        </w:rPr>
        <w:t>　　　　　　成员一名称：</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rPr>
        <w:t>（盖单位章）</w:t>
      </w:r>
    </w:p>
    <w:p w14:paraId="5025A540">
      <w:pPr>
        <w:pStyle w:val="100"/>
        <w:widowControl w:val="0"/>
        <w:wordWrap w:val="0"/>
        <w:adjustRightInd w:val="0"/>
        <w:snapToGrid w:val="0"/>
        <w:spacing w:line="440" w:lineRule="exact"/>
        <w:jc w:val="right"/>
        <w:rPr>
          <w:rFonts w:ascii="宋体" w:hAnsi="宋体" w:eastAsia="宋体" w:cs="宋体"/>
          <w:snapToGrid w:val="0"/>
          <w:sz w:val="24"/>
          <w:szCs w:val="24"/>
        </w:rPr>
      </w:pPr>
      <w:r>
        <w:rPr>
          <w:rFonts w:hint="eastAsia" w:ascii="宋体" w:hAnsi="宋体" w:eastAsia="宋体" w:cs="宋体"/>
          <w:snapToGrid w:val="0"/>
          <w:sz w:val="24"/>
          <w:szCs w:val="24"/>
        </w:rPr>
        <w:t>　　　　　法定代表人或其委托代理人：</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rPr>
        <w:t>（签字或盖章）</w:t>
      </w:r>
    </w:p>
    <w:p w14:paraId="4F416CA7">
      <w:pPr>
        <w:pStyle w:val="100"/>
        <w:widowControl w:val="0"/>
        <w:wordWrap w:val="0"/>
        <w:adjustRightInd w:val="0"/>
        <w:snapToGrid w:val="0"/>
        <w:spacing w:line="440" w:lineRule="exact"/>
        <w:rPr>
          <w:rFonts w:ascii="宋体" w:hAnsi="宋体" w:eastAsia="宋体" w:cs="宋体"/>
          <w:snapToGrid w:val="0"/>
          <w:sz w:val="24"/>
          <w:szCs w:val="24"/>
        </w:rPr>
      </w:pPr>
      <w:r>
        <w:rPr>
          <w:rFonts w:hint="eastAsia" w:ascii="宋体" w:hAnsi="宋体" w:eastAsia="宋体" w:cs="宋体"/>
          <w:snapToGrid w:val="0"/>
          <w:sz w:val="24"/>
          <w:szCs w:val="24"/>
        </w:rPr>
        <w:t>　　　　　　      ……</w:t>
      </w:r>
    </w:p>
    <w:p w14:paraId="1BF22BCB">
      <w:pPr>
        <w:pStyle w:val="100"/>
        <w:widowControl w:val="0"/>
        <w:wordWrap w:val="0"/>
        <w:adjustRightInd w:val="0"/>
        <w:snapToGrid w:val="0"/>
        <w:spacing w:line="440" w:lineRule="exact"/>
        <w:jc w:val="center"/>
        <w:rPr>
          <w:rFonts w:ascii="宋体" w:hAnsi="宋体" w:eastAsia="宋体" w:cs="宋体"/>
          <w:snapToGrid w:val="0"/>
          <w:sz w:val="24"/>
          <w:szCs w:val="24"/>
        </w:rPr>
      </w:pPr>
      <w:r>
        <w:rPr>
          <w:rFonts w:hint="eastAsia" w:ascii="宋体" w:hAnsi="宋体" w:eastAsia="宋体" w:cs="宋体"/>
          <w:snapToGrid w:val="0"/>
          <w:sz w:val="24"/>
          <w:szCs w:val="24"/>
        </w:rPr>
        <w:t xml:space="preserve">                                 </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rPr>
        <w:t>年</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rPr>
        <w:t>月</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rPr>
        <w:t>日</w:t>
      </w:r>
    </w:p>
    <w:p w14:paraId="3486DE84">
      <w:pPr>
        <w:pStyle w:val="100"/>
        <w:widowControl w:val="0"/>
        <w:adjustRightInd w:val="0"/>
        <w:snapToGrid w:val="0"/>
        <w:spacing w:line="440" w:lineRule="exact"/>
        <w:rPr>
          <w:rFonts w:ascii="宋体" w:hAnsi="宋体" w:eastAsia="宋体" w:cs="宋体"/>
          <w:snapToGrid w:val="0"/>
          <w:sz w:val="24"/>
          <w:szCs w:val="24"/>
        </w:rPr>
      </w:pPr>
      <w:r>
        <w:rPr>
          <w:rFonts w:hint="eastAsia" w:ascii="宋体" w:hAnsi="宋体" w:eastAsia="宋体" w:cs="宋体"/>
          <w:snapToGrid w:val="0"/>
          <w:sz w:val="24"/>
          <w:szCs w:val="24"/>
        </w:rPr>
        <w:t>说明：《联合体协议书》由委托代理人签字或盖章的，应附法定代表人签字或盖章的授权委托书。</w:t>
      </w:r>
      <w:bookmarkEnd w:id="714"/>
      <w:bookmarkEnd w:id="715"/>
      <w:bookmarkEnd w:id="716"/>
    </w:p>
    <w:p w14:paraId="35134AA4">
      <w:pPr>
        <w:keepNext/>
        <w:keepLines/>
        <w:tabs>
          <w:tab w:val="left" w:pos="885"/>
        </w:tabs>
        <w:spacing w:line="400" w:lineRule="exact"/>
        <w:jc w:val="center"/>
        <w:rPr>
          <w:b/>
          <w:kern w:val="44"/>
          <w:szCs w:val="21"/>
        </w:rPr>
      </w:pPr>
      <w:bookmarkStart w:id="721" w:name="_Toc11594"/>
      <w:bookmarkStart w:id="722" w:name="_Toc19077"/>
      <w:bookmarkStart w:id="723" w:name="_Toc20849"/>
      <w:bookmarkStart w:id="724" w:name="_Toc25965"/>
      <w:bookmarkStart w:id="725" w:name="_Toc31919"/>
      <w:bookmarkStart w:id="726" w:name="_Toc25722"/>
      <w:bookmarkStart w:id="727" w:name="_Toc30731"/>
      <w:bookmarkStart w:id="728" w:name="_Toc17973"/>
      <w:bookmarkStart w:id="729" w:name="_Toc30495"/>
    </w:p>
    <w:p w14:paraId="40234381">
      <w:pPr>
        <w:keepNext/>
        <w:keepLines/>
        <w:tabs>
          <w:tab w:val="left" w:pos="885"/>
        </w:tabs>
        <w:spacing w:line="400" w:lineRule="exact"/>
        <w:jc w:val="center"/>
        <w:rPr>
          <w:b/>
          <w:kern w:val="44"/>
          <w:szCs w:val="21"/>
        </w:rPr>
      </w:pPr>
    </w:p>
    <w:p w14:paraId="23E1821C">
      <w:pPr>
        <w:rPr>
          <w:b/>
          <w:kern w:val="44"/>
          <w:szCs w:val="21"/>
        </w:rPr>
      </w:pPr>
    </w:p>
    <w:p w14:paraId="1D492246">
      <w:pPr>
        <w:rPr>
          <w:b/>
          <w:kern w:val="44"/>
          <w:szCs w:val="21"/>
        </w:rPr>
      </w:pPr>
      <w:r>
        <w:rPr>
          <w:rFonts w:hint="eastAsia"/>
          <w:b/>
          <w:kern w:val="44"/>
          <w:sz w:val="21"/>
          <w:szCs w:val="21"/>
        </w:rPr>
        <w:br w:type="page"/>
      </w:r>
    </w:p>
    <w:p w14:paraId="19B49074">
      <w:pPr>
        <w:pStyle w:val="99"/>
        <w:keepNext w:val="0"/>
        <w:keepLines w:val="0"/>
        <w:widowControl w:val="0"/>
        <w:wordWrap w:val="0"/>
        <w:spacing w:before="0" w:after="0"/>
        <w:ind w:firstLine="0"/>
        <w:jc w:val="both"/>
        <w:outlineLvl w:val="1"/>
        <w:rPr>
          <w:rFonts w:ascii="宋体" w:hAnsi="宋体" w:eastAsia="宋体" w:cs="宋体"/>
          <w:b/>
        </w:rPr>
      </w:pPr>
      <w:r>
        <w:rPr>
          <w:rFonts w:hint="eastAsia" w:eastAsia="宋体"/>
          <w:b/>
          <w:snapToGrid w:val="0"/>
        </w:rPr>
        <w:t xml:space="preserve">格式十一  </w:t>
      </w:r>
      <w:r>
        <w:rPr>
          <w:rFonts w:hint="eastAsia" w:ascii="宋体" w:hAnsi="宋体" w:eastAsia="宋体" w:cs="宋体"/>
          <w:b/>
        </w:rPr>
        <w:t>定标因素评审资料</w:t>
      </w:r>
    </w:p>
    <w:p w14:paraId="3F166E62">
      <w:pPr>
        <w:spacing w:line="500" w:lineRule="exact"/>
        <w:jc w:val="center"/>
        <w:rPr>
          <w:b/>
          <w:bCs/>
          <w:sz w:val="30"/>
          <w:szCs w:val="30"/>
        </w:rPr>
      </w:pPr>
      <w:r>
        <w:rPr>
          <w:rFonts w:hint="eastAsia"/>
          <w:b/>
          <w:bCs/>
          <w:sz w:val="30"/>
          <w:szCs w:val="30"/>
        </w:rPr>
        <w:t>定标因素评审资料</w:t>
      </w:r>
    </w:p>
    <w:p w14:paraId="5A9580F0"/>
    <w:p w14:paraId="34806123">
      <w:pPr>
        <w:spacing w:line="360" w:lineRule="auto"/>
        <w:ind w:firstLine="560" w:firstLineChars="200"/>
        <w:rPr>
          <w:i/>
          <w:iCs/>
        </w:rPr>
      </w:pPr>
      <w:r>
        <w:rPr>
          <w:rFonts w:hint="eastAsia"/>
          <w:sz w:val="28"/>
          <w:szCs w:val="28"/>
        </w:rPr>
        <w:t>投标人根据“第一章 第五节 定标规定及细则”载明的定标因素（评标报告除外），提交评审资料。</w:t>
      </w:r>
    </w:p>
    <w:p w14:paraId="3C1B4F69">
      <w:pPr>
        <w:spacing w:line="360" w:lineRule="auto"/>
        <w:ind w:firstLine="480" w:firstLineChars="200"/>
      </w:pPr>
    </w:p>
    <w:p w14:paraId="7EC244DC">
      <w:pPr>
        <w:spacing w:line="360" w:lineRule="auto"/>
        <w:ind w:firstLine="482" w:firstLineChars="200"/>
        <w:rPr>
          <w:b/>
          <w:bCs/>
          <w:shd w:val="clear" w:color="auto" w:fill="FFFFFF"/>
        </w:rPr>
      </w:pPr>
    </w:p>
    <w:p w14:paraId="7DD8A454">
      <w:pPr>
        <w:spacing w:line="500" w:lineRule="exact"/>
        <w:ind w:firstLine="560" w:firstLineChars="200"/>
        <w:rPr>
          <w:sz w:val="28"/>
          <w:szCs w:val="28"/>
        </w:rPr>
      </w:pPr>
    </w:p>
    <w:p w14:paraId="7B2526D2">
      <w:pPr>
        <w:wordWrap w:val="0"/>
        <w:adjustRightInd w:val="0"/>
        <w:snapToGrid w:val="0"/>
        <w:spacing w:line="400" w:lineRule="exact"/>
        <w:ind w:firstLine="480" w:firstLineChars="200"/>
        <w:rPr>
          <w:snapToGrid w:val="0"/>
          <w:szCs w:val="21"/>
        </w:rPr>
      </w:pPr>
    </w:p>
    <w:p w14:paraId="5B4F2D50">
      <w:pPr>
        <w:pStyle w:val="5"/>
      </w:pPr>
    </w:p>
    <w:bookmarkEnd w:id="721"/>
    <w:bookmarkEnd w:id="722"/>
    <w:bookmarkEnd w:id="723"/>
    <w:bookmarkEnd w:id="724"/>
    <w:bookmarkEnd w:id="725"/>
    <w:bookmarkEnd w:id="726"/>
    <w:bookmarkEnd w:id="727"/>
    <w:bookmarkEnd w:id="728"/>
    <w:bookmarkEnd w:id="729"/>
    <w:p w14:paraId="078A4CFA">
      <w:pPr>
        <w:rPr>
          <w:snapToGrid w:val="0"/>
          <w:szCs w:val="21"/>
        </w:rPr>
      </w:pPr>
      <w:r>
        <w:rPr>
          <w:rFonts w:hint="eastAsia"/>
          <w:snapToGrid w:val="0"/>
          <w:sz w:val="21"/>
          <w:szCs w:val="21"/>
        </w:rPr>
        <w:br w:type="page"/>
      </w:r>
    </w:p>
    <w:p w14:paraId="5FB7D069">
      <w:pPr>
        <w:pStyle w:val="2"/>
        <w:keepNext/>
        <w:keepLines/>
        <w:tabs>
          <w:tab w:val="left" w:pos="885"/>
        </w:tabs>
        <w:spacing w:line="400" w:lineRule="exact"/>
        <w:ind w:left="885" w:hanging="885"/>
        <w:jc w:val="center"/>
        <w:rPr>
          <w:b/>
          <w:kern w:val="44"/>
          <w:sz w:val="24"/>
        </w:rPr>
      </w:pPr>
      <w:bookmarkStart w:id="730" w:name="_Toc17186"/>
      <w:bookmarkStart w:id="731" w:name="_Toc9024"/>
      <w:bookmarkStart w:id="732" w:name="_Toc23758"/>
      <w:bookmarkStart w:id="733" w:name="_Toc16210"/>
      <w:bookmarkStart w:id="734" w:name="_Toc17103"/>
      <w:r>
        <w:rPr>
          <w:rFonts w:hint="eastAsia"/>
          <w:b/>
          <w:kern w:val="44"/>
          <w:sz w:val="24"/>
        </w:rPr>
        <w:t>第六章 设计任务书</w:t>
      </w:r>
      <w:bookmarkEnd w:id="730"/>
      <w:bookmarkEnd w:id="731"/>
      <w:bookmarkEnd w:id="732"/>
      <w:bookmarkEnd w:id="733"/>
      <w:bookmarkEnd w:id="734"/>
    </w:p>
    <w:p w14:paraId="29C331D3">
      <w:pPr>
        <w:keepNext/>
        <w:keepLines/>
        <w:tabs>
          <w:tab w:val="left" w:pos="885"/>
        </w:tabs>
        <w:snapToGrid w:val="0"/>
        <w:spacing w:line="360" w:lineRule="auto"/>
        <w:jc w:val="center"/>
        <w:outlineLvl w:val="0"/>
        <w:rPr>
          <w:b/>
          <w:kern w:val="44"/>
          <w:sz w:val="36"/>
          <w:szCs w:val="36"/>
        </w:rPr>
      </w:pPr>
      <w:bookmarkStart w:id="735" w:name="OLE_LINK2"/>
    </w:p>
    <w:bookmarkEnd w:id="735"/>
    <w:p w14:paraId="6F50187C">
      <w:pPr>
        <w:spacing w:line="600" w:lineRule="exact"/>
        <w:ind w:right="-449" w:rightChars="-187"/>
        <w:jc w:val="center"/>
        <w:rPr>
          <w:rFonts w:ascii="宋体" w:hAnsi="宋体" w:cs="等线"/>
          <w:b/>
          <w:color w:val="262626"/>
          <w:sz w:val="44"/>
          <w:szCs w:val="44"/>
        </w:rPr>
      </w:pPr>
      <w:r>
        <w:rPr>
          <w:rFonts w:hint="eastAsia" w:ascii="宋体" w:hAnsi="宋体" w:cs="等线"/>
          <w:b/>
          <w:color w:val="262626"/>
          <w:sz w:val="44"/>
          <w:szCs w:val="44"/>
        </w:rPr>
        <w:t>韶关百年东街及周边历史街区城市更新项目</w:t>
      </w:r>
    </w:p>
    <w:p w14:paraId="2E6B89F8">
      <w:pPr>
        <w:spacing w:line="600" w:lineRule="exact"/>
        <w:ind w:right="-449" w:rightChars="-187"/>
        <w:jc w:val="center"/>
        <w:rPr>
          <w:rFonts w:hint="eastAsia" w:ascii="宋体" w:hAnsi="宋体" w:cs="等线"/>
          <w:b/>
          <w:color w:val="262626"/>
          <w:sz w:val="44"/>
          <w:szCs w:val="44"/>
        </w:rPr>
      </w:pPr>
      <w:r>
        <w:rPr>
          <w:rFonts w:hint="eastAsia" w:ascii="宋体" w:hAnsi="宋体" w:cs="等线"/>
          <w:b/>
          <w:color w:val="262626"/>
          <w:sz w:val="44"/>
          <w:szCs w:val="44"/>
        </w:rPr>
        <w:t>（一期</w:t>
      </w:r>
      <w:r>
        <w:rPr>
          <w:rFonts w:hint="eastAsia" w:ascii="宋体" w:hAnsi="宋体" w:cs="等线"/>
          <w:b/>
          <w:color w:val="262626"/>
          <w:sz w:val="44"/>
          <w:szCs w:val="44"/>
          <w:lang w:eastAsia="zh-CN"/>
        </w:rPr>
        <w:t>）——</w:t>
      </w:r>
      <w:r>
        <w:rPr>
          <w:rFonts w:hint="eastAsia" w:ascii="宋体" w:hAnsi="宋体" w:eastAsia="宋体" w:cs="等线"/>
          <w:b/>
          <w:color w:val="262626"/>
          <w:sz w:val="44"/>
          <w:szCs w:val="44"/>
          <w:lang w:val="en-US" w:eastAsia="zh-CN"/>
        </w:rPr>
        <w:t>百年东街改造升级</w:t>
      </w:r>
      <w:r>
        <w:rPr>
          <w:rFonts w:hint="eastAsia" w:ascii="宋体" w:hAnsi="宋体" w:cs="等线"/>
          <w:b/>
          <w:color w:val="262626"/>
          <w:sz w:val="44"/>
          <w:szCs w:val="44"/>
        </w:rPr>
        <w:t>方案</w:t>
      </w:r>
      <w:r>
        <w:rPr>
          <w:rFonts w:hint="eastAsia" w:ascii="宋体" w:hAnsi="宋体" w:cs="等线"/>
          <w:b/>
          <w:color w:val="262626"/>
          <w:sz w:val="44"/>
          <w:szCs w:val="44"/>
          <w:lang w:val="en-US" w:eastAsia="zh-CN"/>
        </w:rPr>
        <w:t>设计</w:t>
      </w:r>
      <w:r>
        <w:rPr>
          <w:rFonts w:hint="eastAsia" w:ascii="宋体" w:hAnsi="宋体" w:cs="等线"/>
          <w:b/>
          <w:color w:val="262626"/>
          <w:sz w:val="44"/>
          <w:szCs w:val="44"/>
          <w:lang w:eastAsia="zh-CN"/>
        </w:rPr>
        <w:t>、</w:t>
      </w:r>
      <w:r>
        <w:rPr>
          <w:rFonts w:hint="eastAsia" w:ascii="宋体" w:hAnsi="宋体" w:cs="等线"/>
          <w:b/>
          <w:color w:val="262626"/>
          <w:sz w:val="44"/>
          <w:szCs w:val="44"/>
        </w:rPr>
        <w:t>初步设计任务书</w:t>
      </w:r>
    </w:p>
    <w:p w14:paraId="20ABDFB9">
      <w:pPr>
        <w:spacing w:line="400" w:lineRule="exact"/>
        <w:ind w:right="-1409" w:rightChars="-587" w:firstLine="1285" w:firstLineChars="400"/>
        <w:rPr>
          <w:rFonts w:hint="eastAsia" w:ascii="宋体" w:hAnsi="宋体" w:cs="等线"/>
          <w:b/>
          <w:color w:val="000000"/>
          <w:sz w:val="32"/>
          <w:szCs w:val="32"/>
        </w:rPr>
      </w:pPr>
    </w:p>
    <w:p w14:paraId="7EFD32A7">
      <w:pPr>
        <w:spacing w:line="400" w:lineRule="exact"/>
        <w:ind w:right="-1409" w:rightChars="-587" w:firstLine="1280" w:firstLineChars="400"/>
        <w:rPr>
          <w:rFonts w:hint="eastAsia" w:ascii="宋体" w:hAnsi="宋体" w:cs="等线"/>
          <w:color w:val="000000"/>
          <w:sz w:val="32"/>
          <w:szCs w:val="32"/>
        </w:rPr>
      </w:pPr>
    </w:p>
    <w:p w14:paraId="6BC0396C">
      <w:pPr>
        <w:spacing w:line="400" w:lineRule="exact"/>
        <w:ind w:right="-1409" w:rightChars="-587" w:firstLine="1280" w:firstLineChars="400"/>
        <w:rPr>
          <w:rFonts w:hint="eastAsia" w:ascii="宋体" w:hAnsi="宋体" w:cs="等线"/>
          <w:color w:val="000000"/>
          <w:sz w:val="32"/>
          <w:szCs w:val="32"/>
        </w:rPr>
      </w:pPr>
    </w:p>
    <w:p w14:paraId="19575029">
      <w:pPr>
        <w:spacing w:line="400" w:lineRule="exact"/>
        <w:ind w:right="-1409" w:rightChars="-587" w:firstLine="1280" w:firstLineChars="400"/>
        <w:rPr>
          <w:rFonts w:hint="eastAsia" w:ascii="宋体" w:hAnsi="宋体" w:cs="等线"/>
          <w:color w:val="000000"/>
          <w:sz w:val="32"/>
          <w:szCs w:val="32"/>
        </w:rPr>
      </w:pPr>
    </w:p>
    <w:p w14:paraId="6917A5F1">
      <w:pPr>
        <w:spacing w:line="400" w:lineRule="exact"/>
        <w:ind w:right="-1409" w:rightChars="-587" w:firstLine="1280" w:firstLineChars="400"/>
        <w:rPr>
          <w:rFonts w:ascii="宋体" w:hAnsi="宋体" w:cs="等线"/>
          <w:color w:val="000000"/>
          <w:sz w:val="32"/>
          <w:szCs w:val="32"/>
        </w:rPr>
      </w:pPr>
    </w:p>
    <w:p w14:paraId="4B72E2A3">
      <w:pPr>
        <w:spacing w:line="400" w:lineRule="exact"/>
        <w:ind w:right="-1409" w:rightChars="-587" w:firstLine="1280" w:firstLineChars="400"/>
        <w:rPr>
          <w:rFonts w:ascii="宋体" w:hAnsi="宋体" w:cs="等线"/>
          <w:color w:val="000000"/>
          <w:sz w:val="32"/>
          <w:szCs w:val="32"/>
        </w:rPr>
      </w:pPr>
    </w:p>
    <w:p w14:paraId="58087792">
      <w:pPr>
        <w:spacing w:line="400" w:lineRule="exact"/>
        <w:ind w:right="-1409" w:rightChars="-587" w:firstLine="1280" w:firstLineChars="400"/>
        <w:rPr>
          <w:rFonts w:hint="eastAsia" w:ascii="宋体" w:hAnsi="宋体" w:cs="等线"/>
          <w:color w:val="000000"/>
          <w:sz w:val="32"/>
          <w:szCs w:val="32"/>
        </w:rPr>
      </w:pPr>
    </w:p>
    <w:p w14:paraId="2B624861">
      <w:pPr>
        <w:spacing w:line="400" w:lineRule="exact"/>
        <w:ind w:right="-1409" w:rightChars="-587" w:firstLine="1280" w:firstLineChars="400"/>
        <w:rPr>
          <w:rFonts w:ascii="宋体" w:hAnsi="宋体" w:cs="等线"/>
          <w:color w:val="000000"/>
          <w:sz w:val="32"/>
          <w:szCs w:val="32"/>
        </w:rPr>
      </w:pPr>
    </w:p>
    <w:p w14:paraId="6CA98E29">
      <w:pPr>
        <w:spacing w:line="400" w:lineRule="exact"/>
        <w:ind w:right="-1409" w:rightChars="-587" w:firstLine="1280" w:firstLineChars="400"/>
        <w:rPr>
          <w:rFonts w:ascii="宋体" w:hAnsi="宋体" w:cs="等线"/>
          <w:color w:val="000000"/>
          <w:sz w:val="32"/>
          <w:szCs w:val="32"/>
        </w:rPr>
      </w:pPr>
    </w:p>
    <w:p w14:paraId="427F0BD4">
      <w:pPr>
        <w:spacing w:line="400" w:lineRule="exact"/>
        <w:ind w:right="-1409" w:rightChars="-587" w:firstLine="1280" w:firstLineChars="400"/>
        <w:rPr>
          <w:rFonts w:ascii="宋体" w:hAnsi="宋体" w:cs="等线"/>
          <w:color w:val="000000"/>
          <w:sz w:val="32"/>
          <w:szCs w:val="32"/>
        </w:rPr>
      </w:pPr>
    </w:p>
    <w:p w14:paraId="6F46E94E">
      <w:pPr>
        <w:spacing w:line="400" w:lineRule="exact"/>
        <w:ind w:right="-1409" w:rightChars="-587" w:firstLine="1280" w:firstLineChars="400"/>
        <w:rPr>
          <w:rFonts w:ascii="宋体" w:hAnsi="宋体" w:cs="等线"/>
          <w:color w:val="000000"/>
          <w:sz w:val="32"/>
          <w:szCs w:val="32"/>
        </w:rPr>
      </w:pPr>
    </w:p>
    <w:p w14:paraId="47CD6BBD">
      <w:pPr>
        <w:spacing w:line="400" w:lineRule="exact"/>
        <w:ind w:right="-1409" w:rightChars="-587" w:firstLine="1280" w:firstLineChars="400"/>
        <w:rPr>
          <w:rFonts w:ascii="宋体" w:hAnsi="宋体" w:cs="等线"/>
          <w:color w:val="000000"/>
          <w:sz w:val="32"/>
          <w:szCs w:val="32"/>
        </w:rPr>
      </w:pPr>
    </w:p>
    <w:p w14:paraId="04D90313">
      <w:pPr>
        <w:spacing w:line="400" w:lineRule="exact"/>
        <w:ind w:right="-1409" w:rightChars="-587" w:firstLine="1280" w:firstLineChars="400"/>
        <w:rPr>
          <w:rFonts w:ascii="宋体" w:hAnsi="宋体" w:cs="等线"/>
          <w:color w:val="000000"/>
          <w:sz w:val="32"/>
          <w:szCs w:val="32"/>
        </w:rPr>
      </w:pPr>
    </w:p>
    <w:p w14:paraId="0C32E027">
      <w:pPr>
        <w:spacing w:line="400" w:lineRule="exact"/>
        <w:ind w:right="-1409" w:rightChars="-587" w:firstLine="1280" w:firstLineChars="400"/>
        <w:rPr>
          <w:rFonts w:hint="eastAsia" w:ascii="宋体" w:hAnsi="宋体" w:cs="等线"/>
          <w:color w:val="000000"/>
          <w:sz w:val="32"/>
          <w:szCs w:val="32"/>
        </w:rPr>
      </w:pPr>
    </w:p>
    <w:p w14:paraId="23E376EF">
      <w:pPr>
        <w:spacing w:line="400" w:lineRule="exact"/>
        <w:ind w:right="-1409" w:rightChars="-587" w:firstLine="1280" w:firstLineChars="400"/>
        <w:rPr>
          <w:rFonts w:ascii="宋体" w:hAnsi="宋体" w:cs="等线"/>
          <w:color w:val="000000"/>
          <w:sz w:val="32"/>
          <w:szCs w:val="32"/>
        </w:rPr>
      </w:pPr>
    </w:p>
    <w:p w14:paraId="39EA28DC">
      <w:pPr>
        <w:spacing w:line="400" w:lineRule="exact"/>
        <w:ind w:right="-1409" w:rightChars="-587" w:firstLine="1280" w:firstLineChars="400"/>
        <w:rPr>
          <w:rFonts w:hint="eastAsia" w:ascii="宋体" w:hAnsi="宋体" w:cs="等线"/>
          <w:color w:val="000000"/>
          <w:sz w:val="32"/>
          <w:szCs w:val="32"/>
        </w:rPr>
      </w:pPr>
    </w:p>
    <w:p w14:paraId="67E5685B">
      <w:pPr>
        <w:spacing w:line="400" w:lineRule="exact"/>
        <w:ind w:right="-1409" w:rightChars="-587" w:firstLine="1280" w:firstLineChars="400"/>
        <w:rPr>
          <w:rFonts w:hint="eastAsia" w:ascii="宋体" w:hAnsi="宋体" w:cs="等线"/>
          <w:color w:val="000000"/>
          <w:sz w:val="32"/>
          <w:szCs w:val="32"/>
        </w:rPr>
      </w:pPr>
    </w:p>
    <w:p w14:paraId="71F73EDC">
      <w:pPr>
        <w:spacing w:line="400" w:lineRule="exact"/>
        <w:ind w:right="-1409" w:rightChars="-587" w:firstLine="1280" w:firstLineChars="400"/>
        <w:rPr>
          <w:rFonts w:hint="eastAsia" w:ascii="宋体" w:hAnsi="宋体" w:cs="等线"/>
          <w:color w:val="000000"/>
          <w:sz w:val="32"/>
          <w:szCs w:val="32"/>
        </w:rPr>
      </w:pPr>
    </w:p>
    <w:p w14:paraId="3B681143">
      <w:pPr>
        <w:spacing w:line="400" w:lineRule="exact"/>
        <w:ind w:right="-1409" w:rightChars="-587" w:firstLine="1280" w:firstLineChars="400"/>
        <w:rPr>
          <w:rFonts w:hint="eastAsia" w:ascii="宋体" w:hAnsi="宋体" w:cs="等线"/>
          <w:color w:val="000000"/>
          <w:sz w:val="32"/>
          <w:szCs w:val="32"/>
        </w:rPr>
      </w:pPr>
    </w:p>
    <w:p w14:paraId="229E4FEE">
      <w:pPr>
        <w:spacing w:line="400" w:lineRule="exact"/>
        <w:ind w:right="-1409" w:rightChars="-587"/>
        <w:rPr>
          <w:rFonts w:hint="eastAsia" w:ascii="宋体" w:hAnsi="宋体" w:cs="等线"/>
          <w:color w:val="000000"/>
          <w:sz w:val="32"/>
          <w:szCs w:val="32"/>
        </w:rPr>
      </w:pPr>
    </w:p>
    <w:p w14:paraId="49DC3FB1">
      <w:pPr>
        <w:spacing w:line="400" w:lineRule="exact"/>
        <w:ind w:right="-1409" w:rightChars="-587" w:firstLine="1280" w:firstLineChars="400"/>
        <w:rPr>
          <w:rFonts w:hint="eastAsia" w:ascii="宋体" w:hAnsi="宋体" w:cs="等线"/>
          <w:color w:val="000000"/>
          <w:sz w:val="32"/>
          <w:szCs w:val="32"/>
        </w:rPr>
      </w:pPr>
    </w:p>
    <w:p w14:paraId="7CDA8FD0">
      <w:pPr>
        <w:tabs>
          <w:tab w:val="left" w:pos="1800"/>
        </w:tabs>
        <w:spacing w:line="400" w:lineRule="exact"/>
        <w:ind w:left="17" w:right="-7" w:rightChars="-3" w:firstLine="16" w:firstLineChars="5"/>
        <w:jc w:val="center"/>
        <w:rPr>
          <w:rFonts w:hint="eastAsia" w:ascii="宋体" w:hAnsi="宋体" w:cs="等线"/>
          <w:b/>
          <w:sz w:val="32"/>
          <w:szCs w:val="32"/>
        </w:rPr>
      </w:pPr>
      <w:r>
        <w:rPr>
          <w:rFonts w:ascii="宋体" w:hAnsi="宋体"/>
          <w:b/>
          <w:sz w:val="32"/>
          <w:szCs w:val="32"/>
        </w:rPr>
        <w:t>2026</w:t>
      </w:r>
      <w:r>
        <w:rPr>
          <w:rFonts w:hint="eastAsia" w:ascii="宋体" w:hAnsi="宋体" w:cs="等线"/>
          <w:b/>
          <w:sz w:val="32"/>
          <w:szCs w:val="32"/>
        </w:rPr>
        <w:t>年</w:t>
      </w:r>
      <w:r>
        <w:rPr>
          <w:rFonts w:hint="eastAsia" w:ascii="宋体" w:hAnsi="宋体"/>
          <w:b/>
          <w:sz w:val="32"/>
          <w:szCs w:val="32"/>
        </w:rPr>
        <w:t>0</w:t>
      </w:r>
      <w:r>
        <w:rPr>
          <w:rFonts w:hint="eastAsia"/>
          <w:b/>
          <w:sz w:val="32"/>
          <w:szCs w:val="32"/>
          <w:lang w:val="en-US" w:eastAsia="zh-CN"/>
        </w:rPr>
        <w:t>7</w:t>
      </w:r>
      <w:r>
        <w:rPr>
          <w:rFonts w:hint="eastAsia" w:ascii="宋体" w:hAnsi="宋体" w:cs="等线"/>
          <w:b/>
          <w:sz w:val="32"/>
          <w:szCs w:val="32"/>
        </w:rPr>
        <w:t>月</w:t>
      </w:r>
    </w:p>
    <w:p w14:paraId="3567A859">
      <w:pPr>
        <w:spacing w:line="400" w:lineRule="exact"/>
        <w:rPr>
          <w:rFonts w:hint="eastAsia" w:ascii="宋体" w:hAnsi="宋体" w:cs="等线"/>
          <w:color w:val="000000"/>
          <w:sz w:val="24"/>
        </w:rPr>
        <w:sectPr>
          <w:footerReference r:id="rId13" w:type="default"/>
          <w:footerReference r:id="rId14" w:type="even"/>
          <w:pgSz w:w="11906" w:h="16838"/>
          <w:pgMar w:top="1247" w:right="1531" w:bottom="1246" w:left="1531" w:header="851" w:footer="992" w:gutter="0"/>
          <w:cols w:space="720" w:num="1"/>
          <w:docGrid w:type="lines" w:linePitch="312" w:charSpace="0"/>
        </w:sectPr>
      </w:pPr>
    </w:p>
    <w:p w14:paraId="71590E7C">
      <w:pPr>
        <w:pStyle w:val="2"/>
        <w:spacing w:line="400" w:lineRule="exact"/>
        <w:rPr>
          <w:rFonts w:hint="eastAsia" w:ascii="黑体" w:hAnsi="黑体" w:eastAsia="黑体" w:cs="黑体"/>
          <w:sz w:val="30"/>
          <w:szCs w:val="30"/>
          <w:u w:val="none"/>
        </w:rPr>
      </w:pPr>
      <w:bookmarkStart w:id="736" w:name="_Toc232703087"/>
      <w:r>
        <w:rPr>
          <w:rFonts w:hint="eastAsia" w:ascii="黑体" w:hAnsi="黑体" w:eastAsia="黑体" w:cs="黑体"/>
          <w:sz w:val="30"/>
          <w:szCs w:val="30"/>
          <w:u w:val="none"/>
        </w:rPr>
        <w:t>一、项目概况</w:t>
      </w:r>
      <w:bookmarkEnd w:id="736"/>
    </w:p>
    <w:p w14:paraId="3957B76C">
      <w:pPr>
        <w:pStyle w:val="3"/>
        <w:spacing w:line="400" w:lineRule="exact"/>
        <w:rPr>
          <w:rFonts w:hint="eastAsia" w:asciiTheme="minorEastAsia" w:hAnsiTheme="minorEastAsia" w:eastAsiaTheme="minorEastAsia" w:cstheme="minorEastAsia"/>
          <w:b/>
          <w:bCs/>
          <w:sz w:val="24"/>
        </w:rPr>
      </w:pPr>
      <w:bookmarkStart w:id="737" w:name="_Toc232703088"/>
      <w:r>
        <w:rPr>
          <w:rFonts w:hint="eastAsia" w:asciiTheme="minorEastAsia" w:hAnsiTheme="minorEastAsia" w:eastAsiaTheme="minorEastAsia" w:cstheme="minorEastAsia"/>
          <w:b/>
          <w:bCs/>
          <w:sz w:val="24"/>
        </w:rPr>
        <w:t>1.1 项目名称</w:t>
      </w:r>
      <w:bookmarkEnd w:id="737"/>
    </w:p>
    <w:p w14:paraId="687BA470">
      <w:pPr>
        <w:widowControl/>
        <w:spacing w:line="40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韶关百年东街及周边历史街区城市更新项目（</w:t>
      </w:r>
      <w:r>
        <w:rPr>
          <w:rFonts w:hint="eastAsia" w:ascii="宋体" w:hAnsi="宋体" w:cs="等线"/>
          <w:sz w:val="24"/>
        </w:rPr>
        <w:t>一期</w:t>
      </w:r>
      <w:r>
        <w:rPr>
          <w:rFonts w:hint="eastAsia" w:asciiTheme="minorEastAsia" w:hAnsiTheme="minorEastAsia" w:eastAsiaTheme="minorEastAsia" w:cstheme="minorEastAsia"/>
          <w:sz w:val="24"/>
        </w:rPr>
        <w:t>）</w:t>
      </w:r>
    </w:p>
    <w:p w14:paraId="500D1D31">
      <w:pPr>
        <w:pStyle w:val="3"/>
        <w:spacing w:line="400" w:lineRule="exact"/>
        <w:rPr>
          <w:rFonts w:hint="eastAsia" w:asciiTheme="minorEastAsia" w:hAnsiTheme="minorEastAsia" w:eastAsiaTheme="minorEastAsia" w:cstheme="minorEastAsia"/>
          <w:b/>
          <w:bCs/>
          <w:sz w:val="24"/>
        </w:rPr>
      </w:pPr>
      <w:bookmarkStart w:id="738" w:name="_Toc232703089"/>
      <w:r>
        <w:rPr>
          <w:rFonts w:hint="eastAsia" w:asciiTheme="minorEastAsia" w:hAnsiTheme="minorEastAsia" w:eastAsiaTheme="minorEastAsia" w:cstheme="minorEastAsia"/>
          <w:b/>
          <w:bCs/>
          <w:sz w:val="24"/>
        </w:rPr>
        <w:t>1.2 项目地点</w:t>
      </w:r>
      <w:bookmarkEnd w:id="738"/>
    </w:p>
    <w:p w14:paraId="2754F52B">
      <w:pPr>
        <w:widowControl/>
        <w:spacing w:line="400" w:lineRule="exact"/>
        <w:ind w:firstLine="480" w:firstLineChars="200"/>
        <w:rPr>
          <w:rFonts w:hint="eastAsia" w:ascii="宋体" w:hAnsi="宋体" w:eastAsia="宋体" w:cs="等线"/>
          <w:sz w:val="24"/>
          <w:lang w:eastAsia="zh-CN"/>
        </w:rPr>
      </w:pPr>
      <w:r>
        <w:rPr>
          <w:rFonts w:hint="eastAsia" w:ascii="宋体" w:hAnsi="宋体" w:cs="等线"/>
          <w:sz w:val="24"/>
        </w:rPr>
        <w:t>本项目位于韶关市浈江区东堤路沿线。百年东街片区北起太傅庙，南至风采楼，全长约1.3公里</w:t>
      </w:r>
      <w:r>
        <w:rPr>
          <w:rFonts w:hint="eastAsia" w:cs="等线"/>
          <w:sz w:val="24"/>
          <w:lang w:eastAsia="zh-CN"/>
        </w:rPr>
        <w:t>。</w:t>
      </w:r>
    </w:p>
    <w:p w14:paraId="17F012FE">
      <w:pPr>
        <w:widowControl/>
        <w:spacing w:line="400" w:lineRule="exact"/>
        <w:jc w:val="center"/>
        <w:rPr>
          <w:rFonts w:ascii="宋体" w:hAnsi="宋体" w:cs="等线"/>
          <w:b/>
          <w:bCs/>
          <w:sz w:val="24"/>
        </w:rPr>
      </w:pPr>
      <w:r>
        <w:rPr>
          <w:rFonts w:ascii="宋体" w:hAnsi="宋体"/>
        </w:rPr>
        <w:drawing>
          <wp:anchor distT="0" distB="0" distL="114300" distR="114300" simplePos="0" relativeHeight="251663360" behindDoc="0" locked="0" layoutInCell="1" allowOverlap="1">
            <wp:simplePos x="0" y="0"/>
            <wp:positionH relativeFrom="column">
              <wp:posOffset>234315</wp:posOffset>
            </wp:positionH>
            <wp:positionV relativeFrom="paragraph">
              <wp:posOffset>92710</wp:posOffset>
            </wp:positionV>
            <wp:extent cx="4809490" cy="3313430"/>
            <wp:effectExtent l="0" t="0" r="10160" b="127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9"/>
                    <a:srcRect l="8920"/>
                    <a:stretch>
                      <a:fillRect/>
                    </a:stretch>
                  </pic:blipFill>
                  <pic:spPr>
                    <a:xfrm>
                      <a:off x="0" y="0"/>
                      <a:ext cx="4809490" cy="3313430"/>
                    </a:xfrm>
                    <a:prstGeom prst="rect">
                      <a:avLst/>
                    </a:prstGeom>
                    <a:noFill/>
                    <a:ln>
                      <a:noFill/>
                    </a:ln>
                  </pic:spPr>
                </pic:pic>
              </a:graphicData>
            </a:graphic>
          </wp:anchor>
        </w:drawing>
      </w:r>
      <w:bookmarkStart w:id="739" w:name="_Toc232703090"/>
    </w:p>
    <w:p w14:paraId="79C9A56E">
      <w:pPr>
        <w:widowControl/>
        <w:spacing w:line="400" w:lineRule="exact"/>
        <w:jc w:val="center"/>
        <w:rPr>
          <w:rFonts w:ascii="宋体" w:hAnsi="宋体" w:cs="等线"/>
          <w:b/>
          <w:bCs/>
          <w:sz w:val="24"/>
        </w:rPr>
      </w:pPr>
    </w:p>
    <w:p w14:paraId="173FFCB7">
      <w:pPr>
        <w:widowControl/>
        <w:spacing w:line="400" w:lineRule="exact"/>
        <w:jc w:val="center"/>
        <w:rPr>
          <w:rFonts w:ascii="宋体" w:hAnsi="宋体" w:cs="等线"/>
          <w:b/>
          <w:bCs/>
          <w:sz w:val="24"/>
        </w:rPr>
      </w:pPr>
    </w:p>
    <w:p w14:paraId="3CEC8F5E">
      <w:pPr>
        <w:widowControl/>
        <w:spacing w:line="400" w:lineRule="exact"/>
        <w:jc w:val="center"/>
        <w:rPr>
          <w:rFonts w:ascii="宋体" w:hAnsi="宋体" w:cs="等线"/>
          <w:b/>
          <w:bCs/>
          <w:sz w:val="24"/>
        </w:rPr>
      </w:pPr>
    </w:p>
    <w:p w14:paraId="72C638BD">
      <w:pPr>
        <w:widowControl/>
        <w:spacing w:line="400" w:lineRule="exact"/>
        <w:jc w:val="center"/>
        <w:rPr>
          <w:rFonts w:ascii="宋体" w:hAnsi="宋体" w:cs="等线"/>
          <w:b/>
          <w:bCs/>
          <w:sz w:val="24"/>
        </w:rPr>
      </w:pPr>
    </w:p>
    <w:p w14:paraId="054FCFFE">
      <w:pPr>
        <w:widowControl/>
        <w:spacing w:line="400" w:lineRule="exact"/>
        <w:jc w:val="center"/>
        <w:rPr>
          <w:rFonts w:ascii="宋体" w:hAnsi="宋体" w:cs="等线"/>
          <w:b/>
          <w:bCs/>
          <w:sz w:val="24"/>
        </w:rPr>
      </w:pPr>
    </w:p>
    <w:p w14:paraId="280F7F96">
      <w:pPr>
        <w:widowControl/>
        <w:spacing w:line="400" w:lineRule="exact"/>
        <w:jc w:val="center"/>
        <w:rPr>
          <w:rFonts w:ascii="宋体" w:hAnsi="宋体" w:cs="等线"/>
          <w:b/>
          <w:bCs/>
          <w:sz w:val="24"/>
        </w:rPr>
      </w:pPr>
    </w:p>
    <w:p w14:paraId="6381E47A">
      <w:pPr>
        <w:widowControl/>
        <w:spacing w:line="400" w:lineRule="exact"/>
        <w:jc w:val="center"/>
        <w:rPr>
          <w:rFonts w:ascii="宋体" w:hAnsi="宋体" w:cs="等线"/>
          <w:b/>
          <w:bCs/>
          <w:sz w:val="24"/>
        </w:rPr>
      </w:pPr>
    </w:p>
    <w:p w14:paraId="044CB802">
      <w:pPr>
        <w:widowControl/>
        <w:spacing w:line="400" w:lineRule="exact"/>
        <w:jc w:val="center"/>
        <w:rPr>
          <w:rFonts w:ascii="宋体" w:hAnsi="宋体" w:cs="等线"/>
          <w:b/>
          <w:bCs/>
          <w:sz w:val="24"/>
        </w:rPr>
      </w:pPr>
    </w:p>
    <w:p w14:paraId="0AC5F118">
      <w:pPr>
        <w:widowControl/>
        <w:spacing w:line="400" w:lineRule="exact"/>
        <w:jc w:val="center"/>
        <w:rPr>
          <w:rFonts w:ascii="宋体" w:hAnsi="宋体" w:cs="等线"/>
          <w:b/>
          <w:bCs/>
          <w:sz w:val="24"/>
        </w:rPr>
      </w:pPr>
    </w:p>
    <w:p w14:paraId="7748FE91">
      <w:pPr>
        <w:widowControl/>
        <w:spacing w:line="400" w:lineRule="exact"/>
        <w:jc w:val="center"/>
        <w:rPr>
          <w:rFonts w:ascii="宋体" w:hAnsi="宋体" w:cs="等线"/>
          <w:b/>
          <w:bCs/>
          <w:sz w:val="24"/>
        </w:rPr>
      </w:pPr>
    </w:p>
    <w:p w14:paraId="65105912">
      <w:pPr>
        <w:widowControl/>
        <w:spacing w:line="400" w:lineRule="exact"/>
        <w:jc w:val="center"/>
        <w:rPr>
          <w:rFonts w:ascii="宋体" w:hAnsi="宋体" w:cs="等线"/>
          <w:b/>
          <w:bCs/>
          <w:sz w:val="24"/>
        </w:rPr>
      </w:pPr>
    </w:p>
    <w:p w14:paraId="35C19DED">
      <w:pPr>
        <w:widowControl/>
        <w:spacing w:line="400" w:lineRule="exact"/>
        <w:jc w:val="center"/>
        <w:rPr>
          <w:rFonts w:ascii="宋体" w:hAnsi="宋体" w:cs="等线"/>
          <w:b/>
          <w:bCs/>
          <w:sz w:val="24"/>
        </w:rPr>
      </w:pPr>
    </w:p>
    <w:p w14:paraId="50675612">
      <w:pPr>
        <w:widowControl/>
        <w:spacing w:line="400" w:lineRule="exact"/>
        <w:jc w:val="center"/>
        <w:rPr>
          <w:rFonts w:hint="eastAsia" w:ascii="宋体" w:hAnsi="宋体" w:cs="等线"/>
          <w:b/>
          <w:bCs/>
          <w:sz w:val="24"/>
        </w:rPr>
      </w:pPr>
    </w:p>
    <w:p w14:paraId="381EE8AB">
      <w:pPr>
        <w:pStyle w:val="3"/>
        <w:spacing w:line="400" w:lineRule="exact"/>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1.3 项目背景</w:t>
      </w:r>
      <w:bookmarkEnd w:id="739"/>
    </w:p>
    <w:p w14:paraId="53B4FBD5">
      <w:pPr>
        <w:widowControl/>
        <w:spacing w:line="400" w:lineRule="exact"/>
        <w:ind w:firstLine="480" w:firstLineChars="200"/>
        <w:rPr>
          <w:rFonts w:ascii="宋体" w:hAnsi="宋体" w:cs="等线"/>
          <w:sz w:val="24"/>
        </w:rPr>
      </w:pPr>
      <w:r>
        <w:rPr>
          <w:rFonts w:hint="eastAsia" w:ascii="宋体" w:hAnsi="宋体" w:cs="等线"/>
          <w:sz w:val="24"/>
        </w:rPr>
        <w:t>百年东街为韶关市重要的历史文化街区，骑楼建筑风貌特色鲜明，是城区历史人文资源与城市记忆的核心代表。项目于2014年建成投用，受历史运营管理等因素影响，目前空置率较高，建筑外立面破损、公共设施陈旧、动线不畅等问题突出。本项目拟通过城市更新改造，实现街区功能重塑与活力复兴，打造韶关市主客共享的“新岭南生活体验场”，成为粤北地区文商旅融合发展的新名片。</w:t>
      </w:r>
    </w:p>
    <w:p w14:paraId="486E3ED7">
      <w:pPr>
        <w:widowControl/>
        <w:spacing w:line="400" w:lineRule="exact"/>
        <w:ind w:firstLine="482" w:firstLineChars="200"/>
        <w:rPr>
          <w:rFonts w:hint="eastAsia" w:ascii="宋体" w:hAnsi="宋体" w:cs="等线"/>
          <w:b/>
          <w:bCs/>
          <w:sz w:val="24"/>
        </w:rPr>
      </w:pPr>
    </w:p>
    <w:p w14:paraId="4E7CCF6F">
      <w:pPr>
        <w:pStyle w:val="3"/>
        <w:spacing w:line="400" w:lineRule="exact"/>
        <w:rPr>
          <w:rFonts w:hint="eastAsia" w:asciiTheme="majorEastAsia" w:hAnsiTheme="majorEastAsia" w:eastAsiaTheme="majorEastAsia" w:cstheme="majorEastAsia"/>
          <w:b/>
          <w:bCs/>
          <w:sz w:val="24"/>
        </w:rPr>
      </w:pPr>
      <w:bookmarkStart w:id="740" w:name="_Toc232703091"/>
      <w:r>
        <w:rPr>
          <w:rFonts w:hint="eastAsia" w:asciiTheme="majorEastAsia" w:hAnsiTheme="majorEastAsia" w:eastAsiaTheme="majorEastAsia" w:cstheme="majorEastAsia"/>
          <w:b/>
          <w:bCs/>
          <w:sz w:val="24"/>
        </w:rPr>
        <w:t>1.4 建设规模</w:t>
      </w:r>
      <w:bookmarkEnd w:id="740"/>
    </w:p>
    <w:p w14:paraId="7BCA00E0">
      <w:pPr>
        <w:widowControl/>
        <w:spacing w:line="400" w:lineRule="exact"/>
        <w:rPr>
          <w:rFonts w:hint="eastAsia" w:ascii="宋体" w:hAnsi="宋体" w:eastAsia="宋体" w:cs="等线"/>
          <w:b/>
          <w:bCs/>
          <w:sz w:val="24"/>
          <w:lang w:eastAsia="zh-CN"/>
        </w:rPr>
      </w:pPr>
      <w:r>
        <w:rPr>
          <w:rFonts w:hint="eastAsia" w:ascii="宋体" w:hAnsi="宋体" w:cs="等线"/>
          <w:sz w:val="24"/>
        </w:rPr>
        <w:t>项目改造建筑面积约50000㎡（A、B、C、D四个区域）</w:t>
      </w:r>
      <w:r>
        <w:rPr>
          <w:rFonts w:hint="eastAsia" w:ascii="宋体" w:hAnsi="宋体" w:cs="等线"/>
          <w:sz w:val="24"/>
          <w:lang w:eastAsia="zh-CN"/>
        </w:rPr>
        <w:t>。</w:t>
      </w:r>
    </w:p>
    <w:p w14:paraId="07B5C23E">
      <w:pPr>
        <w:pStyle w:val="3"/>
        <w:spacing w:line="400" w:lineRule="exact"/>
        <w:rPr>
          <w:rFonts w:hint="eastAsia" w:asciiTheme="majorEastAsia" w:hAnsiTheme="majorEastAsia" w:eastAsiaTheme="majorEastAsia" w:cstheme="majorEastAsia"/>
          <w:b/>
          <w:bCs/>
          <w:sz w:val="24"/>
        </w:rPr>
      </w:pPr>
      <w:bookmarkStart w:id="741" w:name="_Toc232703092"/>
      <w:r>
        <w:rPr>
          <w:rFonts w:hint="eastAsia" w:asciiTheme="majorEastAsia" w:hAnsiTheme="majorEastAsia" w:eastAsiaTheme="majorEastAsia" w:cstheme="majorEastAsia"/>
          <w:b/>
          <w:bCs/>
          <w:sz w:val="24"/>
        </w:rPr>
        <w:t xml:space="preserve">1.5 </w:t>
      </w:r>
      <w:r>
        <w:rPr>
          <w:rFonts w:hint="eastAsia" w:asciiTheme="majorEastAsia" w:hAnsiTheme="majorEastAsia" w:eastAsiaTheme="majorEastAsia" w:cstheme="majorEastAsia"/>
          <w:b/>
          <w:bCs/>
          <w:sz w:val="24"/>
          <w:lang w:val="en-US" w:eastAsia="zh-CN"/>
        </w:rPr>
        <w:t>设计</w:t>
      </w:r>
      <w:r>
        <w:rPr>
          <w:rFonts w:hint="eastAsia" w:asciiTheme="majorEastAsia" w:hAnsiTheme="majorEastAsia" w:eastAsiaTheme="majorEastAsia" w:cstheme="majorEastAsia"/>
          <w:b/>
          <w:bCs/>
          <w:sz w:val="24"/>
        </w:rPr>
        <w:t>范围</w:t>
      </w:r>
      <w:bookmarkEnd w:id="741"/>
    </w:p>
    <w:p w14:paraId="425927B2">
      <w:pPr>
        <w:widowControl/>
        <w:spacing w:line="400" w:lineRule="exact"/>
        <w:rPr>
          <w:rFonts w:ascii="宋体" w:hAnsi="宋体" w:cs="等线"/>
          <w:sz w:val="24"/>
        </w:rPr>
      </w:pPr>
      <w:r>
        <w:rPr>
          <w:rFonts w:hint="eastAsia" w:ascii="宋体" w:hAnsi="宋体" w:cs="等线"/>
          <w:sz w:val="24"/>
        </w:rPr>
        <w:t>本次招标范围为项目一期的方案设计、初步设计及相关配合服务，包括但不限于以下内容：</w:t>
      </w:r>
    </w:p>
    <w:p w14:paraId="40F677E2">
      <w:pPr>
        <w:widowControl/>
        <w:spacing w:line="400" w:lineRule="exact"/>
        <w:rPr>
          <w:rFonts w:hint="eastAsia" w:ascii="宋体" w:hAnsi="宋体" w:cs="等线"/>
          <w:sz w:val="24"/>
        </w:rPr>
      </w:pPr>
      <w:r>
        <w:rPr>
          <w:rFonts w:hint="eastAsia" w:ascii="宋体" w:hAnsi="宋体" w:cs="等线"/>
          <w:sz w:val="24"/>
        </w:rPr>
        <w:t>一期</w:t>
      </w:r>
    </w:p>
    <w:p w14:paraId="09964DB2">
      <w:pPr>
        <w:widowControl/>
        <w:spacing w:line="400" w:lineRule="exact"/>
        <w:rPr>
          <w:rFonts w:hint="eastAsia" w:ascii="宋体" w:hAnsi="宋体" w:cs="等线"/>
          <w:sz w:val="24"/>
        </w:rPr>
      </w:pPr>
      <w:r>
        <w:rPr>
          <w:rFonts w:hint="eastAsia" w:ascii="宋体" w:hAnsi="宋体" w:cs="等线"/>
          <w:sz w:val="24"/>
        </w:rPr>
        <w:t>1.百年东街A、B、C、D四区建筑外立面改造、公共区域提升改造等；</w:t>
      </w:r>
    </w:p>
    <w:p w14:paraId="36BB172F">
      <w:pPr>
        <w:widowControl/>
        <w:spacing w:line="400" w:lineRule="exact"/>
        <w:rPr>
          <w:rFonts w:hint="eastAsia" w:ascii="宋体" w:hAnsi="宋体" w:cs="等线"/>
          <w:sz w:val="24"/>
        </w:rPr>
      </w:pPr>
      <w:r>
        <w:rPr>
          <w:rFonts w:hint="eastAsia" w:ascii="宋体" w:hAnsi="宋体" w:cs="等线"/>
          <w:sz w:val="24"/>
        </w:rPr>
        <w:t>2.百年东街室外广场、滨河步道、内街景观环境设计；</w:t>
      </w:r>
    </w:p>
    <w:p w14:paraId="2B2BA55B">
      <w:pPr>
        <w:widowControl/>
        <w:spacing w:line="400" w:lineRule="exact"/>
        <w:rPr>
          <w:rFonts w:hint="eastAsia" w:ascii="宋体" w:hAnsi="宋体" w:cs="等线"/>
          <w:sz w:val="24"/>
        </w:rPr>
      </w:pPr>
      <w:r>
        <w:rPr>
          <w:rFonts w:hint="eastAsia" w:ascii="宋体" w:hAnsi="宋体" w:cs="等线"/>
          <w:sz w:val="24"/>
        </w:rPr>
        <w:t>3.百年东街机电工程、弱电智能化工程改造设计；</w:t>
      </w:r>
    </w:p>
    <w:p w14:paraId="3977539C">
      <w:pPr>
        <w:widowControl/>
        <w:spacing w:line="400" w:lineRule="exact"/>
        <w:rPr>
          <w:rFonts w:hint="eastAsia" w:ascii="宋体" w:hAnsi="宋体" w:cs="等线"/>
          <w:sz w:val="24"/>
        </w:rPr>
      </w:pPr>
      <w:r>
        <w:rPr>
          <w:rFonts w:hint="eastAsia" w:ascii="宋体" w:hAnsi="宋体" w:cs="等线"/>
          <w:sz w:val="24"/>
        </w:rPr>
        <w:t>4.百年东街泛光照明、导视标识系统设计；</w:t>
      </w:r>
    </w:p>
    <w:p w14:paraId="2C83A0E8">
      <w:pPr>
        <w:widowControl/>
        <w:spacing w:line="400" w:lineRule="exact"/>
        <w:rPr>
          <w:rFonts w:ascii="宋体" w:hAnsi="宋体" w:cs="等线"/>
          <w:sz w:val="24"/>
        </w:rPr>
      </w:pPr>
      <w:r>
        <w:rPr>
          <w:rFonts w:hint="eastAsia" w:ascii="宋体" w:hAnsi="宋体" w:cs="等线"/>
          <w:sz w:val="24"/>
        </w:rPr>
        <w:t>5.后续施工阶段的现场配合与服务。</w:t>
      </w:r>
    </w:p>
    <w:p w14:paraId="406FA69C">
      <w:pPr>
        <w:jc w:val="center"/>
        <w:rPr>
          <w:rFonts w:hint="eastAsia" w:ascii="宋体" w:hAnsi="宋体"/>
        </w:rPr>
      </w:pPr>
      <w:bookmarkStart w:id="742" w:name="_Toc232703093"/>
      <w:r>
        <w:drawing>
          <wp:inline distT="0" distB="0" distL="114300" distR="114300">
            <wp:extent cx="5269865" cy="2734310"/>
            <wp:effectExtent l="0" t="0" r="6985"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0"/>
                    <a:stretch>
                      <a:fillRect/>
                    </a:stretch>
                  </pic:blipFill>
                  <pic:spPr>
                    <a:xfrm>
                      <a:off x="0" y="0"/>
                      <a:ext cx="5269865" cy="2734310"/>
                    </a:xfrm>
                    <a:prstGeom prst="rect">
                      <a:avLst/>
                    </a:prstGeom>
                    <a:noFill/>
                    <a:ln>
                      <a:noFill/>
                    </a:ln>
                  </pic:spPr>
                </pic:pic>
              </a:graphicData>
            </a:graphic>
          </wp:inline>
        </w:drawing>
      </w:r>
    </w:p>
    <w:p w14:paraId="507B0B8F">
      <w:pPr>
        <w:jc w:val="center"/>
        <w:rPr>
          <w:rFonts w:hint="eastAsia" w:ascii="宋体" w:hAnsi="宋体"/>
        </w:rPr>
      </w:pPr>
    </w:p>
    <w:p w14:paraId="694EA35F">
      <w:pPr>
        <w:pStyle w:val="3"/>
        <w:spacing w:line="400" w:lineRule="exact"/>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2. 设计总体原则</w:t>
      </w:r>
      <w:bookmarkEnd w:id="742"/>
    </w:p>
    <w:p w14:paraId="2E19DB92">
      <w:pPr>
        <w:widowControl/>
        <w:spacing w:line="400" w:lineRule="exact"/>
        <w:jc w:val="left"/>
        <w:rPr>
          <w:rFonts w:hint="eastAsia" w:ascii="宋体" w:hAnsi="宋体" w:cs="等线"/>
        </w:rPr>
      </w:pPr>
      <w:r>
        <w:rPr>
          <w:rFonts w:hint="eastAsia" w:cs="等线"/>
          <w:kern w:val="0"/>
          <w:sz w:val="24"/>
          <w:lang w:val="en-US" w:eastAsia="zh-CN" w:bidi="ar"/>
        </w:rPr>
        <w:t>2.</w:t>
      </w:r>
      <w:r>
        <w:rPr>
          <w:rFonts w:hint="eastAsia" w:ascii="宋体" w:hAnsi="宋体" w:cs="等线"/>
          <w:kern w:val="0"/>
          <w:sz w:val="24"/>
          <w:lang w:bidi="ar"/>
        </w:rPr>
        <w:t>1修旧如旧、风貌统一：严格延续百年东街岭南骑楼立面形制、比例、色彩、构件特征。</w:t>
      </w:r>
    </w:p>
    <w:p w14:paraId="69D26F6C">
      <w:pPr>
        <w:widowControl/>
        <w:spacing w:line="400" w:lineRule="exact"/>
        <w:jc w:val="left"/>
        <w:rPr>
          <w:rFonts w:hint="eastAsia" w:ascii="宋体" w:hAnsi="宋体" w:cs="等线"/>
        </w:rPr>
      </w:pPr>
      <w:r>
        <w:rPr>
          <w:rFonts w:hint="eastAsia" w:cs="等线"/>
          <w:kern w:val="0"/>
          <w:sz w:val="24"/>
          <w:lang w:val="en-US" w:eastAsia="zh-CN" w:bidi="ar"/>
        </w:rPr>
        <w:t>2.</w:t>
      </w:r>
      <w:r>
        <w:rPr>
          <w:rFonts w:hint="eastAsia" w:ascii="宋体" w:hAnsi="宋体" w:cs="等线"/>
          <w:kern w:val="0"/>
          <w:sz w:val="24"/>
          <w:lang w:bidi="ar"/>
        </w:rPr>
        <w:t>2安全优先：结构、消防、机电全面合规，消除老旧街区安全隐患。</w:t>
      </w:r>
    </w:p>
    <w:p w14:paraId="67777B1E">
      <w:pPr>
        <w:widowControl/>
        <w:spacing w:line="400" w:lineRule="exact"/>
        <w:jc w:val="left"/>
        <w:rPr>
          <w:rFonts w:hint="eastAsia" w:ascii="宋体" w:hAnsi="宋体" w:cs="等线"/>
        </w:rPr>
      </w:pPr>
      <w:r>
        <w:rPr>
          <w:rFonts w:hint="eastAsia" w:cs="等线"/>
          <w:kern w:val="0"/>
          <w:sz w:val="24"/>
          <w:lang w:val="en-US" w:eastAsia="zh-CN" w:bidi="ar"/>
        </w:rPr>
        <w:t>2.</w:t>
      </w:r>
      <w:r>
        <w:rPr>
          <w:rFonts w:hint="eastAsia" w:ascii="宋体" w:hAnsi="宋体" w:cs="等线"/>
          <w:kern w:val="0"/>
          <w:sz w:val="24"/>
          <w:lang w:bidi="ar"/>
        </w:rPr>
        <w:t>3文商共生：保留老城烟火，适配现代商业、文旅夜游、市民休闲需求。</w:t>
      </w:r>
    </w:p>
    <w:p w14:paraId="0EE93298">
      <w:pPr>
        <w:widowControl/>
        <w:spacing w:line="400" w:lineRule="exact"/>
        <w:jc w:val="left"/>
        <w:rPr>
          <w:rFonts w:hint="eastAsia" w:ascii="宋体" w:hAnsi="宋体" w:cs="等线"/>
        </w:rPr>
      </w:pPr>
      <w:r>
        <w:rPr>
          <w:rFonts w:hint="eastAsia" w:cs="等线"/>
          <w:kern w:val="0"/>
          <w:sz w:val="24"/>
          <w:lang w:val="en-US" w:eastAsia="zh-CN" w:bidi="ar"/>
        </w:rPr>
        <w:t>2.</w:t>
      </w:r>
      <w:r>
        <w:rPr>
          <w:rFonts w:hint="eastAsia" w:ascii="宋体" w:hAnsi="宋体" w:cs="等线"/>
          <w:kern w:val="0"/>
          <w:sz w:val="24"/>
          <w:lang w:bidi="ar"/>
        </w:rPr>
        <w:t>4落地可控：材质耐久、工艺成熟、运维简单、造价可控。</w:t>
      </w:r>
    </w:p>
    <w:p w14:paraId="488E7557">
      <w:pPr>
        <w:pStyle w:val="2"/>
        <w:spacing w:line="400" w:lineRule="exact"/>
        <w:rPr>
          <w:rFonts w:hint="eastAsia" w:ascii="黑体" w:hAnsi="黑体" w:eastAsia="黑体" w:cs="等线"/>
          <w:sz w:val="24"/>
        </w:rPr>
      </w:pPr>
      <w:bookmarkStart w:id="743" w:name="_Toc232703094"/>
    </w:p>
    <w:p w14:paraId="0815C135">
      <w:pPr>
        <w:pStyle w:val="2"/>
        <w:spacing w:line="400" w:lineRule="exact"/>
        <w:rPr>
          <w:rFonts w:hint="eastAsia" w:ascii="黑体" w:hAnsi="黑体" w:eastAsia="黑体" w:cs="等线"/>
          <w:szCs w:val="30"/>
        </w:rPr>
      </w:pPr>
      <w:r>
        <w:rPr>
          <w:rFonts w:hint="eastAsia" w:ascii="黑体" w:hAnsi="黑体" w:eastAsia="黑体" w:cs="等线"/>
          <w:szCs w:val="30"/>
        </w:rPr>
        <w:t>二、设计依据和原则</w:t>
      </w:r>
      <w:bookmarkEnd w:id="743"/>
    </w:p>
    <w:p w14:paraId="46FCB042">
      <w:pPr>
        <w:pStyle w:val="3"/>
        <w:spacing w:line="400" w:lineRule="exact"/>
        <w:rPr>
          <w:rFonts w:hint="eastAsia" w:asciiTheme="majorEastAsia" w:hAnsiTheme="majorEastAsia" w:eastAsiaTheme="majorEastAsia" w:cstheme="majorEastAsia"/>
          <w:b/>
          <w:bCs/>
          <w:sz w:val="24"/>
        </w:rPr>
      </w:pPr>
      <w:bookmarkStart w:id="744" w:name="_Toc232703095"/>
      <w:r>
        <w:rPr>
          <w:rFonts w:hint="eastAsia" w:asciiTheme="majorEastAsia" w:hAnsiTheme="majorEastAsia" w:eastAsiaTheme="majorEastAsia" w:cstheme="majorEastAsia"/>
          <w:b/>
          <w:bCs/>
          <w:sz w:val="24"/>
        </w:rPr>
        <w:t>2.1 法律法规与规范标准</w:t>
      </w:r>
      <w:bookmarkEnd w:id="744"/>
    </w:p>
    <w:p w14:paraId="5AFE2CC0">
      <w:pPr>
        <w:pStyle w:val="27"/>
        <w:widowControl/>
        <w:numPr>
          <w:ilvl w:val="0"/>
          <w:numId w:val="0"/>
        </w:numPr>
        <w:spacing w:beforeAutospacing="0" w:afterAutospacing="0" w:line="400" w:lineRule="exact"/>
        <w:ind w:left="425" w:hanging="425"/>
        <w:rPr>
          <w:rFonts w:hint="eastAsia" w:ascii="宋体" w:hAnsi="宋体" w:cs="等线"/>
        </w:rPr>
      </w:pPr>
      <w:r>
        <w:rPr>
          <w:rFonts w:hint="eastAsia" w:cs="等线"/>
          <w:color w:val="000000"/>
          <w:sz w:val="24"/>
          <w:szCs w:val="24"/>
          <w:lang w:val="en-US" w:eastAsia="zh-CN" w:bidi="ar-SA"/>
        </w:rPr>
        <w:t>2.1.</w:t>
      </w:r>
      <w:r>
        <w:rPr>
          <w:rFonts w:hint="default" w:ascii="宋体" w:hAnsi="宋体" w:eastAsia="宋体" w:cs="等线"/>
          <w:color w:val="000000"/>
          <w:sz w:val="24"/>
          <w:szCs w:val="24"/>
          <w:lang w:val="en-US" w:eastAsia="zh-CN" w:bidi="ar-SA"/>
        </w:rPr>
        <w:t>1</w:t>
      </w:r>
      <w:r>
        <w:rPr>
          <w:rFonts w:hint="eastAsia" w:ascii="宋体" w:hAnsi="宋体" w:cs="等线"/>
          <w:color w:val="0F1115"/>
          <w:shd w:val="clear" w:color="auto" w:fill="FFFFFF"/>
        </w:rPr>
        <w:t>《中华人民共和国城乡规划法》</w:t>
      </w:r>
    </w:p>
    <w:p w14:paraId="0682DEFC">
      <w:pPr>
        <w:pStyle w:val="27"/>
        <w:widowControl/>
        <w:numPr>
          <w:ilvl w:val="0"/>
          <w:numId w:val="0"/>
        </w:numPr>
        <w:spacing w:beforeAutospacing="0" w:afterAutospacing="0" w:line="400" w:lineRule="exact"/>
        <w:ind w:left="425" w:hanging="425"/>
        <w:rPr>
          <w:rFonts w:hint="eastAsia" w:ascii="宋体" w:hAnsi="宋体" w:cs="等线"/>
        </w:rPr>
      </w:pPr>
      <w:r>
        <w:rPr>
          <w:rFonts w:hint="default" w:ascii="宋体" w:hAnsi="宋体" w:eastAsia="宋体" w:cs="等线"/>
          <w:color w:val="000000"/>
          <w:sz w:val="24"/>
          <w:szCs w:val="24"/>
          <w:lang w:val="en-US" w:eastAsia="zh-CN" w:bidi="ar-SA"/>
        </w:rPr>
        <w:t>2.</w:t>
      </w:r>
      <w:r>
        <w:rPr>
          <w:rFonts w:hint="eastAsia" w:cs="等线"/>
          <w:color w:val="000000"/>
          <w:sz w:val="24"/>
          <w:szCs w:val="24"/>
          <w:lang w:val="en-US" w:eastAsia="zh-CN" w:bidi="ar-SA"/>
        </w:rPr>
        <w:t>1.2</w:t>
      </w:r>
      <w:r>
        <w:rPr>
          <w:rFonts w:hint="eastAsia" w:ascii="宋体" w:hAnsi="宋体" w:cs="等线"/>
          <w:color w:val="0F1115"/>
          <w:shd w:val="clear" w:color="auto" w:fill="FFFFFF"/>
        </w:rPr>
        <w:t>《中华人民共和国文物保护法》</w:t>
      </w:r>
    </w:p>
    <w:p w14:paraId="5A5F3358">
      <w:pPr>
        <w:pStyle w:val="27"/>
        <w:widowControl/>
        <w:numPr>
          <w:ilvl w:val="0"/>
          <w:numId w:val="0"/>
        </w:numPr>
        <w:spacing w:beforeAutospacing="0" w:afterAutospacing="0" w:line="400" w:lineRule="exact"/>
        <w:ind w:left="425" w:hanging="425"/>
        <w:rPr>
          <w:rFonts w:hint="eastAsia" w:ascii="宋体" w:hAnsi="宋体" w:cs="等线"/>
          <w:color w:val="0F1115"/>
          <w:shd w:val="clear" w:color="auto" w:fill="FFFFFF"/>
        </w:rPr>
      </w:pPr>
      <w:r>
        <w:rPr>
          <w:rFonts w:hint="eastAsia" w:cs="等线"/>
          <w:color w:val="0F1115"/>
          <w:sz w:val="24"/>
          <w:szCs w:val="24"/>
          <w:shd w:val="clear" w:fill="FFFFFF"/>
          <w:lang w:val="en-US" w:eastAsia="zh-CN" w:bidi="ar-SA"/>
        </w:rPr>
        <w:t>2.1.</w:t>
      </w:r>
      <w:r>
        <w:rPr>
          <w:rFonts w:hint="default" w:ascii="宋体" w:hAnsi="宋体" w:eastAsia="宋体" w:cs="等线"/>
          <w:color w:val="0F1115"/>
          <w:sz w:val="24"/>
          <w:szCs w:val="24"/>
          <w:shd w:val="clear" w:fill="FFFFFF"/>
          <w:lang w:val="en-US" w:eastAsia="zh-CN" w:bidi="ar-SA"/>
        </w:rPr>
        <w:t>3</w:t>
      </w:r>
      <w:r>
        <w:rPr>
          <w:rFonts w:hint="eastAsia" w:ascii="宋体" w:hAnsi="宋体" w:cs="等线"/>
          <w:color w:val="0F1115"/>
          <w:shd w:val="clear" w:color="auto" w:fill="FFFFFF"/>
        </w:rPr>
        <w:t>《城市道路工程设计规范》（</w:t>
      </w:r>
      <w:r>
        <w:rPr>
          <w:rFonts w:hint="eastAsia" w:cs="等线"/>
          <w:color w:val="0F1115"/>
          <w:shd w:val="clear" w:color="auto" w:fill="FFFFFF"/>
          <w:lang w:eastAsia="zh-CN"/>
        </w:rPr>
        <w:t>CJJ 37-2012[2016年版]</w:t>
      </w:r>
      <w:r>
        <w:rPr>
          <w:rFonts w:hint="eastAsia" w:ascii="宋体" w:hAnsi="宋体" w:cs="等线"/>
          <w:color w:val="0F1115"/>
          <w:shd w:val="clear" w:color="auto" w:fill="FFFFFF"/>
        </w:rPr>
        <w:t>）</w:t>
      </w:r>
    </w:p>
    <w:p w14:paraId="72620B1A">
      <w:pPr>
        <w:pStyle w:val="27"/>
        <w:widowControl/>
        <w:numPr>
          <w:ilvl w:val="0"/>
          <w:numId w:val="0"/>
        </w:numPr>
        <w:spacing w:beforeAutospacing="0" w:afterAutospacing="0" w:line="400" w:lineRule="exact"/>
        <w:ind w:left="425" w:hanging="425"/>
        <w:rPr>
          <w:rFonts w:hint="eastAsia" w:ascii="宋体" w:hAnsi="宋体" w:cs="等线"/>
          <w:color w:val="0F1115"/>
          <w:shd w:val="clear" w:color="auto" w:fill="FFFFFF"/>
        </w:rPr>
      </w:pPr>
      <w:r>
        <w:rPr>
          <w:rFonts w:hint="eastAsia" w:cs="等线"/>
          <w:color w:val="0F1115"/>
          <w:sz w:val="24"/>
          <w:szCs w:val="24"/>
          <w:shd w:val="clear" w:fill="FFFFFF"/>
          <w:lang w:val="en-US" w:eastAsia="zh-CN" w:bidi="ar-SA"/>
        </w:rPr>
        <w:t>2.1.</w:t>
      </w:r>
      <w:r>
        <w:rPr>
          <w:rFonts w:hint="default" w:ascii="宋体" w:hAnsi="宋体" w:eastAsia="宋体" w:cs="等线"/>
          <w:color w:val="0F1115"/>
          <w:sz w:val="24"/>
          <w:szCs w:val="24"/>
          <w:shd w:val="clear" w:fill="FFFFFF"/>
          <w:lang w:val="en-US" w:eastAsia="zh-CN" w:bidi="ar-SA"/>
        </w:rPr>
        <w:t>4</w:t>
      </w:r>
      <w:r>
        <w:rPr>
          <w:rFonts w:hint="eastAsia" w:ascii="宋体" w:hAnsi="宋体" w:cs="等线"/>
          <w:color w:val="0F1115"/>
          <w:shd w:val="clear" w:color="auto" w:fill="FFFFFF"/>
        </w:rPr>
        <w:t>《无障碍设计规范》（GB 50763）</w:t>
      </w:r>
    </w:p>
    <w:p w14:paraId="733215AD">
      <w:pPr>
        <w:pStyle w:val="27"/>
        <w:widowControl/>
        <w:numPr>
          <w:ilvl w:val="0"/>
          <w:numId w:val="0"/>
        </w:numPr>
        <w:spacing w:beforeAutospacing="0" w:afterAutospacing="0" w:line="400" w:lineRule="exact"/>
        <w:ind w:left="425" w:hanging="425"/>
        <w:rPr>
          <w:rFonts w:hint="eastAsia" w:ascii="宋体" w:hAnsi="宋体" w:cs="等线"/>
          <w:color w:val="0F1115"/>
          <w:shd w:val="clear" w:color="auto" w:fill="FFFFFF"/>
        </w:rPr>
      </w:pPr>
      <w:r>
        <w:rPr>
          <w:rFonts w:hint="eastAsia" w:cs="等线"/>
          <w:color w:val="0F1115"/>
          <w:sz w:val="24"/>
          <w:szCs w:val="24"/>
          <w:shd w:val="clear" w:fill="FFFFFF"/>
          <w:lang w:val="en-US" w:eastAsia="zh-CN" w:bidi="ar-SA"/>
        </w:rPr>
        <w:t>2.1.</w:t>
      </w:r>
      <w:r>
        <w:rPr>
          <w:rFonts w:hint="default" w:ascii="宋体" w:hAnsi="宋体" w:eastAsia="宋体" w:cs="等线"/>
          <w:color w:val="0F1115"/>
          <w:sz w:val="24"/>
          <w:szCs w:val="24"/>
          <w:shd w:val="clear" w:fill="FFFFFF"/>
          <w:lang w:val="en-US" w:eastAsia="zh-CN" w:bidi="ar-SA"/>
        </w:rPr>
        <w:t>5</w:t>
      </w:r>
      <w:r>
        <w:rPr>
          <w:rFonts w:hint="eastAsia" w:ascii="宋体" w:hAnsi="宋体" w:cs="等线"/>
          <w:color w:val="0F1115"/>
          <w:shd w:val="clear" w:color="auto" w:fill="FFFFFF"/>
        </w:rPr>
        <w:t>《建筑设计防火规范》（</w:t>
      </w:r>
      <w:r>
        <w:rPr>
          <w:rFonts w:hint="eastAsia" w:cs="等线"/>
          <w:color w:val="0F1115"/>
          <w:shd w:val="clear" w:color="auto" w:fill="FFFFFF"/>
          <w:lang w:eastAsia="zh-CN"/>
        </w:rPr>
        <w:t>GB 50016-2014[2018年版]</w:t>
      </w:r>
      <w:r>
        <w:rPr>
          <w:rFonts w:hint="eastAsia" w:ascii="宋体" w:hAnsi="宋体" w:cs="等线"/>
          <w:color w:val="0F1115"/>
          <w:shd w:val="clear" w:color="auto" w:fill="FFFFFF"/>
        </w:rPr>
        <w:t>）</w:t>
      </w:r>
    </w:p>
    <w:p w14:paraId="1AEA0E26">
      <w:pPr>
        <w:pStyle w:val="27"/>
        <w:widowControl/>
        <w:numPr>
          <w:ilvl w:val="0"/>
          <w:numId w:val="0"/>
        </w:numPr>
        <w:spacing w:beforeAutospacing="0" w:afterAutospacing="0" w:line="400" w:lineRule="exact"/>
        <w:ind w:left="425" w:hanging="425"/>
        <w:rPr>
          <w:rFonts w:hint="eastAsia" w:ascii="宋体" w:hAnsi="宋体" w:cs="等线"/>
          <w:color w:val="0F1115"/>
          <w:shd w:val="clear" w:color="auto" w:fill="FFFFFF"/>
        </w:rPr>
      </w:pPr>
      <w:r>
        <w:rPr>
          <w:rFonts w:hint="eastAsia" w:cs="等线"/>
          <w:color w:val="0F1115"/>
          <w:sz w:val="24"/>
          <w:szCs w:val="24"/>
          <w:shd w:val="clear" w:fill="FFFFFF"/>
          <w:lang w:val="en-US" w:eastAsia="zh-CN" w:bidi="ar-SA"/>
        </w:rPr>
        <w:t>2.1.</w:t>
      </w:r>
      <w:r>
        <w:rPr>
          <w:rFonts w:hint="default" w:ascii="宋体" w:hAnsi="宋体" w:eastAsia="宋体" w:cs="等线"/>
          <w:color w:val="0F1115"/>
          <w:sz w:val="24"/>
          <w:szCs w:val="24"/>
          <w:shd w:val="clear" w:fill="FFFFFF"/>
          <w:lang w:val="en-US" w:eastAsia="zh-CN" w:bidi="ar-SA"/>
        </w:rPr>
        <w:t>6</w:t>
      </w:r>
      <w:r>
        <w:rPr>
          <w:rFonts w:hint="eastAsia" w:ascii="宋体" w:hAnsi="宋体" w:cs="等线"/>
          <w:color w:val="0F1115"/>
          <w:shd w:val="clear" w:color="auto" w:fill="FFFFFF"/>
        </w:rPr>
        <w:t>《建筑结构荷载规范》（GB 50009）</w:t>
      </w:r>
    </w:p>
    <w:p w14:paraId="5C316D83">
      <w:pPr>
        <w:pStyle w:val="27"/>
        <w:widowControl/>
        <w:numPr>
          <w:ilvl w:val="0"/>
          <w:numId w:val="0"/>
        </w:numPr>
        <w:spacing w:beforeAutospacing="0" w:afterAutospacing="0" w:line="400" w:lineRule="exact"/>
        <w:ind w:left="425" w:hanging="425"/>
        <w:rPr>
          <w:rFonts w:ascii="宋体" w:hAnsi="宋体" w:cs="等线"/>
          <w:color w:val="0F1115"/>
          <w:shd w:val="clear" w:color="auto" w:fill="FFFFFF"/>
        </w:rPr>
      </w:pPr>
      <w:r>
        <w:rPr>
          <w:rFonts w:hint="eastAsia" w:cs="等线"/>
          <w:color w:val="0F1115"/>
          <w:sz w:val="24"/>
          <w:szCs w:val="24"/>
          <w:shd w:val="clear" w:fill="FFFFFF"/>
          <w:lang w:val="en-US" w:eastAsia="zh-CN" w:bidi="ar-SA"/>
        </w:rPr>
        <w:t>2.1.</w:t>
      </w:r>
      <w:r>
        <w:rPr>
          <w:rFonts w:hint="default" w:ascii="宋体" w:hAnsi="宋体" w:eastAsia="宋体" w:cs="等线"/>
          <w:color w:val="0F1115"/>
          <w:sz w:val="24"/>
          <w:szCs w:val="24"/>
          <w:shd w:val="clear" w:fill="FFFFFF"/>
          <w:lang w:val="en-US" w:eastAsia="zh-CN" w:bidi="ar-SA"/>
        </w:rPr>
        <w:t>7</w:t>
      </w:r>
      <w:r>
        <w:rPr>
          <w:rFonts w:hint="eastAsia" w:ascii="宋体" w:hAnsi="宋体" w:cs="等线"/>
          <w:color w:val="0F1115"/>
          <w:shd w:val="clear" w:color="auto" w:fill="FFFFFF"/>
        </w:rPr>
        <w:t>《民用建筑绿色设计规范》（JGJ/T 229）</w:t>
      </w:r>
    </w:p>
    <w:p w14:paraId="2A738AFA">
      <w:pPr>
        <w:widowControl/>
        <w:numPr>
          <w:ilvl w:val="0"/>
          <w:numId w:val="0"/>
        </w:numPr>
        <w:spacing w:line="400" w:lineRule="exact"/>
        <w:ind w:left="425" w:hanging="425"/>
        <w:rPr>
          <w:rFonts w:hint="eastAsia" w:ascii="宋体" w:hAnsi="宋体" w:cs="等线"/>
          <w:color w:val="0F1115"/>
          <w:kern w:val="0"/>
          <w:sz w:val="24"/>
          <w:shd w:val="clear" w:color="auto" w:fill="FFFFFF"/>
        </w:rPr>
      </w:pPr>
      <w:r>
        <w:rPr>
          <w:rFonts w:hint="eastAsia" w:cs="等线"/>
          <w:color w:val="0F1115"/>
          <w:kern w:val="0"/>
          <w:sz w:val="24"/>
          <w:szCs w:val="24"/>
          <w:shd w:val="clear" w:fill="FFFFFF"/>
          <w:lang w:val="en-US" w:eastAsia="zh-CN" w:bidi="ar-SA"/>
        </w:rPr>
        <w:t>2.1.</w:t>
      </w:r>
      <w:r>
        <w:rPr>
          <w:rFonts w:hint="default" w:ascii="宋体" w:hAnsi="宋体" w:eastAsia="宋体" w:cs="等线"/>
          <w:color w:val="0F1115"/>
          <w:kern w:val="0"/>
          <w:sz w:val="24"/>
          <w:szCs w:val="24"/>
          <w:shd w:val="clear" w:fill="FFFFFF"/>
          <w:lang w:val="en-US" w:eastAsia="zh-CN" w:bidi="ar-SA"/>
        </w:rPr>
        <w:t>8</w:t>
      </w:r>
      <w:r>
        <w:rPr>
          <w:rFonts w:hint="eastAsia" w:ascii="宋体" w:hAnsi="宋体" w:cs="等线"/>
          <w:color w:val="0F1115"/>
          <w:kern w:val="0"/>
          <w:sz w:val="24"/>
          <w:shd w:val="clear" w:color="auto" w:fill="FFFFFF"/>
        </w:rPr>
        <w:t>《城市居住区规划设计标准》</w:t>
      </w:r>
    </w:p>
    <w:p w14:paraId="423B593C">
      <w:pPr>
        <w:widowControl/>
        <w:numPr>
          <w:ilvl w:val="0"/>
          <w:numId w:val="0"/>
        </w:numPr>
        <w:spacing w:line="400" w:lineRule="exact"/>
        <w:ind w:left="425" w:hanging="425"/>
        <w:rPr>
          <w:rFonts w:hint="eastAsia" w:ascii="宋体" w:hAnsi="宋体" w:cs="等线"/>
          <w:color w:val="0F1115"/>
          <w:kern w:val="0"/>
          <w:sz w:val="24"/>
          <w:shd w:val="clear" w:color="auto" w:fill="FFFFFF"/>
        </w:rPr>
      </w:pPr>
      <w:r>
        <w:rPr>
          <w:rFonts w:hint="eastAsia" w:cs="等线"/>
          <w:color w:val="0F1115"/>
          <w:kern w:val="0"/>
          <w:sz w:val="24"/>
          <w:szCs w:val="24"/>
          <w:shd w:val="clear" w:fill="FFFFFF"/>
          <w:lang w:val="en-US" w:eastAsia="zh-CN" w:bidi="ar-SA"/>
        </w:rPr>
        <w:t>2.1.</w:t>
      </w:r>
      <w:r>
        <w:rPr>
          <w:rFonts w:hint="default" w:ascii="宋体" w:hAnsi="宋体" w:eastAsia="宋体" w:cs="等线"/>
          <w:color w:val="0F1115"/>
          <w:kern w:val="0"/>
          <w:sz w:val="24"/>
          <w:szCs w:val="24"/>
          <w:shd w:val="clear" w:fill="FFFFFF"/>
          <w:lang w:val="en-US" w:eastAsia="zh-CN" w:bidi="ar-SA"/>
        </w:rPr>
        <w:t>9</w:t>
      </w:r>
      <w:r>
        <w:rPr>
          <w:rFonts w:hint="eastAsia" w:ascii="宋体" w:hAnsi="宋体" w:cs="等线"/>
          <w:color w:val="0F1115"/>
          <w:kern w:val="0"/>
          <w:sz w:val="24"/>
          <w:shd w:val="clear" w:color="auto" w:fill="FFFFFF"/>
        </w:rPr>
        <w:t>《历史文化名城保护规划标准》</w:t>
      </w:r>
    </w:p>
    <w:p w14:paraId="5DF9A316">
      <w:pPr>
        <w:widowControl/>
        <w:numPr>
          <w:ilvl w:val="0"/>
          <w:numId w:val="0"/>
        </w:numPr>
        <w:spacing w:line="400" w:lineRule="exact"/>
        <w:ind w:left="425" w:hanging="425"/>
        <w:rPr>
          <w:rFonts w:hint="eastAsia" w:ascii="宋体" w:hAnsi="宋体" w:cs="等线"/>
          <w:color w:val="0F1115"/>
          <w:kern w:val="0"/>
          <w:sz w:val="24"/>
          <w:shd w:val="clear" w:color="auto" w:fill="FFFFFF"/>
        </w:rPr>
      </w:pPr>
      <w:r>
        <w:rPr>
          <w:rFonts w:hint="eastAsia" w:cs="等线"/>
          <w:color w:val="0F1115"/>
          <w:kern w:val="0"/>
          <w:sz w:val="24"/>
          <w:szCs w:val="24"/>
          <w:shd w:val="clear" w:fill="FFFFFF"/>
          <w:lang w:val="en-US" w:eastAsia="zh-CN" w:bidi="ar-SA"/>
        </w:rPr>
        <w:t>2.1.</w:t>
      </w:r>
      <w:r>
        <w:rPr>
          <w:rFonts w:hint="default" w:ascii="宋体" w:hAnsi="宋体" w:eastAsia="宋体" w:cs="等线"/>
          <w:color w:val="0F1115"/>
          <w:kern w:val="0"/>
          <w:sz w:val="24"/>
          <w:szCs w:val="24"/>
          <w:shd w:val="clear" w:fill="FFFFFF"/>
          <w:lang w:val="en-US" w:eastAsia="zh-CN" w:bidi="ar-SA"/>
        </w:rPr>
        <w:t>10</w:t>
      </w:r>
      <w:r>
        <w:rPr>
          <w:rFonts w:hint="eastAsia" w:ascii="宋体" w:hAnsi="宋体" w:cs="等线"/>
          <w:color w:val="0F1115"/>
          <w:kern w:val="0"/>
          <w:sz w:val="24"/>
          <w:shd w:val="clear" w:color="auto" w:fill="FFFFFF"/>
        </w:rPr>
        <w:t>《中华人民共和国建筑法》</w:t>
      </w:r>
    </w:p>
    <w:p w14:paraId="1FB19558">
      <w:pPr>
        <w:pStyle w:val="27"/>
        <w:widowControl/>
        <w:spacing w:beforeAutospacing="0" w:afterAutospacing="0" w:line="400" w:lineRule="exact"/>
        <w:rPr>
          <w:rFonts w:hint="eastAsia" w:ascii="宋体" w:hAnsi="宋体" w:cs="等线"/>
          <w:color w:val="0F1115"/>
          <w:shd w:val="clear" w:color="auto" w:fill="FFFFFF"/>
        </w:rPr>
      </w:pPr>
      <w:r>
        <w:rPr>
          <w:rFonts w:hint="eastAsia" w:ascii="宋体" w:hAnsi="宋体" w:cs="等线"/>
          <w:lang w:bidi="ar"/>
        </w:rPr>
        <w:t>参照以上规范进行设计时，需以现时有效的版本为准</w:t>
      </w:r>
    </w:p>
    <w:p w14:paraId="3689C325">
      <w:pPr>
        <w:pStyle w:val="3"/>
        <w:spacing w:line="400" w:lineRule="exact"/>
        <w:rPr>
          <w:rFonts w:hint="eastAsia" w:asciiTheme="majorEastAsia" w:hAnsiTheme="majorEastAsia" w:eastAsiaTheme="majorEastAsia" w:cstheme="majorEastAsia"/>
          <w:b/>
          <w:bCs/>
          <w:sz w:val="24"/>
        </w:rPr>
      </w:pPr>
      <w:bookmarkStart w:id="745" w:name="_Toc232703096"/>
      <w:r>
        <w:rPr>
          <w:rFonts w:hint="eastAsia" w:asciiTheme="majorEastAsia" w:hAnsiTheme="majorEastAsia" w:eastAsiaTheme="majorEastAsia" w:cstheme="majorEastAsia"/>
          <w:b/>
          <w:bCs/>
          <w:sz w:val="24"/>
        </w:rPr>
        <w:t>2.2 上位规划与政策文件</w:t>
      </w:r>
      <w:bookmarkEnd w:id="745"/>
    </w:p>
    <w:p w14:paraId="5F76E691">
      <w:pPr>
        <w:pStyle w:val="27"/>
        <w:widowControl/>
        <w:numPr>
          <w:ilvl w:val="0"/>
          <w:numId w:val="0"/>
        </w:numPr>
        <w:spacing w:beforeAutospacing="0" w:afterAutospacing="0" w:line="400" w:lineRule="exact"/>
        <w:ind w:left="0" w:firstLine="0"/>
        <w:rPr>
          <w:rFonts w:hint="eastAsia" w:ascii="宋体" w:hAnsi="宋体" w:cs="等线"/>
        </w:rPr>
      </w:pPr>
      <w:r>
        <w:rPr>
          <w:rFonts w:hint="eastAsia" w:cs="等线"/>
          <w:color w:val="000000"/>
          <w:sz w:val="24"/>
          <w:szCs w:val="24"/>
          <w:lang w:val="en-US" w:eastAsia="zh-CN" w:bidi="ar-SA"/>
        </w:rPr>
        <w:t>2.2.</w:t>
      </w:r>
      <w:r>
        <w:rPr>
          <w:rFonts w:hint="default" w:ascii="宋体" w:hAnsi="宋体" w:eastAsia="宋体" w:cs="等线"/>
          <w:color w:val="000000"/>
          <w:sz w:val="24"/>
          <w:szCs w:val="24"/>
          <w:lang w:val="en-US" w:eastAsia="zh-CN" w:bidi="ar-SA"/>
        </w:rPr>
        <w:t>1</w:t>
      </w:r>
      <w:r>
        <w:rPr>
          <w:rFonts w:hint="eastAsia" w:ascii="宋体" w:hAnsi="宋体" w:cs="等线"/>
          <w:color w:val="0F1115"/>
          <w:shd w:val="clear" w:color="auto" w:fill="FFFFFF"/>
        </w:rPr>
        <w:t>《韶关市城市总体规划》</w:t>
      </w:r>
    </w:p>
    <w:p w14:paraId="23EC5042">
      <w:pPr>
        <w:pStyle w:val="27"/>
        <w:widowControl/>
        <w:numPr>
          <w:ilvl w:val="0"/>
          <w:numId w:val="0"/>
        </w:numPr>
        <w:spacing w:beforeAutospacing="0" w:afterAutospacing="0" w:line="400" w:lineRule="exact"/>
        <w:ind w:left="0" w:firstLine="0"/>
        <w:rPr>
          <w:rFonts w:hint="eastAsia" w:ascii="宋体" w:hAnsi="宋体" w:cs="等线"/>
        </w:rPr>
      </w:pPr>
      <w:r>
        <w:rPr>
          <w:rFonts w:hint="eastAsia" w:cs="等线"/>
          <w:color w:val="000000"/>
          <w:sz w:val="24"/>
          <w:szCs w:val="24"/>
          <w:lang w:val="en-US" w:eastAsia="zh-CN" w:bidi="ar-SA"/>
        </w:rPr>
        <w:t>2.2.</w:t>
      </w:r>
      <w:r>
        <w:rPr>
          <w:rFonts w:hint="default" w:ascii="宋体" w:hAnsi="宋体" w:eastAsia="宋体" w:cs="等线"/>
          <w:color w:val="000000"/>
          <w:sz w:val="24"/>
          <w:szCs w:val="24"/>
          <w:lang w:val="en-US" w:eastAsia="zh-CN" w:bidi="ar-SA"/>
        </w:rPr>
        <w:t>2</w:t>
      </w:r>
      <w:r>
        <w:rPr>
          <w:rFonts w:hint="eastAsia" w:ascii="宋体" w:hAnsi="宋体" w:cs="等线"/>
          <w:color w:val="0F1115"/>
          <w:shd w:val="clear" w:color="auto" w:fill="FFFFFF"/>
        </w:rPr>
        <w:t>《韶关市历史文化名城保护规划》</w:t>
      </w:r>
    </w:p>
    <w:p w14:paraId="1D114BE8">
      <w:pPr>
        <w:pStyle w:val="27"/>
        <w:widowControl/>
        <w:numPr>
          <w:ilvl w:val="0"/>
          <w:numId w:val="0"/>
        </w:numPr>
        <w:spacing w:beforeAutospacing="0" w:afterAutospacing="0" w:line="400" w:lineRule="exact"/>
        <w:ind w:left="0" w:firstLine="0"/>
        <w:rPr>
          <w:rFonts w:hint="eastAsia" w:ascii="宋体" w:hAnsi="宋体" w:cs="等线"/>
        </w:rPr>
      </w:pPr>
      <w:r>
        <w:rPr>
          <w:rFonts w:hint="eastAsia" w:cs="等线"/>
          <w:color w:val="000000"/>
          <w:sz w:val="24"/>
          <w:szCs w:val="24"/>
          <w:lang w:val="en-US" w:eastAsia="zh-CN" w:bidi="ar-SA"/>
        </w:rPr>
        <w:t>2.2.</w:t>
      </w:r>
      <w:r>
        <w:rPr>
          <w:rFonts w:hint="default" w:ascii="宋体" w:hAnsi="宋体" w:eastAsia="宋体" w:cs="等线"/>
          <w:color w:val="000000"/>
          <w:sz w:val="24"/>
          <w:szCs w:val="24"/>
          <w:lang w:val="en-US" w:eastAsia="zh-CN" w:bidi="ar-SA"/>
        </w:rPr>
        <w:t>3</w:t>
      </w:r>
      <w:r>
        <w:rPr>
          <w:rFonts w:hint="eastAsia" w:ascii="宋体" w:hAnsi="宋体" w:cs="等线"/>
          <w:color w:val="0F1115"/>
          <w:shd w:val="clear" w:color="auto" w:fill="FFFFFF"/>
        </w:rPr>
        <w:t>项目立项批复文件及可行性研究报告</w:t>
      </w:r>
    </w:p>
    <w:p w14:paraId="1CA7AAE3">
      <w:pPr>
        <w:pStyle w:val="3"/>
        <w:spacing w:line="400" w:lineRule="exact"/>
        <w:rPr>
          <w:rFonts w:hint="eastAsia" w:asciiTheme="majorEastAsia" w:hAnsiTheme="majorEastAsia" w:eastAsiaTheme="majorEastAsia" w:cstheme="majorEastAsia"/>
          <w:b/>
          <w:bCs/>
          <w:sz w:val="24"/>
        </w:rPr>
      </w:pPr>
      <w:bookmarkStart w:id="746" w:name="_Toc232703097"/>
      <w:r>
        <w:rPr>
          <w:rFonts w:hint="eastAsia" w:asciiTheme="majorEastAsia" w:hAnsiTheme="majorEastAsia" w:eastAsiaTheme="majorEastAsia" w:cstheme="majorEastAsia"/>
          <w:b/>
          <w:bCs/>
          <w:sz w:val="24"/>
        </w:rPr>
        <w:t>2.3 基础资料</w:t>
      </w:r>
      <w:bookmarkEnd w:id="746"/>
    </w:p>
    <w:p w14:paraId="468AF684">
      <w:pPr>
        <w:pStyle w:val="27"/>
        <w:widowControl/>
        <w:numPr>
          <w:ilvl w:val="0"/>
          <w:numId w:val="0"/>
        </w:numPr>
        <w:spacing w:beforeAutospacing="0" w:afterAutospacing="0" w:line="400" w:lineRule="exact"/>
        <w:ind w:left="0" w:firstLine="0"/>
        <w:rPr>
          <w:rFonts w:hint="eastAsia" w:ascii="宋体" w:hAnsi="宋体" w:cs="等线"/>
        </w:rPr>
      </w:pPr>
      <w:r>
        <w:rPr>
          <w:rFonts w:hint="eastAsia" w:cs="等线"/>
          <w:color w:val="000000"/>
          <w:sz w:val="24"/>
          <w:szCs w:val="24"/>
          <w:lang w:val="en-US" w:eastAsia="zh-CN" w:bidi="ar-SA"/>
        </w:rPr>
        <w:t>2.3.</w:t>
      </w:r>
      <w:r>
        <w:rPr>
          <w:rFonts w:hint="default" w:ascii="宋体" w:hAnsi="宋体" w:eastAsia="宋体" w:cs="等线"/>
          <w:color w:val="000000"/>
          <w:sz w:val="24"/>
          <w:szCs w:val="24"/>
          <w:lang w:val="en-US" w:eastAsia="zh-CN" w:bidi="ar-SA"/>
        </w:rPr>
        <w:t>1</w:t>
      </w:r>
      <w:r>
        <w:rPr>
          <w:rFonts w:hint="eastAsia" w:ascii="宋体" w:hAnsi="宋体" w:cs="等线"/>
          <w:color w:val="0F1115"/>
          <w:shd w:val="clear" w:color="auto" w:fill="FFFFFF"/>
        </w:rPr>
        <w:t>项目用地红线图及地形图</w:t>
      </w:r>
    </w:p>
    <w:p w14:paraId="775829C3">
      <w:pPr>
        <w:pStyle w:val="27"/>
        <w:widowControl/>
        <w:numPr>
          <w:ilvl w:val="0"/>
          <w:numId w:val="0"/>
        </w:numPr>
        <w:spacing w:beforeAutospacing="0" w:afterAutospacing="0" w:line="400" w:lineRule="exact"/>
        <w:ind w:left="0" w:firstLine="0"/>
        <w:rPr>
          <w:rFonts w:hint="eastAsia" w:ascii="宋体" w:hAnsi="宋体" w:cs="等线"/>
        </w:rPr>
      </w:pPr>
      <w:r>
        <w:rPr>
          <w:rFonts w:hint="eastAsia" w:cs="等线"/>
          <w:color w:val="000000"/>
          <w:sz w:val="24"/>
          <w:szCs w:val="24"/>
          <w:lang w:val="en-US" w:eastAsia="zh-CN" w:bidi="ar-SA"/>
        </w:rPr>
        <w:t>2.3.</w:t>
      </w:r>
      <w:r>
        <w:rPr>
          <w:rFonts w:hint="default" w:ascii="宋体" w:hAnsi="宋体" w:eastAsia="宋体" w:cs="等线"/>
          <w:color w:val="000000"/>
          <w:sz w:val="24"/>
          <w:szCs w:val="24"/>
          <w:lang w:val="en-US" w:eastAsia="zh-CN" w:bidi="ar-SA"/>
        </w:rPr>
        <w:t>2</w:t>
      </w:r>
      <w:r>
        <w:rPr>
          <w:rFonts w:hint="eastAsia" w:ascii="宋体" w:hAnsi="宋体" w:cs="等线"/>
          <w:color w:val="0F1115"/>
          <w:shd w:val="clear" w:color="auto" w:fill="FFFFFF"/>
        </w:rPr>
        <w:t>现有建筑竣工图及结构检测报告</w:t>
      </w:r>
    </w:p>
    <w:p w14:paraId="74240531">
      <w:pPr>
        <w:pStyle w:val="27"/>
        <w:widowControl/>
        <w:numPr>
          <w:ilvl w:val="0"/>
          <w:numId w:val="0"/>
        </w:numPr>
        <w:spacing w:beforeAutospacing="0" w:afterAutospacing="0" w:line="400" w:lineRule="exact"/>
        <w:ind w:left="0" w:firstLine="0"/>
        <w:rPr>
          <w:rFonts w:hint="eastAsia" w:ascii="宋体" w:hAnsi="宋体" w:cs="等线"/>
        </w:rPr>
      </w:pPr>
      <w:r>
        <w:rPr>
          <w:rFonts w:hint="eastAsia" w:cs="等线"/>
          <w:color w:val="000000"/>
          <w:sz w:val="24"/>
          <w:szCs w:val="24"/>
          <w:lang w:val="en-US" w:eastAsia="zh-CN" w:bidi="ar-SA"/>
        </w:rPr>
        <w:t>2.3.</w:t>
      </w:r>
      <w:r>
        <w:rPr>
          <w:rFonts w:hint="default" w:ascii="宋体" w:hAnsi="宋体" w:eastAsia="宋体" w:cs="等线"/>
          <w:color w:val="000000"/>
          <w:sz w:val="24"/>
          <w:szCs w:val="24"/>
          <w:lang w:val="en-US" w:eastAsia="zh-CN" w:bidi="ar-SA"/>
        </w:rPr>
        <w:t>3</w:t>
      </w:r>
      <w:r>
        <w:rPr>
          <w:rFonts w:hint="eastAsia" w:ascii="宋体" w:hAnsi="宋体" w:cs="等线"/>
          <w:color w:val="0F1115"/>
          <w:shd w:val="clear" w:color="auto" w:fill="FFFFFF"/>
        </w:rPr>
        <w:t>地下管线探测资料</w:t>
      </w:r>
    </w:p>
    <w:p w14:paraId="4FB7F743">
      <w:pPr>
        <w:pStyle w:val="27"/>
        <w:widowControl/>
        <w:numPr>
          <w:ilvl w:val="0"/>
          <w:numId w:val="0"/>
        </w:numPr>
        <w:spacing w:beforeAutospacing="0" w:afterAutospacing="0" w:line="400" w:lineRule="exact"/>
        <w:ind w:left="0" w:firstLine="0"/>
        <w:rPr>
          <w:rFonts w:hint="eastAsia" w:ascii="宋体" w:hAnsi="宋体" w:cs="等线"/>
        </w:rPr>
      </w:pPr>
      <w:r>
        <w:rPr>
          <w:rFonts w:hint="eastAsia" w:cs="等线"/>
          <w:color w:val="000000"/>
          <w:sz w:val="24"/>
          <w:szCs w:val="24"/>
          <w:lang w:val="en-US" w:eastAsia="zh-CN" w:bidi="ar-SA"/>
        </w:rPr>
        <w:t>2.3.</w:t>
      </w:r>
      <w:r>
        <w:rPr>
          <w:rFonts w:hint="default" w:ascii="宋体" w:hAnsi="宋体" w:eastAsia="宋体" w:cs="等线"/>
          <w:color w:val="000000"/>
          <w:sz w:val="24"/>
          <w:szCs w:val="24"/>
          <w:lang w:val="en-US" w:eastAsia="zh-CN" w:bidi="ar-SA"/>
        </w:rPr>
        <w:t>4</w:t>
      </w:r>
      <w:r>
        <w:rPr>
          <w:rFonts w:hint="eastAsia" w:ascii="宋体" w:hAnsi="宋体" w:cs="等线"/>
          <w:color w:val="0F1115"/>
          <w:shd w:val="clear" w:color="auto" w:fill="FFFFFF"/>
        </w:rPr>
        <w:t>项目商业规划定位成果文件</w:t>
      </w:r>
    </w:p>
    <w:p w14:paraId="1E26686B">
      <w:pPr>
        <w:pStyle w:val="27"/>
        <w:widowControl/>
        <w:numPr>
          <w:ilvl w:val="0"/>
          <w:numId w:val="0"/>
        </w:numPr>
        <w:spacing w:beforeAutospacing="0" w:afterAutospacing="0" w:line="400" w:lineRule="exact"/>
        <w:ind w:left="0" w:firstLine="0"/>
        <w:rPr>
          <w:rFonts w:hint="eastAsia" w:ascii="宋体" w:hAnsi="宋体" w:cs="等线"/>
        </w:rPr>
      </w:pPr>
      <w:r>
        <w:rPr>
          <w:rFonts w:hint="eastAsia" w:cs="等线"/>
          <w:color w:val="000000"/>
          <w:sz w:val="24"/>
          <w:szCs w:val="24"/>
          <w:lang w:val="en-US" w:eastAsia="zh-CN" w:bidi="ar-SA"/>
        </w:rPr>
        <w:t>2.3.</w:t>
      </w:r>
      <w:r>
        <w:rPr>
          <w:rFonts w:hint="default" w:ascii="宋体" w:hAnsi="宋体" w:eastAsia="宋体" w:cs="等线"/>
          <w:color w:val="000000"/>
          <w:sz w:val="24"/>
          <w:szCs w:val="24"/>
          <w:lang w:val="en-US" w:eastAsia="zh-CN" w:bidi="ar-SA"/>
        </w:rPr>
        <w:t>5</w:t>
      </w:r>
      <w:r>
        <w:rPr>
          <w:rFonts w:hint="eastAsia" w:ascii="宋体" w:hAnsi="宋体" w:cs="等线"/>
          <w:color w:val="0F1115"/>
          <w:shd w:val="clear" w:color="auto" w:fill="FFFFFF"/>
        </w:rPr>
        <w:t>产权分布资料</w:t>
      </w:r>
    </w:p>
    <w:p w14:paraId="6E6962B0">
      <w:pPr>
        <w:pStyle w:val="2"/>
        <w:spacing w:line="400" w:lineRule="exact"/>
        <w:rPr>
          <w:rFonts w:hint="eastAsia" w:ascii="黑体" w:hAnsi="黑体" w:eastAsia="黑体" w:cs="等线"/>
          <w:sz w:val="24"/>
        </w:rPr>
      </w:pPr>
      <w:bookmarkStart w:id="747" w:name="_Toc232703098"/>
    </w:p>
    <w:p w14:paraId="4536086C">
      <w:pPr>
        <w:pStyle w:val="2"/>
        <w:spacing w:line="400" w:lineRule="exact"/>
        <w:rPr>
          <w:rFonts w:hint="eastAsia" w:ascii="黑体" w:hAnsi="黑体" w:eastAsia="黑体" w:cs="等线"/>
          <w:szCs w:val="30"/>
        </w:rPr>
      </w:pPr>
      <w:r>
        <w:rPr>
          <w:rFonts w:hint="eastAsia" w:ascii="黑体" w:hAnsi="黑体" w:eastAsia="黑体" w:cs="等线"/>
          <w:szCs w:val="30"/>
        </w:rPr>
        <w:t>三、项目定位与设计目标</w:t>
      </w:r>
      <w:bookmarkEnd w:id="747"/>
    </w:p>
    <w:p w14:paraId="71ADD691">
      <w:pPr>
        <w:pStyle w:val="3"/>
        <w:spacing w:line="400" w:lineRule="exact"/>
        <w:rPr>
          <w:rFonts w:hint="eastAsia" w:asciiTheme="majorEastAsia" w:hAnsiTheme="majorEastAsia" w:eastAsiaTheme="majorEastAsia" w:cstheme="majorEastAsia"/>
          <w:b/>
          <w:bCs/>
          <w:sz w:val="24"/>
        </w:rPr>
      </w:pPr>
      <w:bookmarkStart w:id="748" w:name="_Toc232703099"/>
      <w:r>
        <w:rPr>
          <w:rFonts w:hint="eastAsia" w:asciiTheme="majorEastAsia" w:hAnsiTheme="majorEastAsia" w:eastAsiaTheme="majorEastAsia" w:cstheme="majorEastAsia"/>
          <w:b/>
          <w:bCs/>
          <w:sz w:val="24"/>
        </w:rPr>
        <w:t>3.1 总体定位</w:t>
      </w:r>
      <w:bookmarkEnd w:id="748"/>
    </w:p>
    <w:p w14:paraId="5E605AEB">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本项目定位为韶关市主客共享的</w:t>
      </w:r>
      <w:r>
        <w:rPr>
          <w:rFonts w:hint="eastAsia" w:ascii="宋体" w:hAnsi="宋体" w:cs="等线"/>
          <w:b/>
          <w:bCs/>
          <w:color w:val="0F1115"/>
          <w:shd w:val="clear" w:color="auto" w:fill="FFFFFF"/>
        </w:rPr>
        <w:t>“新岭南生活体验场”</w:t>
      </w:r>
      <w:r>
        <w:rPr>
          <w:rFonts w:hint="eastAsia" w:ascii="宋体" w:hAnsi="宋体" w:cs="等线"/>
          <w:color w:val="0F1115"/>
          <w:shd w:val="clear" w:color="auto" w:fill="FFFFFF"/>
        </w:rPr>
        <w:t> ，以百年南洋骑楼建筑风貌为基底，融合韶关客家文化、广府文化、禅宗文化等多元在地文化元素，打造集商业消费、文旅体验、城市休闲于一体的滨江商业文化街区。</w:t>
      </w:r>
    </w:p>
    <w:p w14:paraId="5B81C3E1">
      <w:pPr>
        <w:pStyle w:val="3"/>
        <w:spacing w:line="400" w:lineRule="exact"/>
        <w:rPr>
          <w:rFonts w:hint="eastAsia" w:asciiTheme="majorEastAsia" w:hAnsiTheme="majorEastAsia" w:eastAsiaTheme="majorEastAsia" w:cstheme="majorEastAsia"/>
          <w:b/>
          <w:bCs/>
          <w:sz w:val="24"/>
        </w:rPr>
      </w:pPr>
      <w:bookmarkStart w:id="749" w:name="_Toc232703100"/>
      <w:r>
        <w:rPr>
          <w:rFonts w:hint="eastAsia" w:asciiTheme="majorEastAsia" w:hAnsiTheme="majorEastAsia" w:eastAsiaTheme="majorEastAsia" w:cstheme="majorEastAsia"/>
          <w:b/>
          <w:bCs/>
          <w:sz w:val="24"/>
        </w:rPr>
        <w:t>3.2 设计目标</w:t>
      </w:r>
      <w:bookmarkEnd w:id="749"/>
    </w:p>
    <w:p w14:paraId="08D07CB4">
      <w:pPr>
        <w:pStyle w:val="27"/>
        <w:widowControl/>
        <w:spacing w:beforeAutospacing="0" w:afterAutospacing="0" w:line="400" w:lineRule="exact"/>
        <w:rPr>
          <w:rFonts w:hint="eastAsia" w:ascii="宋体" w:hAnsi="宋体" w:cs="等线"/>
        </w:rPr>
      </w:pPr>
      <w:r>
        <w:rPr>
          <w:rFonts w:hint="eastAsia" w:ascii="宋体" w:hAnsi="宋体" w:cs="等线"/>
          <w:b/>
          <w:bCs/>
          <w:color w:val="0F1115"/>
          <w:shd w:val="clear" w:color="auto" w:fill="FFFFFF"/>
        </w:rPr>
        <w:t>风貌保护与传承</w:t>
      </w:r>
      <w:r>
        <w:rPr>
          <w:rFonts w:hint="eastAsia" w:ascii="宋体" w:hAnsi="宋体" w:cs="等线"/>
          <w:color w:val="0F1115"/>
          <w:shd w:val="clear" w:color="auto" w:fill="FFFFFF"/>
        </w:rPr>
        <w:t>：在保护骑楼建筑风貌特征的前提下，对破损外立面进行修缮与提升，延续老街区的建筑风格和文脉特征。</w:t>
      </w:r>
    </w:p>
    <w:p w14:paraId="597D6F32">
      <w:pPr>
        <w:pStyle w:val="27"/>
        <w:widowControl/>
        <w:spacing w:beforeAutospacing="0" w:afterAutospacing="0" w:line="400" w:lineRule="exact"/>
        <w:rPr>
          <w:rFonts w:hint="eastAsia" w:ascii="宋体" w:hAnsi="宋体" w:cs="等线"/>
        </w:rPr>
      </w:pPr>
      <w:r>
        <w:rPr>
          <w:rFonts w:hint="eastAsia" w:ascii="宋体" w:hAnsi="宋体" w:cs="等线"/>
          <w:b/>
          <w:bCs/>
          <w:color w:val="0F1115"/>
          <w:shd w:val="clear" w:color="auto" w:fill="FFFFFF"/>
        </w:rPr>
        <w:t>空间品质提升</w:t>
      </w:r>
      <w:r>
        <w:rPr>
          <w:rFonts w:hint="eastAsia" w:ascii="宋体" w:hAnsi="宋体" w:cs="等线"/>
          <w:color w:val="0F1115"/>
          <w:shd w:val="clear" w:color="auto" w:fill="FFFFFF"/>
        </w:rPr>
        <w:t>：通过动线优化、公共空间重塑、配套设施更新，实现街区空间品质的系统性提升。</w:t>
      </w:r>
    </w:p>
    <w:p w14:paraId="164EF3B3">
      <w:pPr>
        <w:pStyle w:val="27"/>
        <w:widowControl/>
        <w:spacing w:beforeAutospacing="0" w:afterAutospacing="0" w:line="400" w:lineRule="exact"/>
        <w:rPr>
          <w:rFonts w:hint="eastAsia" w:ascii="宋体" w:hAnsi="宋体" w:cs="等线"/>
        </w:rPr>
      </w:pPr>
      <w:r>
        <w:rPr>
          <w:rFonts w:hint="eastAsia" w:ascii="宋体" w:hAnsi="宋体" w:cs="等线"/>
          <w:b/>
          <w:bCs/>
          <w:color w:val="0F1115"/>
          <w:shd w:val="clear" w:color="auto" w:fill="FFFFFF"/>
        </w:rPr>
        <w:t>功能与场景融合</w:t>
      </w:r>
      <w:r>
        <w:rPr>
          <w:rFonts w:hint="eastAsia" w:ascii="宋体" w:hAnsi="宋体" w:cs="等线"/>
          <w:color w:val="0F1115"/>
          <w:shd w:val="clear" w:color="auto" w:fill="FFFFFF"/>
        </w:rPr>
        <w:t>：将商业业态与空间场景深度融合，构建特色鲜明的消费与社交目的地。</w:t>
      </w:r>
    </w:p>
    <w:p w14:paraId="6C262A33">
      <w:pPr>
        <w:pStyle w:val="27"/>
        <w:widowControl/>
        <w:spacing w:beforeAutospacing="0" w:afterAutospacing="0" w:line="400" w:lineRule="exact"/>
        <w:rPr>
          <w:rFonts w:hint="eastAsia" w:ascii="宋体" w:hAnsi="宋体" w:cs="等线"/>
        </w:rPr>
      </w:pPr>
      <w:r>
        <w:rPr>
          <w:rFonts w:hint="eastAsia" w:ascii="宋体" w:hAnsi="宋体" w:cs="等线"/>
          <w:b/>
          <w:bCs/>
          <w:color w:val="0F1115"/>
          <w:shd w:val="clear" w:color="auto" w:fill="FFFFFF"/>
        </w:rPr>
        <w:t>文旅功能强化</w:t>
      </w:r>
      <w:r>
        <w:rPr>
          <w:rFonts w:hint="eastAsia" w:ascii="宋体" w:hAnsi="宋体" w:cs="等线"/>
          <w:color w:val="0F1115"/>
          <w:shd w:val="clear" w:color="auto" w:fill="FFFFFF"/>
        </w:rPr>
        <w:t>：对接粤港澳大湾区文旅需求，打造串联全市文旅资源的关键节点。</w:t>
      </w:r>
    </w:p>
    <w:p w14:paraId="3B455E88">
      <w:pPr>
        <w:pStyle w:val="27"/>
        <w:widowControl/>
        <w:spacing w:beforeAutospacing="0" w:afterAutospacing="0" w:line="400" w:lineRule="exact"/>
        <w:rPr>
          <w:rFonts w:ascii="宋体" w:hAnsi="宋体" w:cs="等线"/>
          <w:color w:val="0F1115"/>
          <w:shd w:val="clear" w:color="auto" w:fill="FFFFFF"/>
        </w:rPr>
      </w:pPr>
      <w:r>
        <w:rPr>
          <w:rFonts w:hint="eastAsia" w:ascii="宋体" w:hAnsi="宋体" w:cs="等线"/>
          <w:b/>
          <w:bCs/>
          <w:color w:val="0F1115"/>
          <w:shd w:val="clear" w:color="auto" w:fill="FFFFFF"/>
        </w:rPr>
        <w:t>夜间经济激活</w:t>
      </w:r>
      <w:r>
        <w:rPr>
          <w:rFonts w:hint="eastAsia" w:ascii="宋体" w:hAnsi="宋体" w:cs="等线"/>
          <w:color w:val="0F1115"/>
          <w:shd w:val="clear" w:color="auto" w:fill="FFFFFF"/>
        </w:rPr>
        <w:t>：通过夜景照明与夜间消费场景设计，延长消费时段，激活街区夜生活。</w:t>
      </w:r>
    </w:p>
    <w:p w14:paraId="344C87B2">
      <w:pPr>
        <w:pStyle w:val="27"/>
        <w:widowControl/>
        <w:spacing w:beforeAutospacing="0" w:afterAutospacing="0" w:line="400" w:lineRule="exact"/>
        <w:rPr>
          <w:rFonts w:hint="eastAsia" w:ascii="宋体" w:hAnsi="宋体" w:cs="等线"/>
        </w:rPr>
      </w:pPr>
    </w:p>
    <w:p w14:paraId="4534CC30">
      <w:pPr>
        <w:pStyle w:val="2"/>
        <w:spacing w:line="400" w:lineRule="exact"/>
        <w:rPr>
          <w:rFonts w:hint="eastAsia" w:ascii="黑体" w:hAnsi="黑体" w:eastAsia="黑体" w:cs="等线"/>
          <w:szCs w:val="30"/>
        </w:rPr>
      </w:pPr>
      <w:bookmarkStart w:id="750" w:name="_Toc232703101"/>
      <w:r>
        <w:rPr>
          <w:rFonts w:hint="eastAsia" w:ascii="黑体" w:hAnsi="黑体" w:eastAsia="黑体" w:cs="等线"/>
          <w:szCs w:val="30"/>
          <w:lang w:val="en-US" w:eastAsia="zh-CN"/>
        </w:rPr>
        <w:t>四、</w:t>
      </w:r>
      <w:r>
        <w:rPr>
          <w:rFonts w:hint="eastAsia" w:ascii="黑体" w:hAnsi="黑体" w:eastAsia="黑体" w:cs="等线"/>
          <w:szCs w:val="30"/>
        </w:rPr>
        <w:t>设计范围与主要内容</w:t>
      </w:r>
      <w:bookmarkEnd w:id="750"/>
    </w:p>
    <w:p w14:paraId="4E2D2ADB">
      <w:pPr>
        <w:pStyle w:val="3"/>
        <w:spacing w:line="400" w:lineRule="exact"/>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韶关百年东街及周边历史街区城市更新项目（一期）</w:t>
      </w:r>
    </w:p>
    <w:p w14:paraId="3AC366C8">
      <w:pPr>
        <w:pStyle w:val="3"/>
        <w:spacing w:line="400" w:lineRule="exact"/>
        <w:rPr>
          <w:rFonts w:hint="eastAsia" w:asciiTheme="majorEastAsia" w:hAnsiTheme="majorEastAsia" w:eastAsiaTheme="majorEastAsia" w:cstheme="majorEastAsia"/>
          <w:b/>
          <w:bCs w:val="0"/>
          <w:sz w:val="24"/>
        </w:rPr>
      </w:pPr>
      <w:r>
        <w:rPr>
          <w:rFonts w:hint="eastAsia" w:asciiTheme="majorEastAsia" w:hAnsiTheme="majorEastAsia" w:eastAsiaTheme="majorEastAsia" w:cstheme="majorEastAsia"/>
          <w:b/>
          <w:bCs w:val="0"/>
          <w:sz w:val="24"/>
        </w:rPr>
        <w:t>1. 建</w:t>
      </w:r>
      <w:r>
        <w:rPr>
          <w:rFonts w:hint="eastAsia" w:asciiTheme="majorEastAsia" w:hAnsiTheme="majorEastAsia" w:eastAsiaTheme="majorEastAsia" w:cstheme="majorEastAsia"/>
          <w:b/>
          <w:bCs w:val="0"/>
          <w:sz w:val="24"/>
          <w:lang w:val="en-US" w:eastAsia="zh-CN"/>
        </w:rPr>
        <w:t>筑改造设</w:t>
      </w:r>
      <w:r>
        <w:rPr>
          <w:rFonts w:hint="eastAsia" w:asciiTheme="majorEastAsia" w:hAnsiTheme="majorEastAsia" w:eastAsiaTheme="majorEastAsia" w:cstheme="majorEastAsia"/>
          <w:b/>
          <w:bCs w:val="0"/>
          <w:sz w:val="24"/>
        </w:rPr>
        <w:t>计（一期）</w:t>
      </w:r>
    </w:p>
    <w:p w14:paraId="07F5A1EE">
      <w:pPr>
        <w:pStyle w:val="3"/>
        <w:spacing w:line="400" w:lineRule="exact"/>
        <w:rPr>
          <w:rFonts w:hint="eastAsia" w:asciiTheme="majorEastAsia" w:hAnsiTheme="majorEastAsia" w:eastAsiaTheme="majorEastAsia" w:cstheme="majorEastAsia"/>
          <w:b/>
          <w:bCs w:val="0"/>
          <w:sz w:val="24"/>
        </w:rPr>
      </w:pPr>
      <w:r>
        <w:rPr>
          <w:rFonts w:hint="eastAsia" w:asciiTheme="majorEastAsia" w:hAnsiTheme="majorEastAsia" w:eastAsiaTheme="majorEastAsia" w:cstheme="majorEastAsia"/>
          <w:b/>
          <w:bCs w:val="0"/>
          <w:sz w:val="24"/>
        </w:rPr>
        <w:t>1.1建筑立面改造</w:t>
      </w:r>
    </w:p>
    <w:p w14:paraId="399ED44D">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（1）对沿街建筑进行评估分级，明确“保护修缮、整治提升、更新改造”三类策略。</w:t>
      </w:r>
    </w:p>
    <w:p w14:paraId="3AB90823">
      <w:pPr>
        <w:pStyle w:val="27"/>
        <w:widowControl/>
        <w:shd w:val="clear" w:color="auto" w:fill="FFFFFF"/>
        <w:spacing w:before="240" w:beforeAutospacing="0" w:after="240" w:afterAutospacing="0" w:line="400" w:lineRule="exact"/>
        <w:rPr>
          <w:rFonts w:hint="eastAsia" w:ascii="宋体" w:hAnsi="宋体" w:cs="等线"/>
          <w:color w:val="0F1115"/>
          <w:shd w:val="clear" w:color="auto" w:fill="FFFFFF"/>
        </w:rPr>
      </w:pPr>
      <w:r>
        <w:rPr>
          <w:rFonts w:hint="eastAsia" w:ascii="宋体" w:hAnsi="宋体" w:cs="等线"/>
          <w:color w:val="0F1115"/>
          <w:shd w:val="clear" w:color="auto" w:fill="FFFFFF"/>
        </w:rPr>
        <w:t>（2）对外立面材料破损严重、存在安全隐患的部位进行修缮或更换。</w:t>
      </w:r>
    </w:p>
    <w:p w14:paraId="1C157348">
      <w:pPr>
        <w:pStyle w:val="27"/>
        <w:widowControl/>
        <w:shd w:val="clear" w:color="auto" w:fill="FFFFFF"/>
        <w:spacing w:before="240" w:beforeAutospacing="0" w:after="240" w:afterAutospacing="0" w:line="400" w:lineRule="exact"/>
        <w:rPr>
          <w:rFonts w:ascii="宋体" w:hAnsi="宋体" w:cs="等线"/>
          <w:color w:val="0F1115"/>
          <w:shd w:val="clear" w:color="auto" w:fill="FFFFFF"/>
        </w:rPr>
      </w:pPr>
      <w:r>
        <w:rPr>
          <w:rFonts w:hint="eastAsia" w:ascii="宋体" w:hAnsi="宋体" w:cs="等线"/>
          <w:color w:val="0F1115"/>
          <w:shd w:val="clear" w:color="auto" w:fill="FFFFFF"/>
        </w:rPr>
        <w:t>（3）风貌控制要求：1.色彩基调以“灰、白、木本色”为主调，延续骑楼建筑传统色彩体系；2.鼓励使用本地传统材料与现代材料的有机结合；3.保留骑楼柱廊、特色屋顶、造型栏杆等典型构件，可适度融入客家围屋、广府镬耳等地域文化元素。</w:t>
      </w:r>
    </w:p>
    <w:p w14:paraId="6ED22E6A">
      <w:pPr>
        <w:pStyle w:val="27"/>
        <w:widowControl/>
        <w:shd w:val="clear" w:color="auto" w:fill="FFFFFF"/>
        <w:spacing w:before="240" w:beforeAutospacing="0" w:after="240" w:afterAutospacing="0" w:line="400" w:lineRule="exact"/>
        <w:rPr>
          <w:rFonts w:hint="eastAsia" w:ascii="宋体" w:hAnsi="宋体" w:cs="等线"/>
        </w:rPr>
      </w:pPr>
      <w:r>
        <w:rPr>
          <w:rFonts w:hint="eastAsia" w:ascii="宋体" w:hAnsi="宋体" w:cs="等线"/>
          <w:color w:val="0F1115"/>
          <w:shd w:val="clear" w:color="auto" w:fill="FFFFFF"/>
        </w:rPr>
        <w:t>（4）商家店铺立面一店一色。</w:t>
      </w:r>
      <w:r>
        <w:rPr>
          <w:rFonts w:hint="eastAsia" w:ascii="宋体" w:hAnsi="宋体" w:cs="等线"/>
        </w:rPr>
        <w:t xml:space="preserve"> </w:t>
      </w:r>
    </w:p>
    <w:p w14:paraId="061ACA99">
      <w:pPr>
        <w:pStyle w:val="27"/>
        <w:widowControl/>
        <w:shd w:val="clear" w:color="auto" w:fill="FFFFFF"/>
        <w:spacing w:before="240" w:beforeAutospacing="0" w:after="240" w:afterAutospacing="0" w:line="400" w:lineRule="exact"/>
        <w:rPr>
          <w:rFonts w:ascii="宋体" w:hAnsi="宋体" w:cs="等线"/>
          <w:color w:val="0F1115"/>
          <w:shd w:val="clear" w:color="auto" w:fill="FFFFFF"/>
        </w:rPr>
      </w:pPr>
      <w:r>
        <w:rPr>
          <w:rFonts w:hint="eastAsia" w:ascii="宋体" w:hAnsi="宋体" w:cs="等线"/>
          <w:color w:val="0F1115"/>
          <w:shd w:val="clear" w:color="auto" w:fill="FFFFFF"/>
        </w:rPr>
        <w:t>（</w:t>
      </w:r>
      <w:r>
        <w:rPr>
          <w:rFonts w:ascii="宋体" w:hAnsi="宋体" w:cs="等线"/>
          <w:color w:val="0F1115"/>
          <w:shd w:val="clear" w:color="auto" w:fill="FFFFFF"/>
        </w:rPr>
        <w:t>5</w:t>
      </w:r>
      <w:r>
        <w:rPr>
          <w:rFonts w:hint="eastAsia" w:ascii="宋体" w:hAnsi="宋体" w:cs="等线"/>
          <w:color w:val="0F1115"/>
          <w:shd w:val="clear" w:color="auto" w:fill="FFFFFF"/>
        </w:rPr>
        <w:t>）统一规范店招、空调机位、雨棚等附属设施的尺寸、材质与色彩。</w:t>
      </w:r>
    </w:p>
    <w:p w14:paraId="3684811E">
      <w:pPr>
        <w:pStyle w:val="3"/>
        <w:spacing w:line="400" w:lineRule="exact"/>
        <w:rPr>
          <w:rFonts w:hint="eastAsia" w:asciiTheme="majorEastAsia" w:hAnsiTheme="majorEastAsia" w:eastAsiaTheme="majorEastAsia" w:cstheme="majorEastAsia"/>
          <w:b/>
          <w:bCs w:val="0"/>
          <w:sz w:val="24"/>
        </w:rPr>
      </w:pPr>
      <w:r>
        <w:rPr>
          <w:rFonts w:hint="eastAsia" w:asciiTheme="majorEastAsia" w:hAnsiTheme="majorEastAsia" w:eastAsiaTheme="majorEastAsia" w:cstheme="majorEastAsia"/>
          <w:b/>
          <w:bCs w:val="0"/>
          <w:sz w:val="24"/>
        </w:rPr>
        <w:t>1.2 公共区域更新</w:t>
      </w:r>
    </w:p>
    <w:p w14:paraId="56332611">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（1）对A、B、C、D各区公共室外走道进行地面铺装更新、顶棚修缮、照明提升。</w:t>
      </w:r>
    </w:p>
    <w:p w14:paraId="05B14D2D">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（2）对街区公共卫生间进行装修升级，增设无障碍卫生间。</w:t>
      </w:r>
    </w:p>
    <w:p w14:paraId="7C04CAB3">
      <w:pPr>
        <w:pStyle w:val="27"/>
        <w:widowControl/>
        <w:shd w:val="clear" w:color="auto" w:fill="FFFFFF"/>
        <w:spacing w:before="240" w:beforeAutospacing="0" w:after="240" w:afterAutospacing="0" w:line="400" w:lineRule="exact"/>
        <w:rPr>
          <w:rFonts w:ascii="宋体" w:hAnsi="宋体" w:cs="等线"/>
          <w:color w:val="0F1115"/>
          <w:shd w:val="clear" w:color="auto" w:fill="FFFFFF"/>
        </w:rPr>
      </w:pPr>
      <w:r>
        <w:rPr>
          <w:rFonts w:hint="eastAsia" w:ascii="宋体" w:hAnsi="宋体" w:cs="等线"/>
          <w:color w:val="0F1115"/>
          <w:shd w:val="clear" w:color="auto" w:fill="FFFFFF"/>
        </w:rPr>
        <w:t>（3）对二层及以上连廊地板进行修复或更换。</w:t>
      </w:r>
    </w:p>
    <w:p w14:paraId="3217AA99">
      <w:pPr>
        <w:pStyle w:val="27"/>
        <w:widowControl/>
        <w:shd w:val="clear" w:color="auto" w:fill="FFFFFF"/>
        <w:spacing w:before="240" w:beforeAutospacing="0" w:after="240" w:afterAutospacing="0" w:line="400" w:lineRule="exact"/>
        <w:rPr>
          <w:rFonts w:hint="eastAsia" w:ascii="宋体" w:hAnsi="宋体" w:cs="等线"/>
          <w:color w:val="0F1115"/>
          <w:shd w:val="clear" w:color="auto" w:fill="FFFFFF"/>
        </w:rPr>
      </w:pPr>
      <w:r>
        <w:rPr>
          <w:rFonts w:hint="eastAsia" w:ascii="宋体" w:hAnsi="宋体" w:cs="等线"/>
          <w:color w:val="0F1115"/>
          <w:shd w:val="clear" w:color="auto" w:fill="FFFFFF"/>
        </w:rPr>
        <w:t>（</w:t>
      </w:r>
      <w:r>
        <w:rPr>
          <w:rFonts w:ascii="宋体" w:hAnsi="宋体" w:cs="等线"/>
          <w:color w:val="0F1115"/>
          <w:shd w:val="clear" w:color="auto" w:fill="FFFFFF"/>
        </w:rPr>
        <w:t>4</w:t>
      </w:r>
      <w:r>
        <w:rPr>
          <w:rFonts w:hint="eastAsia" w:ascii="宋体" w:hAnsi="宋体" w:cs="等线"/>
          <w:color w:val="0F1115"/>
          <w:shd w:val="clear" w:color="auto" w:fill="FFFFFF"/>
        </w:rPr>
        <w:t>）B组团美食广场内装设计</w:t>
      </w:r>
    </w:p>
    <w:p w14:paraId="26185F73">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w:t>
      </w:r>
      <w:r>
        <w:rPr>
          <w:rFonts w:ascii="宋体" w:hAnsi="宋体" w:cs="等线"/>
          <w:color w:val="0F1115"/>
          <w:shd w:val="clear" w:color="auto" w:fill="FFFFFF"/>
        </w:rPr>
        <w:t>5</w:t>
      </w:r>
      <w:r>
        <w:rPr>
          <w:rFonts w:hint="eastAsia" w:ascii="宋体" w:hAnsi="宋体" w:cs="等线"/>
          <w:color w:val="0F1115"/>
          <w:shd w:val="clear" w:color="auto" w:fill="FFFFFF"/>
        </w:rPr>
        <w:t>）现有地下停车区环境提升，D区旁大巴车停车空间设计。</w:t>
      </w:r>
    </w:p>
    <w:p w14:paraId="64510005">
      <w:pPr>
        <w:pStyle w:val="3"/>
        <w:spacing w:line="400" w:lineRule="exact"/>
        <w:rPr>
          <w:rFonts w:hint="eastAsia" w:asciiTheme="majorEastAsia" w:hAnsiTheme="majorEastAsia" w:eastAsiaTheme="majorEastAsia" w:cstheme="majorEastAsia"/>
          <w:b/>
          <w:bCs w:val="0"/>
          <w:sz w:val="24"/>
        </w:rPr>
      </w:pPr>
      <w:bookmarkStart w:id="751" w:name="_Toc232703104"/>
      <w:r>
        <w:rPr>
          <w:rFonts w:hint="eastAsia" w:asciiTheme="majorEastAsia" w:hAnsiTheme="majorEastAsia" w:eastAsiaTheme="majorEastAsia" w:cstheme="majorEastAsia"/>
          <w:b/>
          <w:bCs w:val="0"/>
          <w:sz w:val="24"/>
        </w:rPr>
        <w:t>2. 景观环境设计</w:t>
      </w:r>
      <w:bookmarkEnd w:id="751"/>
      <w:r>
        <w:rPr>
          <w:rFonts w:hint="eastAsia" w:asciiTheme="majorEastAsia" w:hAnsiTheme="majorEastAsia" w:eastAsiaTheme="majorEastAsia" w:cstheme="majorEastAsia"/>
          <w:b/>
          <w:bCs w:val="0"/>
          <w:sz w:val="24"/>
        </w:rPr>
        <w:t>（一期）</w:t>
      </w:r>
    </w:p>
    <w:p w14:paraId="25DD196D">
      <w:pPr>
        <w:pStyle w:val="3"/>
        <w:spacing w:line="400" w:lineRule="exact"/>
        <w:rPr>
          <w:rFonts w:hint="eastAsia" w:asciiTheme="majorEastAsia" w:hAnsiTheme="majorEastAsia" w:eastAsiaTheme="majorEastAsia" w:cstheme="majorEastAsia"/>
          <w:b/>
          <w:bCs w:val="0"/>
          <w:sz w:val="24"/>
        </w:rPr>
      </w:pPr>
      <w:bookmarkStart w:id="752" w:name="_Toc232703105"/>
      <w:r>
        <w:rPr>
          <w:rFonts w:hint="eastAsia" w:asciiTheme="majorEastAsia" w:hAnsiTheme="majorEastAsia" w:eastAsiaTheme="majorEastAsia" w:cstheme="majorEastAsia"/>
          <w:b/>
          <w:bCs w:val="0"/>
          <w:sz w:val="24"/>
        </w:rPr>
        <w:t>2.1 室外广场设计</w:t>
      </w:r>
      <w:bookmarkEnd w:id="752"/>
    </w:p>
    <w:p w14:paraId="5C080C4E">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（1）</w:t>
      </w:r>
      <w:r>
        <w:rPr>
          <w:rFonts w:hint="eastAsia" w:ascii="宋体" w:hAnsi="宋体" w:cs="等线"/>
          <w:b/>
          <w:bCs/>
          <w:color w:val="0F1115"/>
          <w:shd w:val="clear" w:color="auto" w:fill="FFFFFF"/>
        </w:rPr>
        <w:t>祈福广场</w:t>
      </w:r>
      <w:r>
        <w:rPr>
          <w:rFonts w:hint="eastAsia" w:ascii="宋体" w:hAnsi="宋体" w:cs="等线"/>
          <w:color w:val="0F1115"/>
          <w:shd w:val="clear" w:color="auto" w:fill="FFFFFF"/>
        </w:rPr>
        <w:t>（A区古榕树广场）：围绕百年古榕树，设计雾森系统与灯光艺术装置，融入祈福文化与禅宗文化元素，打造具有视觉冲击力的文化景观节点。</w:t>
      </w:r>
    </w:p>
    <w:p w14:paraId="0D0BF498">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（2）</w:t>
      </w:r>
      <w:r>
        <w:rPr>
          <w:rFonts w:hint="eastAsia" w:ascii="宋体" w:hAnsi="宋体" w:cs="等线"/>
          <w:b/>
          <w:bCs/>
          <w:color w:val="0F1115"/>
          <w:shd w:val="clear" w:color="auto" w:fill="FFFFFF"/>
        </w:rPr>
        <w:t>望月广场</w:t>
      </w:r>
      <w:r>
        <w:rPr>
          <w:rFonts w:hint="eastAsia" w:ascii="宋体" w:hAnsi="宋体" w:cs="等线"/>
          <w:color w:val="0F1115"/>
          <w:shd w:val="clear" w:color="auto" w:fill="FFFFFF"/>
        </w:rPr>
        <w:t>（B/C区核心广场）：设计水景观，结合夜间光影装置与演艺功能，打造城市公共活动广场。</w:t>
      </w:r>
    </w:p>
    <w:p w14:paraId="0226D326">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（3）</w:t>
      </w:r>
      <w:r>
        <w:rPr>
          <w:rFonts w:hint="eastAsia" w:ascii="宋体" w:hAnsi="宋体" w:cs="等线"/>
          <w:b/>
          <w:bCs/>
          <w:color w:val="0F1115"/>
          <w:shd w:val="clear" w:color="auto" w:fill="FFFFFF"/>
        </w:rPr>
        <w:t>活力运动广场</w:t>
      </w:r>
      <w:r>
        <w:rPr>
          <w:rFonts w:hint="eastAsia" w:ascii="宋体" w:hAnsi="宋体" w:cs="等线"/>
          <w:color w:val="0F1115"/>
          <w:shd w:val="clear" w:color="auto" w:fill="FFFFFF"/>
        </w:rPr>
        <w:t>（D区东侧）：规划骑行友好、篮球、轮滑于一体的滨江潮流运动活力广场，设置无动力亲子探索游乐设施。</w:t>
      </w:r>
    </w:p>
    <w:p w14:paraId="0B8A145B">
      <w:pPr>
        <w:pStyle w:val="3"/>
        <w:spacing w:line="400" w:lineRule="exact"/>
        <w:rPr>
          <w:rFonts w:hint="eastAsia" w:asciiTheme="majorEastAsia" w:hAnsiTheme="majorEastAsia" w:eastAsiaTheme="majorEastAsia" w:cstheme="majorEastAsia"/>
          <w:b/>
          <w:bCs w:val="0"/>
          <w:sz w:val="24"/>
        </w:rPr>
      </w:pPr>
      <w:bookmarkStart w:id="753" w:name="_Toc232703106"/>
      <w:r>
        <w:rPr>
          <w:rFonts w:hint="eastAsia" w:asciiTheme="majorEastAsia" w:hAnsiTheme="majorEastAsia" w:eastAsiaTheme="majorEastAsia" w:cstheme="majorEastAsia"/>
          <w:b/>
          <w:bCs w:val="0"/>
          <w:sz w:val="24"/>
        </w:rPr>
        <w:t>2.2 滨河步道设计</w:t>
      </w:r>
      <w:bookmarkEnd w:id="753"/>
    </w:p>
    <w:p w14:paraId="7599D65B">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（1）沿江步道系统性打造、漫步友好的多元慢行体系。</w:t>
      </w:r>
    </w:p>
    <w:p w14:paraId="5F48A096">
      <w:pPr>
        <w:pStyle w:val="27"/>
        <w:widowControl/>
        <w:shd w:val="clear" w:color="auto" w:fill="FFFFFF"/>
        <w:spacing w:before="240" w:beforeAutospacing="0" w:after="240" w:afterAutospacing="0" w:line="400" w:lineRule="exact"/>
        <w:rPr>
          <w:rFonts w:ascii="宋体" w:hAnsi="宋体" w:cs="等线"/>
          <w:color w:val="0F1115"/>
          <w:shd w:val="clear" w:color="auto" w:fill="FFFFFF"/>
        </w:rPr>
      </w:pPr>
      <w:r>
        <w:rPr>
          <w:rFonts w:hint="eastAsia" w:ascii="宋体" w:hAnsi="宋体" w:cs="等线"/>
          <w:color w:val="0F1115"/>
          <w:shd w:val="clear" w:color="auto" w:fill="FFFFFF"/>
        </w:rPr>
        <w:t>（2）植入城市公共雕塑与艺术化景观装置，提升滨江空间的艺术氛围。</w:t>
      </w:r>
    </w:p>
    <w:p w14:paraId="0DB5ECFA">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w:t>
      </w:r>
      <w:r>
        <w:rPr>
          <w:rFonts w:ascii="宋体" w:hAnsi="宋体" w:cs="等线"/>
          <w:color w:val="0F1115"/>
          <w:shd w:val="clear" w:color="auto" w:fill="FFFFFF"/>
        </w:rPr>
        <w:t>3</w:t>
      </w:r>
      <w:r>
        <w:rPr>
          <w:rFonts w:hint="eastAsia" w:ascii="宋体" w:hAnsi="宋体" w:cs="等线"/>
          <w:color w:val="0F1115"/>
          <w:shd w:val="clear" w:color="auto" w:fill="FFFFFF"/>
        </w:rPr>
        <w:t>）滨河步道外摆区设计</w:t>
      </w:r>
    </w:p>
    <w:p w14:paraId="380CDA65">
      <w:pPr>
        <w:pStyle w:val="3"/>
        <w:spacing w:line="400" w:lineRule="exact"/>
        <w:rPr>
          <w:rFonts w:hint="eastAsia" w:asciiTheme="majorEastAsia" w:hAnsiTheme="majorEastAsia" w:eastAsiaTheme="majorEastAsia" w:cstheme="majorEastAsia"/>
          <w:b/>
          <w:bCs w:val="0"/>
          <w:sz w:val="24"/>
        </w:rPr>
      </w:pPr>
      <w:bookmarkStart w:id="754" w:name="_Toc232703107"/>
      <w:r>
        <w:rPr>
          <w:rFonts w:hint="eastAsia" w:asciiTheme="majorEastAsia" w:hAnsiTheme="majorEastAsia" w:eastAsiaTheme="majorEastAsia" w:cstheme="majorEastAsia"/>
          <w:b/>
          <w:bCs w:val="0"/>
          <w:sz w:val="24"/>
        </w:rPr>
        <w:t>2.3 内街空间优化</w:t>
      </w:r>
      <w:bookmarkEnd w:id="754"/>
    </w:p>
    <w:p w14:paraId="730311A0">
      <w:pPr>
        <w:pStyle w:val="27"/>
        <w:widowControl/>
        <w:shd w:val="clear" w:color="auto" w:fill="FFFFFF"/>
        <w:spacing w:before="240" w:beforeAutospacing="0" w:after="240" w:afterAutospacing="0" w:line="400" w:lineRule="exact"/>
        <w:rPr>
          <w:rFonts w:ascii="宋体" w:hAnsi="宋体" w:cs="等线"/>
          <w:color w:val="0F1115"/>
          <w:shd w:val="clear" w:color="auto" w:fill="FFFFFF"/>
        </w:rPr>
      </w:pPr>
      <w:r>
        <w:rPr>
          <w:rFonts w:hint="eastAsia" w:ascii="宋体" w:hAnsi="宋体" w:cs="等线"/>
          <w:color w:val="0F1115"/>
          <w:shd w:val="clear" w:color="auto" w:fill="FFFFFF"/>
        </w:rPr>
        <w:t>（1）对A/B区与C/D区间连接通道进行拓宽改造，提升标识清晰度。</w:t>
      </w:r>
    </w:p>
    <w:p w14:paraId="36C234DA">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w:t>
      </w:r>
      <w:r>
        <w:rPr>
          <w:rFonts w:ascii="宋体" w:hAnsi="宋体" w:cs="等线"/>
          <w:color w:val="0F1115"/>
          <w:shd w:val="clear" w:color="auto" w:fill="FFFFFF"/>
        </w:rPr>
        <w:t>2</w:t>
      </w:r>
      <w:r>
        <w:rPr>
          <w:rFonts w:hint="eastAsia" w:ascii="宋体" w:hAnsi="宋体" w:cs="等线"/>
          <w:color w:val="0F1115"/>
          <w:shd w:val="clear" w:color="auto" w:fill="FFFFFF"/>
        </w:rPr>
        <w:t>）内街外摆区设计</w:t>
      </w:r>
    </w:p>
    <w:p w14:paraId="0F9F92EE">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w:t>
      </w:r>
      <w:r>
        <w:rPr>
          <w:rFonts w:ascii="宋体" w:hAnsi="宋体" w:cs="等线"/>
          <w:color w:val="0F1115"/>
          <w:shd w:val="clear" w:color="auto" w:fill="FFFFFF"/>
        </w:rPr>
        <w:t>3</w:t>
      </w:r>
      <w:r>
        <w:rPr>
          <w:rFonts w:hint="eastAsia" w:ascii="宋体" w:hAnsi="宋体" w:cs="等线"/>
          <w:color w:val="0F1115"/>
          <w:shd w:val="clear" w:color="auto" w:fill="FFFFFF"/>
        </w:rPr>
        <w:t>）优化C/D公区一层约1.8m高差问题，通过缓坡、台阶绿化等方式弱化高差感。</w:t>
      </w:r>
    </w:p>
    <w:p w14:paraId="23954B1E">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w:t>
      </w:r>
      <w:r>
        <w:rPr>
          <w:rFonts w:ascii="宋体" w:hAnsi="宋体" w:cs="等线"/>
          <w:color w:val="0F1115"/>
          <w:shd w:val="clear" w:color="auto" w:fill="FFFFFF"/>
        </w:rPr>
        <w:t>4</w:t>
      </w:r>
      <w:r>
        <w:rPr>
          <w:rFonts w:hint="eastAsia" w:ascii="宋体" w:hAnsi="宋体" w:cs="等线"/>
          <w:color w:val="0F1115"/>
          <w:shd w:val="clear" w:color="auto" w:fill="FFFFFF"/>
        </w:rPr>
        <w:t>）恢复被占用的连廊通道，保证水平动线贯通。</w:t>
      </w:r>
    </w:p>
    <w:p w14:paraId="548FA15D">
      <w:pPr>
        <w:pStyle w:val="3"/>
        <w:spacing w:line="400" w:lineRule="exact"/>
        <w:rPr>
          <w:rFonts w:hint="eastAsia" w:asciiTheme="majorEastAsia" w:hAnsiTheme="majorEastAsia" w:eastAsiaTheme="majorEastAsia" w:cstheme="majorEastAsia"/>
          <w:b/>
          <w:bCs w:val="0"/>
          <w:sz w:val="24"/>
        </w:rPr>
      </w:pPr>
      <w:bookmarkStart w:id="755" w:name="_Toc232703108"/>
      <w:r>
        <w:rPr>
          <w:rFonts w:hint="eastAsia" w:asciiTheme="majorEastAsia" w:hAnsiTheme="majorEastAsia" w:eastAsiaTheme="majorEastAsia" w:cstheme="majorEastAsia"/>
          <w:b/>
          <w:bCs w:val="0"/>
          <w:sz w:val="24"/>
        </w:rPr>
        <w:t>2.4 景观绿化</w:t>
      </w:r>
      <w:bookmarkEnd w:id="755"/>
    </w:p>
    <w:p w14:paraId="7500510D">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（1）A区内街至B区内街的立体绿植景观系统规划。</w:t>
      </w:r>
    </w:p>
    <w:p w14:paraId="256DAB4D">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（2）结合韶关气候特点，选择适生植物品种。</w:t>
      </w:r>
    </w:p>
    <w:p w14:paraId="0D7A273C">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（3）设置休憩节点、外摆空间与公共座椅。</w:t>
      </w:r>
    </w:p>
    <w:p w14:paraId="6E272422">
      <w:pPr>
        <w:pStyle w:val="3"/>
        <w:spacing w:line="400" w:lineRule="exact"/>
        <w:rPr>
          <w:rFonts w:hint="eastAsia" w:asciiTheme="majorEastAsia" w:hAnsiTheme="majorEastAsia" w:eastAsiaTheme="majorEastAsia" w:cstheme="majorEastAsia"/>
          <w:b/>
          <w:bCs w:val="0"/>
          <w:sz w:val="24"/>
        </w:rPr>
      </w:pPr>
      <w:bookmarkStart w:id="756" w:name="_Toc232703109"/>
      <w:r>
        <w:rPr>
          <w:rFonts w:hint="eastAsia" w:asciiTheme="majorEastAsia" w:hAnsiTheme="majorEastAsia" w:eastAsiaTheme="majorEastAsia" w:cstheme="majorEastAsia"/>
          <w:b/>
          <w:bCs w:val="0"/>
          <w:sz w:val="24"/>
        </w:rPr>
        <w:t>2.5 空间叙事与文化串联</w:t>
      </w:r>
      <w:bookmarkEnd w:id="756"/>
    </w:p>
    <w:p w14:paraId="32F07C85">
      <w:pPr>
        <w:pStyle w:val="27"/>
        <w:widowControl/>
        <w:shd w:val="clear" w:color="auto" w:fill="FFFFFF"/>
        <w:spacing w:before="240" w:beforeAutospacing="0" w:after="240" w:afterAutospacing="0" w:line="400" w:lineRule="exact"/>
        <w:ind w:firstLine="480" w:firstLineChars="200"/>
        <w:rPr>
          <w:rFonts w:hint="eastAsia" w:ascii="宋体" w:hAnsi="宋体" w:cs="等线"/>
          <w:color w:val="0F1115"/>
        </w:rPr>
      </w:pPr>
      <w:r>
        <w:rPr>
          <w:rFonts w:hint="eastAsia" w:ascii="宋体" w:hAnsi="宋体" w:cs="等线"/>
          <w:color w:val="0F1115"/>
          <w:shd w:val="clear" w:color="auto" w:fill="FFFFFF"/>
        </w:rPr>
        <w:t>以韶关非遗“火龙”为文化意象，通过地面铺装、景观装置等方式，实现A区至D区全长1.3公里的空间叙事连续性设计。</w:t>
      </w:r>
    </w:p>
    <w:p w14:paraId="4D02E52A">
      <w:pPr>
        <w:pStyle w:val="3"/>
        <w:spacing w:line="400" w:lineRule="exact"/>
        <w:rPr>
          <w:rFonts w:hint="eastAsia" w:asciiTheme="majorEastAsia" w:hAnsiTheme="majorEastAsia" w:eastAsiaTheme="majorEastAsia" w:cstheme="majorEastAsia"/>
          <w:b/>
          <w:bCs w:val="0"/>
          <w:sz w:val="24"/>
        </w:rPr>
      </w:pPr>
      <w:bookmarkStart w:id="757" w:name="_Toc232703110"/>
      <w:r>
        <w:rPr>
          <w:rFonts w:hint="eastAsia" w:asciiTheme="majorEastAsia" w:hAnsiTheme="majorEastAsia" w:eastAsiaTheme="majorEastAsia" w:cstheme="majorEastAsia"/>
          <w:b/>
          <w:bCs w:val="0"/>
          <w:sz w:val="24"/>
        </w:rPr>
        <w:t>3.交通与动线优化设计</w:t>
      </w:r>
      <w:bookmarkEnd w:id="757"/>
      <w:r>
        <w:rPr>
          <w:rFonts w:hint="eastAsia" w:asciiTheme="majorEastAsia" w:hAnsiTheme="majorEastAsia" w:eastAsiaTheme="majorEastAsia" w:cstheme="majorEastAsia"/>
          <w:b/>
          <w:bCs w:val="0"/>
          <w:sz w:val="24"/>
        </w:rPr>
        <w:t>（一期）</w:t>
      </w:r>
    </w:p>
    <w:p w14:paraId="0B62EFD0">
      <w:pPr>
        <w:pStyle w:val="3"/>
        <w:spacing w:line="400" w:lineRule="exact"/>
        <w:rPr>
          <w:rFonts w:hint="eastAsia" w:asciiTheme="majorEastAsia" w:hAnsiTheme="majorEastAsia" w:eastAsiaTheme="majorEastAsia" w:cstheme="majorEastAsia"/>
          <w:b/>
          <w:bCs w:val="0"/>
          <w:sz w:val="24"/>
        </w:rPr>
      </w:pPr>
      <w:bookmarkStart w:id="758" w:name="_Toc232703111"/>
      <w:r>
        <w:rPr>
          <w:rFonts w:hint="eastAsia" w:asciiTheme="majorEastAsia" w:hAnsiTheme="majorEastAsia" w:eastAsiaTheme="majorEastAsia" w:cstheme="majorEastAsia"/>
          <w:b/>
          <w:bCs w:val="0"/>
          <w:sz w:val="24"/>
        </w:rPr>
        <w:t>3.1 水平动线</w:t>
      </w:r>
      <w:bookmarkEnd w:id="758"/>
    </w:p>
    <w:p w14:paraId="51E3C753">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（1）强化1.3km主街的连续性，利用景观节点与铺装设计有效引导客流至各组团。</w:t>
      </w:r>
    </w:p>
    <w:p w14:paraId="254FE62D">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（2）增设清晰的导向标识。</w:t>
      </w:r>
    </w:p>
    <w:p w14:paraId="36D601B4">
      <w:pPr>
        <w:pStyle w:val="3"/>
        <w:spacing w:line="400" w:lineRule="exact"/>
        <w:rPr>
          <w:rFonts w:hint="eastAsia" w:asciiTheme="majorEastAsia" w:hAnsiTheme="majorEastAsia" w:eastAsiaTheme="majorEastAsia" w:cstheme="majorEastAsia"/>
          <w:b/>
          <w:bCs w:val="0"/>
          <w:sz w:val="24"/>
        </w:rPr>
      </w:pPr>
      <w:bookmarkStart w:id="759" w:name="_Toc232703112"/>
      <w:r>
        <w:rPr>
          <w:rFonts w:hint="eastAsia" w:asciiTheme="majorEastAsia" w:hAnsiTheme="majorEastAsia" w:eastAsiaTheme="majorEastAsia" w:cstheme="majorEastAsia"/>
          <w:b/>
          <w:bCs w:val="0"/>
          <w:sz w:val="24"/>
        </w:rPr>
        <w:t>3.2 垂直动线</w:t>
      </w:r>
      <w:bookmarkEnd w:id="759"/>
    </w:p>
    <w:p w14:paraId="6836259C">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（1）更换、修缮现有无法使用的自动扶梯。</w:t>
      </w:r>
    </w:p>
    <w:p w14:paraId="13B119CE">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（2）增设垂直客梯，提升各楼层客流的垂直拉动力度，特别是西侧较为独立的建筑区域。</w:t>
      </w:r>
    </w:p>
    <w:p w14:paraId="3D0E6ADE">
      <w:pPr>
        <w:pStyle w:val="3"/>
        <w:spacing w:line="400" w:lineRule="exact"/>
        <w:rPr>
          <w:rFonts w:hint="eastAsia" w:asciiTheme="majorEastAsia" w:hAnsiTheme="majorEastAsia" w:eastAsiaTheme="majorEastAsia" w:cstheme="majorEastAsia"/>
          <w:b/>
          <w:bCs w:val="0"/>
          <w:sz w:val="24"/>
        </w:rPr>
      </w:pPr>
      <w:bookmarkStart w:id="760" w:name="_Toc232703113"/>
      <w:r>
        <w:rPr>
          <w:rFonts w:hint="eastAsia" w:asciiTheme="majorEastAsia" w:hAnsiTheme="majorEastAsia" w:eastAsiaTheme="majorEastAsia" w:cstheme="majorEastAsia"/>
          <w:b/>
          <w:bCs w:val="0"/>
          <w:sz w:val="24"/>
        </w:rPr>
        <w:t>4 市政基础设施改造</w:t>
      </w:r>
      <w:bookmarkEnd w:id="760"/>
      <w:r>
        <w:rPr>
          <w:rFonts w:hint="eastAsia" w:asciiTheme="majorEastAsia" w:hAnsiTheme="majorEastAsia" w:eastAsiaTheme="majorEastAsia" w:cstheme="majorEastAsia"/>
          <w:b/>
          <w:bCs w:val="0"/>
          <w:sz w:val="24"/>
        </w:rPr>
        <w:t>（一期）</w:t>
      </w:r>
    </w:p>
    <w:p w14:paraId="00E90D9F">
      <w:pPr>
        <w:pStyle w:val="3"/>
        <w:spacing w:line="400" w:lineRule="exact"/>
        <w:rPr>
          <w:rFonts w:hint="eastAsia" w:asciiTheme="majorEastAsia" w:hAnsiTheme="majorEastAsia" w:eastAsiaTheme="majorEastAsia" w:cstheme="majorEastAsia"/>
          <w:b/>
          <w:bCs w:val="0"/>
          <w:sz w:val="24"/>
        </w:rPr>
      </w:pPr>
      <w:bookmarkStart w:id="761" w:name="_Toc232703114"/>
      <w:r>
        <w:rPr>
          <w:rFonts w:hint="eastAsia" w:asciiTheme="majorEastAsia" w:hAnsiTheme="majorEastAsia" w:eastAsiaTheme="majorEastAsia" w:cstheme="majorEastAsia"/>
          <w:b/>
          <w:bCs w:val="0"/>
          <w:sz w:val="24"/>
        </w:rPr>
        <w:t>4.1 机电工程</w:t>
      </w:r>
      <w:bookmarkEnd w:id="761"/>
    </w:p>
    <w:p w14:paraId="75B4707E">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（1）给排水系统改造（含管网更新、雨污分流）。</w:t>
      </w:r>
    </w:p>
    <w:p w14:paraId="3EA3DF09">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（2）电气系统改造（含供配电、室内外照明）。</w:t>
      </w:r>
    </w:p>
    <w:p w14:paraId="3A786369">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（3）排油烟工程（满足餐饮业态集中排烟需求）。</w:t>
      </w:r>
    </w:p>
    <w:p w14:paraId="369E19FF">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（4）暖通空调系统改造。</w:t>
      </w:r>
    </w:p>
    <w:p w14:paraId="4EFE8F1E">
      <w:pPr>
        <w:pStyle w:val="3"/>
        <w:spacing w:line="400" w:lineRule="exact"/>
        <w:rPr>
          <w:rFonts w:hint="eastAsia" w:asciiTheme="majorEastAsia" w:hAnsiTheme="majorEastAsia" w:eastAsiaTheme="majorEastAsia" w:cstheme="majorEastAsia"/>
          <w:b/>
          <w:bCs w:val="0"/>
          <w:sz w:val="24"/>
        </w:rPr>
      </w:pPr>
      <w:bookmarkStart w:id="762" w:name="_Toc232703115"/>
      <w:r>
        <w:rPr>
          <w:rFonts w:hint="eastAsia" w:asciiTheme="majorEastAsia" w:hAnsiTheme="majorEastAsia" w:eastAsiaTheme="majorEastAsia" w:cstheme="majorEastAsia"/>
          <w:b/>
          <w:bCs w:val="0"/>
          <w:sz w:val="24"/>
        </w:rPr>
        <w:t>4.2 弱电智能化工程</w:t>
      </w:r>
      <w:bookmarkEnd w:id="762"/>
    </w:p>
    <w:p w14:paraId="69ABD85C">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（1）根据现况现有智能化设施提升优化，包括但不限于智能停车管理系统、安防监控系统升级等。</w:t>
      </w:r>
    </w:p>
    <w:p w14:paraId="14B588B5">
      <w:pPr>
        <w:pStyle w:val="3"/>
        <w:spacing w:line="400" w:lineRule="exact"/>
        <w:rPr>
          <w:rFonts w:hint="eastAsia" w:asciiTheme="majorEastAsia" w:hAnsiTheme="majorEastAsia" w:eastAsiaTheme="majorEastAsia" w:cstheme="majorEastAsia"/>
          <w:b/>
          <w:bCs w:val="0"/>
          <w:sz w:val="24"/>
        </w:rPr>
      </w:pPr>
      <w:bookmarkStart w:id="763" w:name="_Toc232703116"/>
      <w:r>
        <w:rPr>
          <w:rFonts w:hint="eastAsia" w:asciiTheme="majorEastAsia" w:hAnsiTheme="majorEastAsia" w:eastAsiaTheme="majorEastAsia" w:cstheme="majorEastAsia"/>
          <w:b/>
          <w:bCs w:val="0"/>
          <w:sz w:val="24"/>
        </w:rPr>
        <w:t>5 泛光照明设计</w:t>
      </w:r>
      <w:bookmarkEnd w:id="763"/>
      <w:r>
        <w:rPr>
          <w:rFonts w:hint="eastAsia" w:asciiTheme="majorEastAsia" w:hAnsiTheme="majorEastAsia" w:eastAsiaTheme="majorEastAsia" w:cstheme="majorEastAsia"/>
          <w:b/>
          <w:bCs w:val="0"/>
          <w:sz w:val="24"/>
        </w:rPr>
        <w:t>（一期）</w:t>
      </w:r>
    </w:p>
    <w:p w14:paraId="65F53262">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（1）建筑轮廓照明与立面泛光照明设计。</w:t>
      </w:r>
    </w:p>
    <w:p w14:paraId="3BE30621">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（2）街巷与景观节点氛围照明。</w:t>
      </w:r>
    </w:p>
    <w:p w14:paraId="7D5F4B70">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（3）夜间场景泛光照明设计。</w:t>
      </w:r>
    </w:p>
    <w:p w14:paraId="1B5344C8">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（4）设计平日模式与节庆/周末模式两种照明场景。</w:t>
      </w:r>
    </w:p>
    <w:p w14:paraId="5591FEB8">
      <w:pPr>
        <w:pStyle w:val="3"/>
        <w:spacing w:line="400" w:lineRule="exact"/>
        <w:rPr>
          <w:rFonts w:hint="eastAsia" w:asciiTheme="majorEastAsia" w:hAnsiTheme="majorEastAsia" w:eastAsiaTheme="majorEastAsia" w:cstheme="majorEastAsia"/>
          <w:b/>
          <w:bCs w:val="0"/>
          <w:sz w:val="24"/>
        </w:rPr>
      </w:pPr>
      <w:bookmarkStart w:id="764" w:name="_Toc232703117"/>
      <w:r>
        <w:rPr>
          <w:rFonts w:hint="eastAsia" w:asciiTheme="majorEastAsia" w:hAnsiTheme="majorEastAsia" w:eastAsiaTheme="majorEastAsia" w:cstheme="majorEastAsia"/>
          <w:b/>
          <w:bCs w:val="0"/>
          <w:sz w:val="24"/>
        </w:rPr>
        <w:t>6 导视与标识系统设计</w:t>
      </w:r>
      <w:bookmarkEnd w:id="764"/>
      <w:r>
        <w:rPr>
          <w:rFonts w:hint="eastAsia" w:asciiTheme="majorEastAsia" w:hAnsiTheme="majorEastAsia" w:eastAsiaTheme="majorEastAsia" w:cstheme="majorEastAsia"/>
          <w:b/>
          <w:bCs w:val="0"/>
          <w:sz w:val="24"/>
        </w:rPr>
        <w:t>（一期）</w:t>
      </w:r>
    </w:p>
    <w:p w14:paraId="18C61E30">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（1）街区总平面导览标识。</w:t>
      </w:r>
    </w:p>
    <w:p w14:paraId="1D4076C4">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（2）各分区导向标识。</w:t>
      </w:r>
    </w:p>
    <w:p w14:paraId="37FDA270">
      <w:pPr>
        <w:pStyle w:val="27"/>
        <w:widowControl/>
        <w:shd w:val="clear" w:color="auto" w:fill="FFFFFF"/>
        <w:spacing w:before="240" w:beforeAutospacing="0" w:after="240" w:afterAutospacing="0" w:line="400" w:lineRule="exact"/>
        <w:rPr>
          <w:rFonts w:hint="eastAsia" w:ascii="宋体" w:hAnsi="宋体" w:cs="等线"/>
          <w:color w:val="0F1115"/>
          <w:shd w:val="clear" w:color="auto" w:fill="FFFFFF"/>
        </w:rPr>
      </w:pPr>
      <w:r>
        <w:rPr>
          <w:rFonts w:hint="eastAsia" w:ascii="宋体" w:hAnsi="宋体" w:cs="等线"/>
          <w:color w:val="0F1115"/>
          <w:shd w:val="clear" w:color="auto" w:fill="FFFFFF"/>
        </w:rPr>
        <w:t>（3）无障碍设施标识。</w:t>
      </w:r>
    </w:p>
    <w:p w14:paraId="56AA35BF">
      <w:pPr>
        <w:pStyle w:val="2"/>
        <w:spacing w:line="400" w:lineRule="exact"/>
        <w:rPr>
          <w:rFonts w:hint="eastAsia" w:ascii="黑体" w:hAnsi="黑体" w:eastAsia="黑体" w:cs="等线"/>
          <w:szCs w:val="30"/>
        </w:rPr>
      </w:pPr>
      <w:bookmarkStart w:id="765" w:name="_Toc232703118"/>
      <w:r>
        <w:rPr>
          <w:rFonts w:hint="eastAsia" w:ascii="黑体" w:hAnsi="黑体" w:eastAsia="黑体" w:cs="等线"/>
          <w:szCs w:val="30"/>
          <w:lang w:val="en-US" w:eastAsia="zh-CN"/>
        </w:rPr>
        <w:t>五、</w:t>
      </w:r>
      <w:r>
        <w:rPr>
          <w:rFonts w:hint="eastAsia" w:ascii="黑体" w:hAnsi="黑体" w:eastAsia="黑体" w:cs="等线"/>
          <w:szCs w:val="30"/>
        </w:rPr>
        <w:t>专项设计要求</w:t>
      </w:r>
      <w:bookmarkEnd w:id="765"/>
    </w:p>
    <w:p w14:paraId="432B784D">
      <w:pPr>
        <w:pStyle w:val="4"/>
        <w:numPr>
          <w:ilvl w:val="0"/>
          <w:numId w:val="0"/>
        </w:numPr>
        <w:spacing w:line="400" w:lineRule="exact"/>
        <w:ind w:leftChars="0"/>
        <w:rPr>
          <w:rFonts w:hint="eastAsia" w:asciiTheme="majorEastAsia" w:hAnsiTheme="majorEastAsia" w:eastAsiaTheme="majorEastAsia" w:cstheme="majorEastAsia"/>
          <w:b/>
          <w:bCs/>
        </w:rPr>
      </w:pPr>
      <w:bookmarkStart w:id="766" w:name="_Toc232703119"/>
      <w:r>
        <w:rPr>
          <w:rFonts w:hint="eastAsia" w:asciiTheme="majorEastAsia" w:hAnsiTheme="majorEastAsia" w:eastAsiaTheme="majorEastAsia" w:cstheme="majorEastAsia"/>
          <w:b/>
          <w:bCs/>
        </w:rPr>
        <w:t>5.1 无障碍设计专项</w:t>
      </w:r>
      <w:bookmarkEnd w:id="766"/>
    </w:p>
    <w:p w14:paraId="77695007">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（1）全街区无障碍通行系统设计。</w:t>
      </w:r>
    </w:p>
    <w:p w14:paraId="565651AD">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（2）无障碍卫生间、电梯等设施配置。</w:t>
      </w:r>
    </w:p>
    <w:p w14:paraId="5B1C43B5">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（3）无障碍标识系统。</w:t>
      </w:r>
    </w:p>
    <w:p w14:paraId="07623E49">
      <w:pPr>
        <w:pStyle w:val="4"/>
        <w:numPr>
          <w:ilvl w:val="0"/>
          <w:numId w:val="0"/>
        </w:numPr>
        <w:spacing w:line="400" w:lineRule="exact"/>
        <w:ind w:leftChars="0"/>
        <w:rPr>
          <w:rFonts w:hint="eastAsia" w:asciiTheme="majorEastAsia" w:hAnsiTheme="majorEastAsia" w:eastAsiaTheme="majorEastAsia" w:cstheme="majorEastAsia"/>
          <w:b/>
          <w:bCs/>
        </w:rPr>
      </w:pPr>
      <w:bookmarkStart w:id="767" w:name="_Toc232703120"/>
      <w:r>
        <w:rPr>
          <w:rFonts w:hint="eastAsia" w:asciiTheme="majorEastAsia" w:hAnsiTheme="majorEastAsia" w:eastAsiaTheme="majorEastAsia" w:cstheme="majorEastAsia"/>
          <w:b/>
          <w:bCs/>
        </w:rPr>
        <w:t>5.2 商业运营对接专项</w:t>
      </w:r>
      <w:bookmarkEnd w:id="767"/>
    </w:p>
    <w:p w14:paraId="4B1C2118">
      <w:pPr>
        <w:pStyle w:val="27"/>
        <w:widowControl/>
        <w:shd w:val="clear" w:color="auto" w:fill="FFFFFF"/>
        <w:spacing w:before="240" w:beforeAutospacing="0" w:after="240" w:afterAutospacing="0" w:line="400" w:lineRule="exact"/>
        <w:ind w:firstLine="480" w:firstLineChars="200"/>
        <w:rPr>
          <w:rFonts w:hint="eastAsia" w:ascii="宋体" w:hAnsi="宋体" w:cs="等线"/>
          <w:color w:val="0F1115"/>
        </w:rPr>
      </w:pPr>
      <w:r>
        <w:rPr>
          <w:rFonts w:hint="eastAsia" w:ascii="宋体" w:hAnsi="宋体" w:cs="等线"/>
          <w:color w:val="0F1115"/>
          <w:shd w:val="clear" w:color="auto" w:fill="FFFFFF"/>
        </w:rPr>
        <w:t>设计方案须与项目商业运营规划中提出的业态布局、动线组织、活动策划、巡游线路、市集空间需求等内容对接，实现空间设计与商业运营的协调统一。</w:t>
      </w:r>
    </w:p>
    <w:p w14:paraId="3965209D">
      <w:pPr>
        <w:pStyle w:val="2"/>
        <w:spacing w:line="400" w:lineRule="exact"/>
        <w:rPr>
          <w:rFonts w:ascii="黑体" w:hAnsi="黑体" w:eastAsia="黑体" w:cs="等线"/>
          <w:szCs w:val="30"/>
        </w:rPr>
      </w:pPr>
      <w:bookmarkStart w:id="768" w:name="_Toc232703121"/>
      <w:r>
        <w:rPr>
          <w:rFonts w:hint="eastAsia" w:ascii="黑体" w:hAnsi="黑体" w:eastAsia="黑体" w:cs="等线"/>
          <w:szCs w:val="30"/>
          <w:u w:val="none"/>
          <w:lang w:val="en-US" w:eastAsia="zh-CN"/>
        </w:rPr>
        <w:t>六 、</w:t>
      </w:r>
      <w:r>
        <w:rPr>
          <w:rFonts w:hint="eastAsia" w:ascii="黑体" w:hAnsi="黑体" w:eastAsia="黑体" w:cs="等线"/>
          <w:szCs w:val="30"/>
        </w:rPr>
        <w:t>设计深度与成果要求</w:t>
      </w:r>
      <w:bookmarkEnd w:id="768"/>
    </w:p>
    <w:p w14:paraId="32AE7101">
      <w:pPr>
        <w:pStyle w:val="4"/>
        <w:numPr>
          <w:ilvl w:val="0"/>
          <w:numId w:val="0"/>
        </w:numPr>
        <w:spacing w:line="400" w:lineRule="exact"/>
        <w:ind w:leftChars="0"/>
        <w:rPr>
          <w:rFonts w:hint="eastAsia" w:asciiTheme="majorEastAsia" w:hAnsiTheme="majorEastAsia" w:eastAsiaTheme="majorEastAsia" w:cstheme="majorEastAsia"/>
          <w:b/>
          <w:bCs/>
        </w:rPr>
      </w:pPr>
      <w:r>
        <w:rPr>
          <w:rFonts w:hint="eastAsia" w:asciiTheme="majorEastAsia" w:hAnsiTheme="majorEastAsia" w:eastAsiaTheme="majorEastAsia" w:cstheme="majorEastAsia"/>
          <w:b/>
          <w:bCs/>
        </w:rPr>
        <w:t>韶关百年东街及周边历史街区城市更新项目（一期）</w:t>
      </w:r>
    </w:p>
    <w:p w14:paraId="726F997D">
      <w:pPr>
        <w:pStyle w:val="4"/>
        <w:numPr>
          <w:ilvl w:val="0"/>
          <w:numId w:val="0"/>
        </w:numPr>
        <w:spacing w:line="400" w:lineRule="exact"/>
        <w:ind w:leftChars="0"/>
        <w:rPr>
          <w:rFonts w:hint="eastAsia" w:asciiTheme="majorEastAsia" w:hAnsiTheme="majorEastAsia" w:eastAsiaTheme="majorEastAsia" w:cstheme="majorEastAsia"/>
          <w:b/>
          <w:bCs/>
        </w:rPr>
      </w:pPr>
      <w:bookmarkStart w:id="769" w:name="_Toc232703122"/>
      <w:r>
        <w:rPr>
          <w:rFonts w:hint="eastAsia" w:asciiTheme="majorEastAsia" w:hAnsiTheme="majorEastAsia" w:eastAsiaTheme="majorEastAsia" w:cstheme="majorEastAsia"/>
          <w:b/>
          <w:bCs/>
        </w:rPr>
        <w:t>1 方案设计阶段成果</w:t>
      </w:r>
      <w:bookmarkEnd w:id="769"/>
    </w:p>
    <w:p w14:paraId="287D78F9">
      <w:pPr>
        <w:pStyle w:val="27"/>
        <w:widowControl/>
        <w:spacing w:beforeAutospacing="0" w:afterAutospacing="0" w:line="400" w:lineRule="exact"/>
        <w:rPr>
          <w:rFonts w:hint="eastAsia" w:ascii="宋体" w:hAnsi="宋体" w:cs="等线"/>
        </w:rPr>
      </w:pPr>
      <w:r>
        <w:rPr>
          <w:rFonts w:hint="eastAsia" w:cs="等线"/>
          <w:b/>
          <w:bCs/>
          <w:color w:val="0F1115"/>
          <w:shd w:val="clear" w:color="auto" w:fill="FFFFFF"/>
          <w:lang w:val="en-US" w:eastAsia="zh-CN"/>
        </w:rPr>
        <w:t>1.</w:t>
      </w:r>
      <w:r>
        <w:rPr>
          <w:rFonts w:hint="eastAsia" w:ascii="宋体" w:hAnsi="宋体" w:cs="等线"/>
          <w:b/>
          <w:bCs/>
          <w:color w:val="0F1115"/>
          <w:shd w:val="clear" w:color="auto" w:fill="FFFFFF"/>
        </w:rPr>
        <w:t>1设计说明</w:t>
      </w:r>
      <w:r>
        <w:rPr>
          <w:rFonts w:hint="eastAsia" w:ascii="宋体" w:hAnsi="宋体" w:cs="等线"/>
          <w:color w:val="0F1115"/>
          <w:shd w:val="clear" w:color="auto" w:fill="FFFFFF"/>
        </w:rPr>
        <w:t>：设计理念、设计策略、各专业设计思路、经济技术指标。</w:t>
      </w:r>
    </w:p>
    <w:p w14:paraId="224FF336">
      <w:pPr>
        <w:pStyle w:val="27"/>
        <w:widowControl/>
        <w:spacing w:beforeAutospacing="0" w:after="120" w:afterAutospacing="0" w:line="400" w:lineRule="exact"/>
        <w:rPr>
          <w:rFonts w:hint="eastAsia" w:ascii="宋体" w:hAnsi="宋体" w:cs="等线"/>
        </w:rPr>
      </w:pPr>
      <w:r>
        <w:rPr>
          <w:rFonts w:hint="eastAsia" w:cs="等线"/>
          <w:b/>
          <w:bCs/>
          <w:color w:val="0F1115"/>
          <w:shd w:val="clear" w:color="auto" w:fill="FFFFFF"/>
          <w:lang w:val="en-US" w:eastAsia="zh-CN"/>
        </w:rPr>
        <w:t>1.</w:t>
      </w:r>
      <w:r>
        <w:rPr>
          <w:rFonts w:hint="eastAsia" w:ascii="宋体" w:hAnsi="宋体" w:cs="等线"/>
          <w:b/>
          <w:bCs/>
          <w:color w:val="0F1115"/>
          <w:shd w:val="clear" w:color="auto" w:fill="FFFFFF"/>
        </w:rPr>
        <w:t>2内容要求</w:t>
      </w:r>
      <w:r>
        <w:rPr>
          <w:rFonts w:hint="eastAsia" w:ascii="宋体" w:hAnsi="宋体" w:cs="等线"/>
          <w:color w:val="0F1115"/>
          <w:shd w:val="clear" w:color="auto" w:fill="FFFFFF"/>
        </w:rPr>
        <w:t>：</w:t>
      </w:r>
    </w:p>
    <w:p w14:paraId="29B1A428">
      <w:pPr>
        <w:pStyle w:val="27"/>
        <w:widowControl/>
        <w:spacing w:beforeAutospacing="0" w:afterAutospacing="0" w:line="400" w:lineRule="exact"/>
        <w:rPr>
          <w:rFonts w:hint="eastAsia" w:ascii="宋体" w:hAnsi="宋体" w:cs="等线"/>
        </w:rPr>
      </w:pPr>
      <w:r>
        <w:rPr>
          <w:rFonts w:hint="eastAsia" w:ascii="宋体" w:hAnsi="宋体" w:cs="等线"/>
          <w:color w:val="0F1115"/>
          <w:shd w:val="clear" w:color="auto" w:fill="FFFFFF"/>
        </w:rPr>
        <w:t>（</w:t>
      </w:r>
      <w:r>
        <w:rPr>
          <w:rFonts w:hint="eastAsia" w:ascii="宋体" w:hAnsi="宋体" w:cs="等线"/>
          <w:color w:val="0F1115"/>
          <w:shd w:val="clear" w:color="auto" w:fill="FFFFFF"/>
          <w:lang w:val="en-US" w:eastAsia="zh-CN"/>
        </w:rPr>
        <w:t>1</w:t>
      </w:r>
      <w:r>
        <w:rPr>
          <w:rFonts w:hint="eastAsia" w:ascii="宋体" w:hAnsi="宋体" w:cs="等线"/>
          <w:color w:val="0F1115"/>
          <w:shd w:val="clear" w:color="auto" w:fill="FFFFFF"/>
        </w:rPr>
        <w:t>）区位分析图、现状分析图；</w:t>
      </w:r>
    </w:p>
    <w:p w14:paraId="537FED5B">
      <w:pPr>
        <w:pStyle w:val="27"/>
        <w:widowControl/>
        <w:spacing w:beforeAutospacing="0" w:afterAutospacing="0" w:line="400" w:lineRule="exact"/>
        <w:rPr>
          <w:rFonts w:hint="eastAsia" w:ascii="宋体" w:hAnsi="宋体" w:cs="等线"/>
        </w:rPr>
      </w:pPr>
      <w:r>
        <w:rPr>
          <w:rFonts w:hint="eastAsia" w:ascii="宋体" w:hAnsi="宋体" w:cs="等线"/>
          <w:color w:val="0F1115"/>
          <w:shd w:val="clear" w:color="auto" w:fill="FFFFFF"/>
        </w:rPr>
        <w:t>（2）总平面图（含景观总平）；</w:t>
      </w:r>
    </w:p>
    <w:p w14:paraId="541D7E89">
      <w:pPr>
        <w:pStyle w:val="27"/>
        <w:widowControl/>
        <w:spacing w:beforeAutospacing="0" w:afterAutospacing="0" w:line="400" w:lineRule="exact"/>
        <w:rPr>
          <w:rFonts w:hint="eastAsia" w:ascii="宋体" w:hAnsi="宋体" w:cs="等线"/>
        </w:rPr>
      </w:pPr>
      <w:r>
        <w:rPr>
          <w:rFonts w:hint="eastAsia" w:ascii="宋体" w:hAnsi="宋体" w:cs="等线"/>
          <w:color w:val="0F1115"/>
          <w:shd w:val="clear" w:color="auto" w:fill="FFFFFF"/>
        </w:rPr>
        <w:t>（</w:t>
      </w:r>
      <w:r>
        <w:rPr>
          <w:rFonts w:hint="eastAsia" w:ascii="宋体" w:hAnsi="宋体" w:cs="等线"/>
          <w:color w:val="0F1115"/>
          <w:shd w:val="clear" w:color="auto" w:fill="FFFFFF"/>
          <w:lang w:val="en-US" w:eastAsia="zh-CN"/>
        </w:rPr>
        <w:t>3</w:t>
      </w:r>
      <w:r>
        <w:rPr>
          <w:rFonts w:hint="eastAsia" w:ascii="宋体" w:hAnsi="宋体" w:cs="等线"/>
          <w:color w:val="0F1115"/>
          <w:shd w:val="clear" w:color="auto" w:fill="FFFFFF"/>
        </w:rPr>
        <w:t>）各分区改造立面图、剖面图；</w:t>
      </w:r>
    </w:p>
    <w:p w14:paraId="45EFB67C">
      <w:pPr>
        <w:pStyle w:val="27"/>
        <w:widowControl/>
        <w:spacing w:beforeAutospacing="0" w:afterAutospacing="0" w:line="400" w:lineRule="exact"/>
        <w:rPr>
          <w:rFonts w:hint="eastAsia" w:ascii="宋体" w:hAnsi="宋体" w:cs="等线"/>
        </w:rPr>
      </w:pPr>
      <w:r>
        <w:rPr>
          <w:rFonts w:hint="eastAsia" w:ascii="宋体" w:hAnsi="宋体" w:cs="等线"/>
          <w:color w:val="0F1115"/>
          <w:shd w:val="clear" w:color="auto" w:fill="FFFFFF"/>
        </w:rPr>
        <w:t>（</w:t>
      </w:r>
      <w:r>
        <w:rPr>
          <w:rFonts w:hint="eastAsia" w:ascii="宋体" w:hAnsi="宋体" w:cs="等线"/>
          <w:color w:val="0F1115"/>
          <w:shd w:val="clear" w:color="auto" w:fill="FFFFFF"/>
          <w:lang w:val="en-US" w:eastAsia="zh-CN"/>
        </w:rPr>
        <w:t>4</w:t>
      </w:r>
      <w:r>
        <w:rPr>
          <w:rFonts w:hint="eastAsia" w:ascii="宋体" w:hAnsi="宋体" w:cs="等线"/>
          <w:color w:val="0F1115"/>
          <w:shd w:val="clear" w:color="auto" w:fill="FFFFFF"/>
        </w:rPr>
        <w:t>）主要节点效果图（不少于10个）；</w:t>
      </w:r>
    </w:p>
    <w:p w14:paraId="6177D580">
      <w:pPr>
        <w:pStyle w:val="27"/>
        <w:widowControl/>
        <w:spacing w:beforeAutospacing="0" w:afterAutospacing="0" w:line="400" w:lineRule="exact"/>
        <w:rPr>
          <w:rFonts w:hint="eastAsia" w:ascii="宋体" w:hAnsi="宋体" w:cs="等线"/>
        </w:rPr>
      </w:pPr>
      <w:r>
        <w:rPr>
          <w:rFonts w:hint="eastAsia" w:ascii="宋体" w:hAnsi="宋体" w:cs="等线"/>
          <w:color w:val="0F1115"/>
          <w:shd w:val="clear" w:color="auto" w:fill="FFFFFF"/>
        </w:rPr>
        <w:t>（</w:t>
      </w:r>
      <w:r>
        <w:rPr>
          <w:rFonts w:hint="eastAsia" w:ascii="宋体" w:hAnsi="宋体" w:cs="等线"/>
          <w:color w:val="0F1115"/>
          <w:shd w:val="clear" w:color="auto" w:fill="FFFFFF"/>
          <w:lang w:val="en-US" w:eastAsia="zh-CN"/>
        </w:rPr>
        <w:t>5</w:t>
      </w:r>
      <w:r>
        <w:rPr>
          <w:rFonts w:hint="eastAsia" w:ascii="宋体" w:hAnsi="宋体" w:cs="等线"/>
          <w:color w:val="0F1115"/>
          <w:shd w:val="clear" w:color="auto" w:fill="FFFFFF"/>
        </w:rPr>
        <w:t>）夜景照明效果图。</w:t>
      </w:r>
    </w:p>
    <w:p w14:paraId="5DC79B6D">
      <w:pPr>
        <w:pStyle w:val="27"/>
        <w:widowControl/>
        <w:spacing w:beforeAutospacing="0" w:afterAutospacing="0" w:line="400" w:lineRule="exact"/>
        <w:rPr>
          <w:rFonts w:hint="eastAsia" w:ascii="宋体" w:hAnsi="宋体" w:cs="等线"/>
        </w:rPr>
      </w:pPr>
      <w:r>
        <w:rPr>
          <w:rFonts w:hint="eastAsia" w:cs="等线"/>
          <w:b/>
          <w:bCs/>
          <w:color w:val="0F1115"/>
          <w:shd w:val="clear" w:color="auto" w:fill="FFFFFF"/>
          <w:lang w:val="en-US" w:eastAsia="zh-CN"/>
        </w:rPr>
        <w:t>1.</w:t>
      </w:r>
      <w:r>
        <w:rPr>
          <w:rFonts w:hint="eastAsia" w:ascii="宋体" w:hAnsi="宋体" w:cs="等线"/>
          <w:b/>
          <w:bCs/>
          <w:color w:val="0F1115"/>
          <w:shd w:val="clear" w:color="auto" w:fill="FFFFFF"/>
        </w:rPr>
        <w:t>3投资估算</w:t>
      </w:r>
      <w:r>
        <w:rPr>
          <w:rFonts w:hint="eastAsia" w:ascii="宋体" w:hAnsi="宋体" w:cs="等线"/>
          <w:color w:val="0F1115"/>
          <w:shd w:val="clear" w:color="auto" w:fill="FFFFFF"/>
        </w:rPr>
        <w:t>：按改造内容分类编制工程投资估算。</w:t>
      </w:r>
    </w:p>
    <w:p w14:paraId="31A911C4">
      <w:pPr>
        <w:pStyle w:val="27"/>
        <w:widowControl/>
        <w:spacing w:beforeAutospacing="0" w:afterAutospacing="0" w:line="400" w:lineRule="exact"/>
        <w:rPr>
          <w:rFonts w:hint="eastAsia" w:ascii="宋体" w:hAnsi="宋体" w:cs="等线"/>
        </w:rPr>
      </w:pPr>
      <w:r>
        <w:rPr>
          <w:rFonts w:hint="eastAsia" w:cs="等线"/>
          <w:b/>
          <w:bCs/>
          <w:color w:val="0F1115"/>
          <w:shd w:val="clear" w:color="auto" w:fill="FFFFFF"/>
          <w:lang w:val="en-US" w:eastAsia="zh-CN"/>
        </w:rPr>
        <w:t>1.</w:t>
      </w:r>
      <w:r>
        <w:rPr>
          <w:rFonts w:hint="eastAsia" w:ascii="宋体" w:hAnsi="宋体" w:cs="等线"/>
          <w:b/>
          <w:bCs/>
          <w:color w:val="0F1115"/>
          <w:shd w:val="clear" w:color="auto" w:fill="FFFFFF"/>
        </w:rPr>
        <w:t>4汇报文件</w:t>
      </w:r>
      <w:r>
        <w:rPr>
          <w:rFonts w:hint="eastAsia" w:ascii="宋体" w:hAnsi="宋体" w:cs="等线"/>
          <w:color w:val="0F1115"/>
          <w:shd w:val="clear" w:color="auto" w:fill="FFFFFF"/>
        </w:rPr>
        <w:t>：PPT格式方案汇报文本。</w:t>
      </w:r>
    </w:p>
    <w:p w14:paraId="39C981F9">
      <w:pPr>
        <w:pStyle w:val="27"/>
        <w:widowControl/>
        <w:spacing w:beforeAutospacing="0" w:afterAutospacing="0" w:line="400" w:lineRule="exact"/>
        <w:rPr>
          <w:rFonts w:hint="eastAsia" w:ascii="宋体" w:hAnsi="宋体" w:cs="等线"/>
        </w:rPr>
      </w:pPr>
      <w:r>
        <w:rPr>
          <w:rFonts w:hint="eastAsia" w:cs="等线"/>
          <w:b/>
          <w:bCs/>
          <w:color w:val="0F1115"/>
          <w:shd w:val="clear" w:color="auto" w:fill="FFFFFF"/>
          <w:lang w:val="en-US" w:eastAsia="zh-CN"/>
        </w:rPr>
        <w:t>1.</w:t>
      </w:r>
      <w:r>
        <w:rPr>
          <w:rFonts w:hint="eastAsia" w:ascii="宋体" w:hAnsi="宋体" w:cs="等线"/>
          <w:b/>
          <w:bCs/>
          <w:color w:val="0F1115"/>
          <w:shd w:val="clear" w:color="auto" w:fill="FFFFFF"/>
        </w:rPr>
        <w:t>5电子文件</w:t>
      </w:r>
      <w:r>
        <w:rPr>
          <w:rFonts w:hint="eastAsia" w:ascii="宋体" w:hAnsi="宋体" w:cs="等线"/>
          <w:color w:val="0F1115"/>
          <w:shd w:val="clear" w:color="auto" w:fill="FFFFFF"/>
        </w:rPr>
        <w:t>：全部成果的电子文档。</w:t>
      </w:r>
    </w:p>
    <w:p w14:paraId="11EEF698">
      <w:pPr>
        <w:pStyle w:val="4"/>
        <w:numPr>
          <w:ilvl w:val="0"/>
          <w:numId w:val="0"/>
        </w:numPr>
        <w:spacing w:line="400" w:lineRule="exact"/>
        <w:ind w:leftChars="0"/>
        <w:rPr>
          <w:rFonts w:hint="eastAsia" w:asciiTheme="majorEastAsia" w:hAnsiTheme="majorEastAsia" w:eastAsiaTheme="majorEastAsia" w:cstheme="majorEastAsia"/>
          <w:b/>
          <w:bCs/>
        </w:rPr>
      </w:pPr>
      <w:bookmarkStart w:id="770" w:name="_Toc232703123"/>
      <w:r>
        <w:rPr>
          <w:rFonts w:hint="eastAsia" w:asciiTheme="majorEastAsia" w:hAnsiTheme="majorEastAsia" w:eastAsiaTheme="majorEastAsia" w:cstheme="majorEastAsia"/>
          <w:b/>
          <w:bCs/>
        </w:rPr>
        <w:t>2 初步设计阶段成果</w:t>
      </w:r>
      <w:bookmarkEnd w:id="770"/>
    </w:p>
    <w:p w14:paraId="14474582">
      <w:pPr>
        <w:pStyle w:val="27"/>
        <w:widowControl/>
        <w:spacing w:beforeAutospacing="0" w:afterAutospacing="0" w:line="400" w:lineRule="exact"/>
        <w:rPr>
          <w:rFonts w:hint="eastAsia" w:ascii="宋体" w:hAnsi="宋体" w:cs="等线"/>
        </w:rPr>
      </w:pPr>
      <w:r>
        <w:rPr>
          <w:rFonts w:hint="eastAsia" w:ascii="宋体" w:hAnsi="宋体" w:cs="等线"/>
          <w:b/>
          <w:bCs/>
          <w:color w:val="0F1115"/>
          <w:shd w:val="clear" w:color="auto" w:fill="FFFFFF"/>
          <w:lang w:eastAsia="zh-CN"/>
        </w:rPr>
        <w:t>（</w:t>
      </w:r>
      <w:r>
        <w:rPr>
          <w:rFonts w:hint="eastAsia" w:ascii="宋体" w:hAnsi="宋体" w:cs="等线"/>
          <w:b/>
          <w:bCs/>
          <w:color w:val="0F1115"/>
          <w:shd w:val="clear" w:color="auto" w:fill="FFFFFF"/>
          <w:lang w:val="en-US" w:eastAsia="zh-CN"/>
        </w:rPr>
        <w:t>1</w:t>
      </w:r>
      <w:r>
        <w:rPr>
          <w:rFonts w:hint="eastAsia" w:ascii="宋体" w:hAnsi="宋体" w:cs="等线"/>
          <w:b/>
          <w:bCs/>
          <w:color w:val="0F1115"/>
          <w:shd w:val="clear" w:color="auto" w:fill="FFFFFF"/>
          <w:lang w:eastAsia="zh-CN"/>
        </w:rPr>
        <w:t>）</w:t>
      </w:r>
      <w:r>
        <w:rPr>
          <w:rFonts w:hint="eastAsia" w:ascii="宋体" w:hAnsi="宋体" w:cs="等线"/>
          <w:b/>
          <w:bCs/>
          <w:color w:val="0F1115"/>
          <w:shd w:val="clear" w:color="auto" w:fill="FFFFFF"/>
        </w:rPr>
        <w:t>初步设计说明</w:t>
      </w:r>
      <w:r>
        <w:rPr>
          <w:rFonts w:hint="eastAsia" w:ascii="宋体" w:hAnsi="宋体" w:cs="等线"/>
          <w:color w:val="0F1115"/>
          <w:shd w:val="clear" w:color="auto" w:fill="FFFFFF"/>
        </w:rPr>
        <w:t>：各专业详细设计说明。</w:t>
      </w:r>
    </w:p>
    <w:p w14:paraId="465C0CCD">
      <w:pPr>
        <w:pStyle w:val="27"/>
        <w:widowControl/>
        <w:spacing w:beforeAutospacing="0" w:after="120" w:afterAutospacing="0" w:line="400" w:lineRule="exact"/>
        <w:rPr>
          <w:rFonts w:hint="eastAsia" w:ascii="宋体" w:hAnsi="宋体" w:eastAsia="宋体" w:cs="等线"/>
          <w:lang w:val="en-US" w:eastAsia="zh-CN"/>
        </w:rPr>
      </w:pPr>
      <w:r>
        <w:rPr>
          <w:rFonts w:hint="eastAsia" w:ascii="宋体" w:hAnsi="宋体" w:cs="等线"/>
          <w:b/>
          <w:bCs/>
          <w:color w:val="0F1115"/>
          <w:shd w:val="clear" w:color="auto" w:fill="FFFFFF"/>
          <w:lang w:eastAsia="zh-CN"/>
        </w:rPr>
        <w:t>（</w:t>
      </w:r>
      <w:r>
        <w:rPr>
          <w:rFonts w:hint="eastAsia" w:ascii="宋体" w:hAnsi="宋体" w:cs="等线"/>
          <w:b/>
          <w:bCs/>
          <w:color w:val="0F1115"/>
          <w:shd w:val="clear" w:color="auto" w:fill="FFFFFF"/>
          <w:lang w:val="en-US" w:eastAsia="zh-CN"/>
        </w:rPr>
        <w:t>2</w:t>
      </w:r>
      <w:r>
        <w:rPr>
          <w:rFonts w:hint="eastAsia" w:ascii="宋体" w:hAnsi="宋体" w:cs="等线"/>
          <w:b/>
          <w:bCs/>
          <w:color w:val="0F1115"/>
          <w:shd w:val="clear" w:color="auto" w:fill="FFFFFF"/>
          <w:lang w:eastAsia="zh-CN"/>
        </w:rPr>
        <w:t>）</w:t>
      </w:r>
      <w:r>
        <w:rPr>
          <w:rFonts w:hint="eastAsia" w:ascii="宋体" w:hAnsi="宋体" w:cs="等线"/>
          <w:b/>
          <w:bCs/>
          <w:color w:val="0F1115"/>
          <w:shd w:val="clear" w:color="auto" w:fill="FFFFFF"/>
        </w:rPr>
        <w:t>图纸要求</w:t>
      </w:r>
      <w:r>
        <w:rPr>
          <w:rFonts w:hint="eastAsia" w:ascii="宋体" w:hAnsi="宋体" w:cs="等线"/>
          <w:color w:val="0F1115"/>
          <w:shd w:val="clear" w:color="auto" w:fill="FFFFFF"/>
        </w:rPr>
        <w:t>：建筑初步设计图纸</w:t>
      </w:r>
      <w:r>
        <w:rPr>
          <w:rFonts w:hint="eastAsia" w:ascii="宋体" w:hAnsi="宋体" w:cs="等线"/>
          <w:color w:val="0F1115"/>
          <w:shd w:val="clear" w:color="auto" w:fill="FFFFFF"/>
          <w:lang w:eastAsia="zh-CN"/>
        </w:rPr>
        <w:t>、</w:t>
      </w:r>
      <w:r>
        <w:rPr>
          <w:rFonts w:hint="eastAsia" w:ascii="宋体" w:hAnsi="宋体" w:cs="等线"/>
          <w:color w:val="0F1115"/>
          <w:shd w:val="clear" w:color="auto" w:fill="FFFFFF"/>
        </w:rPr>
        <w:t>景观初步设计图纸</w:t>
      </w:r>
      <w:r>
        <w:rPr>
          <w:rFonts w:hint="eastAsia" w:ascii="宋体" w:hAnsi="宋体" w:cs="等线"/>
          <w:color w:val="0F1115"/>
          <w:shd w:val="clear" w:color="auto" w:fill="FFFFFF"/>
          <w:lang w:eastAsia="zh-CN"/>
        </w:rPr>
        <w:t>、</w:t>
      </w:r>
      <w:r>
        <w:rPr>
          <w:rFonts w:hint="eastAsia" w:ascii="宋体" w:hAnsi="宋体" w:cs="等线"/>
          <w:color w:val="0F1115"/>
          <w:shd w:val="clear" w:color="auto" w:fill="FFFFFF"/>
        </w:rPr>
        <w:t>机电系统初步设计图纸</w:t>
      </w:r>
      <w:r>
        <w:rPr>
          <w:rFonts w:hint="eastAsia" w:ascii="宋体" w:hAnsi="宋体" w:cs="等线"/>
          <w:color w:val="0F1115"/>
          <w:shd w:val="clear" w:color="auto" w:fill="FFFFFF"/>
          <w:lang w:val="en-US" w:eastAsia="zh-CN"/>
        </w:rPr>
        <w:t>等。</w:t>
      </w:r>
    </w:p>
    <w:p w14:paraId="25B18D65">
      <w:pPr>
        <w:pStyle w:val="27"/>
        <w:widowControl/>
        <w:spacing w:beforeAutospacing="0" w:afterAutospacing="0" w:line="400" w:lineRule="exact"/>
        <w:rPr>
          <w:rFonts w:hint="eastAsia" w:ascii="宋体" w:hAnsi="宋体" w:cs="等线"/>
        </w:rPr>
      </w:pPr>
      <w:r>
        <w:rPr>
          <w:rFonts w:hint="eastAsia" w:ascii="宋体" w:hAnsi="宋体" w:cs="等线"/>
          <w:b/>
          <w:bCs/>
          <w:color w:val="0F1115"/>
          <w:shd w:val="clear" w:color="auto" w:fill="FFFFFF"/>
          <w:lang w:eastAsia="zh-CN"/>
        </w:rPr>
        <w:t>（</w:t>
      </w:r>
      <w:r>
        <w:rPr>
          <w:rFonts w:hint="eastAsia" w:ascii="宋体" w:hAnsi="宋体" w:cs="等线"/>
          <w:b/>
          <w:bCs/>
          <w:color w:val="0F1115"/>
          <w:shd w:val="clear" w:color="auto" w:fill="FFFFFF"/>
          <w:lang w:val="en-US" w:eastAsia="zh-CN"/>
        </w:rPr>
        <w:t>3</w:t>
      </w:r>
      <w:r>
        <w:rPr>
          <w:rFonts w:hint="eastAsia" w:ascii="宋体" w:hAnsi="宋体" w:cs="等线"/>
          <w:b/>
          <w:bCs/>
          <w:color w:val="0F1115"/>
          <w:shd w:val="clear" w:color="auto" w:fill="FFFFFF"/>
          <w:lang w:eastAsia="zh-CN"/>
        </w:rPr>
        <w:t>）</w:t>
      </w:r>
      <w:r>
        <w:rPr>
          <w:rFonts w:hint="eastAsia" w:ascii="宋体" w:hAnsi="宋体" w:cs="等线"/>
          <w:b/>
          <w:bCs/>
          <w:color w:val="0F1115"/>
          <w:shd w:val="clear" w:color="auto" w:fill="FFFFFF"/>
        </w:rPr>
        <w:t>材料与工艺说明书</w:t>
      </w:r>
      <w:r>
        <w:rPr>
          <w:rFonts w:hint="eastAsia" w:ascii="宋体" w:hAnsi="宋体" w:cs="等线"/>
          <w:color w:val="0F1115"/>
          <w:shd w:val="clear" w:color="auto" w:fill="FFFFFF"/>
        </w:rPr>
        <w:t>：主要材料选型、色彩方案、施工工艺要求。</w:t>
      </w:r>
    </w:p>
    <w:p w14:paraId="55BBCE5B">
      <w:pPr>
        <w:pStyle w:val="27"/>
        <w:widowControl/>
        <w:spacing w:beforeAutospacing="0" w:afterAutospacing="0" w:line="400" w:lineRule="exact"/>
        <w:rPr>
          <w:rFonts w:hint="eastAsia" w:ascii="宋体" w:hAnsi="宋体" w:cs="等线"/>
        </w:rPr>
      </w:pPr>
      <w:r>
        <w:rPr>
          <w:rFonts w:hint="eastAsia" w:ascii="宋体" w:hAnsi="宋体" w:cs="等线"/>
          <w:b/>
          <w:bCs/>
          <w:color w:val="0F1115"/>
          <w:shd w:val="clear" w:color="auto" w:fill="FFFFFF"/>
          <w:lang w:eastAsia="zh-CN"/>
        </w:rPr>
        <w:t>（</w:t>
      </w:r>
      <w:r>
        <w:rPr>
          <w:rFonts w:hint="eastAsia" w:ascii="宋体" w:hAnsi="宋体" w:cs="等线"/>
          <w:b/>
          <w:bCs/>
          <w:color w:val="0F1115"/>
          <w:shd w:val="clear" w:color="auto" w:fill="FFFFFF"/>
          <w:lang w:val="en-US" w:eastAsia="zh-CN"/>
        </w:rPr>
        <w:t>4</w:t>
      </w:r>
      <w:r>
        <w:rPr>
          <w:rFonts w:hint="eastAsia" w:ascii="宋体" w:hAnsi="宋体" w:cs="等线"/>
          <w:b/>
          <w:bCs/>
          <w:color w:val="0F1115"/>
          <w:shd w:val="clear" w:color="auto" w:fill="FFFFFF"/>
          <w:lang w:eastAsia="zh-CN"/>
        </w:rPr>
        <w:t>）</w:t>
      </w:r>
      <w:r>
        <w:rPr>
          <w:rFonts w:hint="eastAsia" w:ascii="宋体" w:hAnsi="宋体" w:cs="等线"/>
          <w:b/>
          <w:bCs/>
          <w:color w:val="0F1115"/>
          <w:shd w:val="clear" w:color="auto" w:fill="FFFFFF"/>
        </w:rPr>
        <w:t>设计概算</w:t>
      </w:r>
      <w:r>
        <w:rPr>
          <w:rFonts w:hint="eastAsia" w:ascii="宋体" w:hAnsi="宋体" w:cs="等线"/>
          <w:color w:val="0F1115"/>
          <w:shd w:val="clear" w:color="auto" w:fill="FFFFFF"/>
        </w:rPr>
        <w:t>：编制工程设计概算。</w:t>
      </w:r>
    </w:p>
    <w:p w14:paraId="32117EA8">
      <w:pPr>
        <w:pStyle w:val="27"/>
        <w:widowControl/>
        <w:spacing w:beforeAutospacing="0" w:afterAutospacing="0" w:line="400" w:lineRule="exact"/>
        <w:rPr>
          <w:rFonts w:hint="eastAsia" w:ascii="宋体" w:hAnsi="宋体" w:cs="等线"/>
        </w:rPr>
      </w:pPr>
      <w:r>
        <w:rPr>
          <w:rFonts w:hint="eastAsia" w:ascii="宋体" w:hAnsi="宋体" w:cs="等线"/>
          <w:b/>
          <w:bCs/>
          <w:color w:val="0F1115"/>
          <w:shd w:val="clear" w:color="auto" w:fill="FFFFFF"/>
          <w:lang w:eastAsia="zh-CN"/>
        </w:rPr>
        <w:t>（</w:t>
      </w:r>
      <w:r>
        <w:rPr>
          <w:rFonts w:hint="eastAsia" w:ascii="宋体" w:hAnsi="宋体" w:cs="等线"/>
          <w:b/>
          <w:bCs/>
          <w:color w:val="0F1115"/>
          <w:shd w:val="clear" w:color="auto" w:fill="FFFFFF"/>
          <w:lang w:val="en-US" w:eastAsia="zh-CN"/>
        </w:rPr>
        <w:t>5</w:t>
      </w:r>
      <w:r>
        <w:rPr>
          <w:rFonts w:hint="eastAsia" w:ascii="宋体" w:hAnsi="宋体" w:cs="等线"/>
          <w:b/>
          <w:bCs/>
          <w:color w:val="0F1115"/>
          <w:shd w:val="clear" w:color="auto" w:fill="FFFFFF"/>
          <w:lang w:eastAsia="zh-CN"/>
        </w:rPr>
        <w:t>）</w:t>
      </w:r>
      <w:r>
        <w:rPr>
          <w:rFonts w:hint="eastAsia" w:ascii="宋体" w:hAnsi="宋体" w:cs="等线"/>
          <w:b/>
          <w:bCs/>
          <w:color w:val="0F1115"/>
          <w:shd w:val="clear" w:color="auto" w:fill="FFFFFF"/>
        </w:rPr>
        <w:t>电子文件</w:t>
      </w:r>
      <w:r>
        <w:rPr>
          <w:rFonts w:hint="eastAsia" w:ascii="宋体" w:hAnsi="宋体" w:cs="等线"/>
          <w:color w:val="0F1115"/>
          <w:shd w:val="clear" w:color="auto" w:fill="FFFFFF"/>
        </w:rPr>
        <w:t>：全部成果的电子文档（含CAD及PDF格式）。</w:t>
      </w:r>
    </w:p>
    <w:p w14:paraId="2A1A5417">
      <w:pPr>
        <w:pStyle w:val="4"/>
        <w:numPr>
          <w:ilvl w:val="0"/>
          <w:numId w:val="0"/>
        </w:numPr>
        <w:spacing w:line="400" w:lineRule="exact"/>
        <w:ind w:leftChars="0"/>
        <w:rPr>
          <w:rFonts w:hint="eastAsia" w:asciiTheme="majorEastAsia" w:hAnsiTheme="majorEastAsia" w:eastAsiaTheme="majorEastAsia" w:cstheme="majorEastAsia"/>
          <w:b/>
          <w:bCs/>
        </w:rPr>
      </w:pPr>
      <w:bookmarkStart w:id="771" w:name="_Toc232703124"/>
      <w:r>
        <w:rPr>
          <w:rFonts w:hint="eastAsia" w:asciiTheme="majorEastAsia" w:hAnsiTheme="majorEastAsia" w:eastAsiaTheme="majorEastAsia" w:cstheme="majorEastAsia"/>
          <w:b/>
          <w:bCs/>
        </w:rPr>
        <w:t>3 设计服务配合要求</w:t>
      </w:r>
      <w:bookmarkEnd w:id="771"/>
    </w:p>
    <w:p w14:paraId="45149EE9">
      <w:pPr>
        <w:pStyle w:val="27"/>
        <w:widowControl/>
        <w:shd w:val="clear" w:color="auto" w:fill="FFFFFF"/>
        <w:spacing w:before="240" w:beforeAutospacing="0" w:after="240" w:afterAutospacing="0" w:line="400" w:lineRule="exact"/>
        <w:rPr>
          <w:rFonts w:hint="eastAsia" w:ascii="宋体" w:hAnsi="宋体" w:cs="等线"/>
          <w:color w:val="0F1115"/>
        </w:rPr>
      </w:pPr>
      <w:r>
        <w:rPr>
          <w:rFonts w:hint="eastAsia" w:ascii="宋体" w:hAnsi="宋体" w:cs="等线"/>
          <w:color w:val="0F1115"/>
          <w:shd w:val="clear" w:color="auto" w:fill="FFFFFF"/>
        </w:rPr>
        <w:t>（1）设计交底：向施工图单位和监理方进行图纸解读和工艺要求说明。</w:t>
      </w:r>
    </w:p>
    <w:p w14:paraId="427D3BAC">
      <w:pPr>
        <w:pStyle w:val="27"/>
        <w:widowControl/>
        <w:shd w:val="clear" w:color="auto" w:fill="FFFFFF"/>
        <w:spacing w:before="240" w:beforeAutospacing="0" w:after="240" w:afterAutospacing="0" w:line="400" w:lineRule="exact"/>
        <w:rPr>
          <w:rFonts w:hint="eastAsia" w:ascii="宋体" w:hAnsi="宋体" w:cs="等线"/>
          <w:color w:val="0F1115"/>
          <w:shd w:val="clear" w:color="auto" w:fill="FFFFFF"/>
        </w:rPr>
      </w:pPr>
      <w:r>
        <w:rPr>
          <w:rFonts w:hint="eastAsia" w:ascii="宋体" w:hAnsi="宋体" w:cs="等线"/>
          <w:color w:val="0F1115"/>
          <w:shd w:val="clear" w:color="auto" w:fill="FFFFFF"/>
        </w:rPr>
        <w:t>（2）现场服务：对材料选样、施工样板、现场效果把控等环节提供技术指导。</w:t>
      </w:r>
      <w:bookmarkStart w:id="772" w:name="_Toc232703125"/>
    </w:p>
    <w:p w14:paraId="7645196D">
      <w:pPr>
        <w:pStyle w:val="27"/>
        <w:widowControl/>
        <w:shd w:val="clear" w:color="auto" w:fill="FFFFFF"/>
        <w:spacing w:before="240" w:beforeAutospacing="0" w:after="240" w:afterAutospacing="0" w:line="400" w:lineRule="exact"/>
        <w:rPr>
          <w:rFonts w:hint="eastAsia" w:ascii="宋体" w:hAnsi="宋体" w:cs="等线"/>
          <w:color w:val="0F1115"/>
          <w:shd w:val="clear" w:color="auto" w:fill="FFFFFF"/>
        </w:rPr>
      </w:pPr>
    </w:p>
    <w:p w14:paraId="14EDFE14">
      <w:pPr>
        <w:pStyle w:val="2"/>
        <w:spacing w:line="400" w:lineRule="exact"/>
        <w:rPr>
          <w:rFonts w:hint="eastAsia" w:ascii="黑体" w:hAnsi="黑体" w:eastAsia="黑体" w:cs="黑体"/>
          <w:szCs w:val="30"/>
        </w:rPr>
      </w:pPr>
      <w:r>
        <w:rPr>
          <w:rFonts w:hint="eastAsia" w:ascii="黑体" w:hAnsi="黑体" w:eastAsia="黑体" w:cs="黑体"/>
          <w:szCs w:val="30"/>
          <w:lang w:val="en-US" w:eastAsia="zh-CN"/>
        </w:rPr>
        <w:t>七、</w:t>
      </w:r>
      <w:r>
        <w:rPr>
          <w:rFonts w:hint="eastAsia" w:ascii="黑体" w:hAnsi="黑体" w:eastAsia="黑体" w:cs="黑体"/>
          <w:szCs w:val="30"/>
        </w:rPr>
        <w:t>设计周期与成果交付</w:t>
      </w:r>
      <w:bookmarkEnd w:id="772"/>
    </w:p>
    <w:p w14:paraId="06189B9A">
      <w:pPr>
        <w:pStyle w:val="3"/>
        <w:spacing w:line="400" w:lineRule="exact"/>
        <w:rPr>
          <w:rFonts w:hint="eastAsia" w:asciiTheme="majorEastAsia" w:hAnsiTheme="majorEastAsia" w:eastAsiaTheme="majorEastAsia" w:cstheme="majorEastAsia"/>
          <w:b/>
          <w:bCs/>
          <w:kern w:val="2"/>
          <w:sz w:val="24"/>
        </w:rPr>
      </w:pPr>
      <w:bookmarkStart w:id="773" w:name="_Toc232703126"/>
      <w:r>
        <w:rPr>
          <w:rFonts w:hint="eastAsia" w:asciiTheme="majorEastAsia" w:hAnsiTheme="majorEastAsia" w:eastAsiaTheme="majorEastAsia" w:cstheme="majorEastAsia"/>
          <w:b/>
          <w:bCs/>
          <w:kern w:val="2"/>
          <w:sz w:val="24"/>
          <w:lang w:val="en-US" w:eastAsia="zh-CN"/>
        </w:rPr>
        <w:t>1</w:t>
      </w:r>
      <w:r>
        <w:rPr>
          <w:rFonts w:hint="eastAsia" w:asciiTheme="majorEastAsia" w:hAnsiTheme="majorEastAsia" w:eastAsiaTheme="majorEastAsia" w:cstheme="majorEastAsia"/>
          <w:b/>
          <w:bCs/>
          <w:kern w:val="2"/>
          <w:sz w:val="24"/>
        </w:rPr>
        <w:t xml:space="preserve"> 设计周期</w:t>
      </w:r>
      <w:bookmarkEnd w:id="773"/>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2"/>
        <w:gridCol w:w="2843"/>
        <w:gridCol w:w="2843"/>
      </w:tblGrid>
      <w:tr w14:paraId="16404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528" w:type="dxa"/>
            <w:gridSpan w:val="3"/>
            <w:shd w:val="clear" w:color="auto" w:fill="auto"/>
            <w:noWrap w:val="0"/>
            <w:vAlign w:val="center"/>
          </w:tcPr>
          <w:p w14:paraId="22DBF181">
            <w:pPr>
              <w:pStyle w:val="27"/>
              <w:widowControl/>
              <w:shd w:val="clear" w:color="auto" w:fill="FFFFFF"/>
              <w:spacing w:before="240" w:beforeAutospacing="0" w:after="240" w:afterAutospacing="0" w:line="400" w:lineRule="exact"/>
              <w:rPr>
                <w:rFonts w:hint="eastAsia" w:ascii="宋体" w:hAnsi="宋体" w:cs="等线"/>
                <w:color w:val="0F1115"/>
              </w:rPr>
            </w:pPr>
            <w:r>
              <w:rPr>
                <w:b/>
              </w:rPr>
              <w:t>韶关百年东街及周边历史街区城市更新项目</w:t>
            </w:r>
            <w:r>
              <w:rPr>
                <w:rFonts w:hint="eastAsia" w:ascii="Arial" w:hAnsi="Arial" w:eastAsia="黑体"/>
                <w:b/>
              </w:rPr>
              <w:t>（一期）</w:t>
            </w:r>
          </w:p>
        </w:tc>
      </w:tr>
      <w:tr w14:paraId="3D70C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2" w:type="dxa"/>
            <w:shd w:val="clear" w:color="auto" w:fill="auto"/>
            <w:noWrap w:val="0"/>
            <w:vAlign w:val="center"/>
          </w:tcPr>
          <w:p w14:paraId="4786DEA2">
            <w:pPr>
              <w:widowControl/>
              <w:spacing w:line="400" w:lineRule="exact"/>
              <w:jc w:val="left"/>
              <w:rPr>
                <w:rFonts w:hint="eastAsia" w:ascii="宋体" w:hAnsi="宋体" w:cs="等线"/>
              </w:rPr>
            </w:pPr>
            <w:r>
              <w:rPr>
                <w:rFonts w:hint="eastAsia" w:ascii="宋体" w:hAnsi="宋体" w:cs="等线"/>
                <w:b/>
                <w:bCs/>
                <w:color w:val="0F1115"/>
                <w:kern w:val="0"/>
                <w:sz w:val="24"/>
                <w:lang w:bidi="ar"/>
              </w:rPr>
              <w:t>阶段</w:t>
            </w:r>
          </w:p>
        </w:tc>
        <w:tc>
          <w:tcPr>
            <w:tcW w:w="2843" w:type="dxa"/>
            <w:shd w:val="clear" w:color="auto" w:fill="auto"/>
            <w:noWrap w:val="0"/>
            <w:vAlign w:val="center"/>
          </w:tcPr>
          <w:p w14:paraId="592A3F02">
            <w:pPr>
              <w:widowControl/>
              <w:spacing w:line="400" w:lineRule="exact"/>
              <w:jc w:val="left"/>
              <w:rPr>
                <w:rFonts w:hint="eastAsia" w:ascii="宋体" w:hAnsi="宋体" w:cs="等线"/>
              </w:rPr>
            </w:pPr>
            <w:r>
              <w:rPr>
                <w:rFonts w:hint="eastAsia" w:ascii="宋体" w:hAnsi="宋体" w:cs="等线"/>
                <w:b/>
                <w:bCs/>
                <w:color w:val="0F1115"/>
                <w:kern w:val="0"/>
                <w:sz w:val="24"/>
                <w:lang w:bidi="ar"/>
              </w:rPr>
              <w:t>工作内容</w:t>
            </w:r>
          </w:p>
        </w:tc>
        <w:tc>
          <w:tcPr>
            <w:tcW w:w="2843" w:type="dxa"/>
            <w:shd w:val="clear" w:color="auto" w:fill="auto"/>
            <w:noWrap w:val="0"/>
            <w:vAlign w:val="center"/>
          </w:tcPr>
          <w:p w14:paraId="10200F30">
            <w:pPr>
              <w:widowControl/>
              <w:spacing w:line="400" w:lineRule="exact"/>
              <w:jc w:val="left"/>
              <w:rPr>
                <w:rFonts w:hint="eastAsia" w:ascii="宋体" w:hAnsi="宋体" w:cs="等线"/>
              </w:rPr>
            </w:pPr>
            <w:r>
              <w:rPr>
                <w:rFonts w:hint="eastAsia" w:ascii="宋体" w:hAnsi="宋体" w:cs="等线"/>
                <w:b/>
                <w:bCs/>
                <w:color w:val="0F1115"/>
                <w:kern w:val="0"/>
                <w:sz w:val="24"/>
                <w:lang w:bidi="ar"/>
              </w:rPr>
              <w:t>周期</w:t>
            </w:r>
          </w:p>
        </w:tc>
      </w:tr>
      <w:tr w14:paraId="49B6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2" w:type="dxa"/>
            <w:shd w:val="clear" w:color="auto" w:fill="auto"/>
            <w:noWrap w:val="0"/>
            <w:vAlign w:val="center"/>
          </w:tcPr>
          <w:p w14:paraId="202F907E">
            <w:pPr>
              <w:widowControl/>
              <w:spacing w:line="400" w:lineRule="exact"/>
              <w:jc w:val="left"/>
              <w:rPr>
                <w:rFonts w:hint="eastAsia" w:ascii="宋体" w:hAnsi="宋体" w:cs="等线"/>
              </w:rPr>
            </w:pPr>
            <w:r>
              <w:rPr>
                <w:rFonts w:hint="eastAsia" w:ascii="宋体" w:hAnsi="宋体" w:cs="等线"/>
                <w:color w:val="0F1115"/>
                <w:kern w:val="0"/>
                <w:sz w:val="24"/>
                <w:lang w:bidi="ar"/>
              </w:rPr>
              <w:t>方案设计</w:t>
            </w:r>
          </w:p>
        </w:tc>
        <w:tc>
          <w:tcPr>
            <w:tcW w:w="2843" w:type="dxa"/>
            <w:shd w:val="clear" w:color="auto" w:fill="auto"/>
            <w:noWrap w:val="0"/>
            <w:vAlign w:val="center"/>
          </w:tcPr>
          <w:p w14:paraId="6B7CB545">
            <w:pPr>
              <w:widowControl/>
              <w:spacing w:line="400" w:lineRule="exact"/>
              <w:jc w:val="left"/>
              <w:rPr>
                <w:rFonts w:hint="eastAsia" w:ascii="宋体" w:hAnsi="宋体" w:cs="等线"/>
              </w:rPr>
            </w:pPr>
            <w:r>
              <w:rPr>
                <w:rFonts w:hint="eastAsia" w:ascii="宋体" w:hAnsi="宋体" w:cs="等线"/>
                <w:color w:val="0F1115"/>
                <w:kern w:val="0"/>
                <w:sz w:val="24"/>
                <w:lang w:bidi="ar"/>
              </w:rPr>
              <w:t>现场踏勘、概念方案、深化方案、成果提交</w:t>
            </w:r>
          </w:p>
        </w:tc>
        <w:tc>
          <w:tcPr>
            <w:tcW w:w="2843" w:type="dxa"/>
            <w:shd w:val="clear" w:color="auto" w:fill="auto"/>
            <w:noWrap w:val="0"/>
            <w:vAlign w:val="center"/>
          </w:tcPr>
          <w:p w14:paraId="069DADE9">
            <w:pPr>
              <w:widowControl/>
              <w:spacing w:line="400" w:lineRule="exact"/>
              <w:jc w:val="left"/>
              <w:rPr>
                <w:rFonts w:hint="eastAsia" w:ascii="宋体" w:hAnsi="宋体" w:cs="等线"/>
              </w:rPr>
            </w:pPr>
            <w:r>
              <w:rPr>
                <w:rFonts w:hint="eastAsia" w:ascii="宋体" w:hAnsi="宋体" w:cs="宋体"/>
                <w:bCs/>
                <w:color w:val="auto"/>
                <w:kern w:val="2"/>
                <w:szCs w:val="24"/>
              </w:rPr>
              <w:t>从中标通知书发出之日起10个日历天</w:t>
            </w:r>
          </w:p>
        </w:tc>
      </w:tr>
      <w:tr w14:paraId="0A26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2" w:type="dxa"/>
            <w:shd w:val="clear" w:color="auto" w:fill="auto"/>
            <w:noWrap w:val="0"/>
            <w:vAlign w:val="center"/>
          </w:tcPr>
          <w:p w14:paraId="098284D6">
            <w:pPr>
              <w:widowControl/>
              <w:spacing w:line="400" w:lineRule="exact"/>
              <w:jc w:val="left"/>
              <w:rPr>
                <w:rFonts w:hint="eastAsia" w:ascii="宋体" w:hAnsi="宋体" w:cs="等线"/>
              </w:rPr>
            </w:pPr>
            <w:r>
              <w:rPr>
                <w:rFonts w:hint="eastAsia" w:ascii="宋体" w:hAnsi="宋体" w:cs="等线"/>
                <w:color w:val="0F1115"/>
                <w:kern w:val="0"/>
                <w:sz w:val="24"/>
                <w:lang w:bidi="ar"/>
              </w:rPr>
              <w:t>方案评审</w:t>
            </w:r>
          </w:p>
        </w:tc>
        <w:tc>
          <w:tcPr>
            <w:tcW w:w="2843" w:type="dxa"/>
            <w:shd w:val="clear" w:color="auto" w:fill="auto"/>
            <w:noWrap w:val="0"/>
            <w:vAlign w:val="center"/>
          </w:tcPr>
          <w:p w14:paraId="5C254CEA">
            <w:pPr>
              <w:widowControl/>
              <w:spacing w:line="400" w:lineRule="exact"/>
              <w:jc w:val="left"/>
              <w:rPr>
                <w:rFonts w:hint="eastAsia" w:ascii="宋体" w:hAnsi="宋体" w:cs="等线"/>
              </w:rPr>
            </w:pPr>
            <w:r>
              <w:rPr>
                <w:rFonts w:hint="eastAsia" w:ascii="宋体" w:hAnsi="宋体" w:cs="等线"/>
                <w:color w:val="0F1115"/>
                <w:kern w:val="0"/>
                <w:sz w:val="24"/>
                <w:lang w:bidi="ar"/>
              </w:rPr>
              <w:t>专家评审、修改完善</w:t>
            </w:r>
          </w:p>
        </w:tc>
        <w:tc>
          <w:tcPr>
            <w:tcW w:w="2843" w:type="dxa"/>
            <w:shd w:val="clear" w:color="auto" w:fill="auto"/>
            <w:noWrap w:val="0"/>
            <w:vAlign w:val="center"/>
          </w:tcPr>
          <w:p w14:paraId="2A0AF270">
            <w:pPr>
              <w:widowControl/>
              <w:spacing w:line="400" w:lineRule="exact"/>
              <w:jc w:val="left"/>
              <w:rPr>
                <w:rFonts w:hint="eastAsia" w:ascii="宋体" w:hAnsi="宋体" w:cs="等线"/>
              </w:rPr>
            </w:pPr>
            <w:r>
              <w:rPr>
                <w:rFonts w:hint="eastAsia" w:ascii="宋体" w:hAnsi="宋体" w:cs="等线"/>
                <w:color w:val="0F1115"/>
                <w:kern w:val="0"/>
                <w:sz w:val="24"/>
                <w:lang w:bidi="ar"/>
              </w:rPr>
              <w:t>视评审安排</w:t>
            </w:r>
          </w:p>
        </w:tc>
      </w:tr>
      <w:tr w14:paraId="20C8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2" w:type="dxa"/>
            <w:shd w:val="clear" w:color="auto" w:fill="auto"/>
            <w:noWrap w:val="0"/>
            <w:vAlign w:val="center"/>
          </w:tcPr>
          <w:p w14:paraId="52585471">
            <w:pPr>
              <w:widowControl/>
              <w:spacing w:line="400" w:lineRule="exact"/>
              <w:jc w:val="left"/>
              <w:rPr>
                <w:rFonts w:hint="eastAsia" w:ascii="宋体" w:hAnsi="宋体" w:cs="等线"/>
              </w:rPr>
            </w:pPr>
            <w:r>
              <w:rPr>
                <w:rFonts w:hint="eastAsia" w:ascii="宋体" w:hAnsi="宋体" w:cs="等线"/>
                <w:color w:val="0F1115"/>
                <w:kern w:val="0"/>
                <w:sz w:val="24"/>
                <w:lang w:bidi="ar"/>
              </w:rPr>
              <w:t>初步设计</w:t>
            </w:r>
          </w:p>
        </w:tc>
        <w:tc>
          <w:tcPr>
            <w:tcW w:w="2843" w:type="dxa"/>
            <w:shd w:val="clear" w:color="auto" w:fill="auto"/>
            <w:noWrap w:val="0"/>
            <w:vAlign w:val="center"/>
          </w:tcPr>
          <w:p w14:paraId="4846D3D2">
            <w:pPr>
              <w:widowControl/>
              <w:spacing w:line="400" w:lineRule="exact"/>
              <w:jc w:val="left"/>
              <w:rPr>
                <w:rFonts w:hint="eastAsia" w:ascii="宋体" w:hAnsi="宋体" w:cs="等线"/>
              </w:rPr>
            </w:pPr>
            <w:r>
              <w:rPr>
                <w:rFonts w:hint="eastAsia" w:ascii="宋体" w:hAnsi="宋体" w:cs="等线"/>
                <w:color w:val="0F1115"/>
                <w:kern w:val="0"/>
                <w:sz w:val="24"/>
                <w:lang w:bidi="ar"/>
              </w:rPr>
              <w:t>各专业初步设计、概算编制</w:t>
            </w:r>
          </w:p>
        </w:tc>
        <w:tc>
          <w:tcPr>
            <w:tcW w:w="2843" w:type="dxa"/>
            <w:shd w:val="clear" w:color="auto" w:fill="auto"/>
            <w:noWrap w:val="0"/>
            <w:vAlign w:val="center"/>
          </w:tcPr>
          <w:p w14:paraId="4886BE8A">
            <w:pPr>
              <w:widowControl/>
              <w:spacing w:line="400" w:lineRule="exact"/>
              <w:jc w:val="left"/>
              <w:rPr>
                <w:rFonts w:hint="eastAsia" w:ascii="宋体" w:hAnsi="宋体" w:cs="等线"/>
              </w:rPr>
            </w:pPr>
            <w:r>
              <w:rPr>
                <w:rFonts w:hint="eastAsia" w:ascii="宋体" w:hAnsi="宋体" w:cs="等线"/>
                <w:color w:val="0F1115"/>
                <w:kern w:val="0"/>
                <w:sz w:val="24"/>
                <w:lang w:bidi="ar"/>
              </w:rPr>
              <w:t>方案审批后</w:t>
            </w:r>
            <w:r>
              <w:rPr>
                <w:rFonts w:hint="eastAsia" w:cs="等线"/>
                <w:color w:val="0F1115"/>
                <w:kern w:val="0"/>
                <w:sz w:val="24"/>
                <w:lang w:val="en-US" w:eastAsia="zh-CN" w:bidi="ar"/>
              </w:rPr>
              <w:t>1</w:t>
            </w:r>
            <w:r>
              <w:rPr>
                <w:rFonts w:hint="eastAsia" w:ascii="宋体" w:hAnsi="宋体" w:cs="等线"/>
                <w:color w:val="0F1115"/>
                <w:kern w:val="0"/>
                <w:sz w:val="24"/>
                <w:lang w:bidi="ar"/>
              </w:rPr>
              <w:t>5自然日</w:t>
            </w:r>
          </w:p>
        </w:tc>
      </w:tr>
    </w:tbl>
    <w:p w14:paraId="31EE8211">
      <w:pPr>
        <w:spacing w:line="400" w:lineRule="exact"/>
        <w:rPr>
          <w:rFonts w:hint="eastAsia" w:ascii="宋体" w:hAnsi="宋体" w:cs="等线"/>
        </w:rPr>
      </w:pPr>
    </w:p>
    <w:p w14:paraId="2175DA73">
      <w:pPr>
        <w:pStyle w:val="3"/>
        <w:spacing w:line="400" w:lineRule="exact"/>
        <w:rPr>
          <w:rFonts w:hint="eastAsia" w:asciiTheme="majorEastAsia" w:hAnsiTheme="majorEastAsia" w:eastAsiaTheme="majorEastAsia" w:cstheme="majorEastAsia"/>
          <w:b/>
          <w:bCs/>
          <w:kern w:val="2"/>
          <w:sz w:val="24"/>
        </w:rPr>
      </w:pPr>
      <w:bookmarkStart w:id="774" w:name="_Toc232703127"/>
      <w:r>
        <w:rPr>
          <w:rFonts w:hint="eastAsia" w:asciiTheme="majorEastAsia" w:hAnsiTheme="majorEastAsia" w:eastAsiaTheme="majorEastAsia" w:cstheme="majorEastAsia"/>
          <w:b/>
          <w:bCs/>
          <w:kern w:val="2"/>
          <w:sz w:val="24"/>
          <w:lang w:val="en-US" w:eastAsia="zh-CN"/>
        </w:rPr>
        <w:t>2</w:t>
      </w:r>
      <w:r>
        <w:rPr>
          <w:rFonts w:hint="eastAsia" w:asciiTheme="majorEastAsia" w:hAnsiTheme="majorEastAsia" w:eastAsiaTheme="majorEastAsia" w:cstheme="majorEastAsia"/>
          <w:b/>
          <w:bCs/>
          <w:kern w:val="2"/>
          <w:sz w:val="24"/>
        </w:rPr>
        <w:t xml:space="preserve"> 成果交付</w:t>
      </w:r>
      <w:bookmarkEnd w:id="774"/>
    </w:p>
    <w:p w14:paraId="6B74B8D8">
      <w:pPr>
        <w:pStyle w:val="27"/>
        <w:widowControl/>
        <w:shd w:val="clear" w:color="auto" w:fill="FFFFFF"/>
        <w:spacing w:before="240" w:beforeAutospacing="0" w:after="240" w:afterAutospacing="0" w:line="400" w:lineRule="exact"/>
        <w:ind w:firstLine="480" w:firstLineChars="200"/>
        <w:rPr>
          <w:rFonts w:hint="eastAsia" w:ascii="宋体" w:hAnsi="宋体" w:cs="等线"/>
          <w:color w:val="0F1115"/>
        </w:rPr>
      </w:pPr>
      <w:r>
        <w:rPr>
          <w:rFonts w:hint="eastAsia" w:ascii="宋体" w:hAnsi="宋体" w:cs="等线"/>
          <w:color w:val="0F1115"/>
          <w:shd w:val="clear" w:color="auto" w:fill="FFFFFF"/>
        </w:rPr>
        <w:t>各阶段成果须提交纸质文件（按招标文件要求份数）及电子文件（U盘或光盘），电子文件格式要求：文本为PDF及可编辑格式，图纸为DWG及PDF格式，效果图为JPG格式（分辨率不低于300dpi）。</w:t>
      </w:r>
    </w:p>
    <w:p w14:paraId="14571799">
      <w:pPr>
        <w:pStyle w:val="2"/>
        <w:spacing w:line="400" w:lineRule="exact"/>
        <w:rPr>
          <w:rFonts w:hint="eastAsia" w:ascii="宋体" w:hAnsi="宋体" w:cs="等线"/>
          <w:sz w:val="24"/>
        </w:rPr>
      </w:pPr>
      <w:bookmarkStart w:id="775" w:name="_Toc232703129"/>
    </w:p>
    <w:p w14:paraId="1AF6FE7F">
      <w:pPr>
        <w:pStyle w:val="2"/>
        <w:spacing w:line="400" w:lineRule="exact"/>
        <w:rPr>
          <w:rFonts w:hint="eastAsia" w:ascii="黑体" w:hAnsi="黑体" w:eastAsia="黑体" w:cs="黑体"/>
          <w:szCs w:val="30"/>
        </w:rPr>
      </w:pPr>
      <w:r>
        <w:rPr>
          <w:rFonts w:hint="eastAsia" w:ascii="黑体" w:hAnsi="黑体" w:eastAsia="黑体" w:cs="黑体"/>
          <w:szCs w:val="30"/>
          <w:lang w:val="en-US" w:eastAsia="zh-CN"/>
        </w:rPr>
        <w:t>八、</w:t>
      </w:r>
      <w:r>
        <w:rPr>
          <w:rFonts w:hint="eastAsia" w:ascii="黑体" w:hAnsi="黑体" w:eastAsia="黑体" w:cs="黑体"/>
          <w:szCs w:val="30"/>
        </w:rPr>
        <w:t>附则</w:t>
      </w:r>
      <w:bookmarkEnd w:id="775"/>
    </w:p>
    <w:p w14:paraId="317F88C5">
      <w:pPr>
        <w:pStyle w:val="27"/>
        <w:widowControl/>
        <w:numPr>
          <w:ilvl w:val="0"/>
          <w:numId w:val="0"/>
        </w:numPr>
        <w:spacing w:beforeAutospacing="0" w:afterAutospacing="0" w:line="400" w:lineRule="exact"/>
        <w:ind w:left="425" w:hanging="425"/>
        <w:rPr>
          <w:rFonts w:hint="eastAsia" w:ascii="宋体" w:hAnsi="宋体" w:cs="等线"/>
        </w:rPr>
      </w:pPr>
      <w:r>
        <w:rPr>
          <w:rFonts w:hint="default" w:ascii="宋体" w:hAnsi="宋体" w:eastAsia="宋体" w:cs="等线"/>
          <w:color w:val="000000"/>
          <w:sz w:val="24"/>
          <w:szCs w:val="24"/>
          <w:lang w:val="en-US" w:eastAsia="zh-CN" w:bidi="ar-SA"/>
        </w:rPr>
        <w:t>1.</w:t>
      </w:r>
      <w:r>
        <w:rPr>
          <w:rFonts w:hint="eastAsia" w:ascii="宋体" w:hAnsi="宋体" w:cs="等线"/>
          <w:color w:val="0F1115"/>
          <w:shd w:val="clear" w:color="auto" w:fill="FFFFFF"/>
        </w:rPr>
        <w:t>本任务书是本次招标的有效组成部分，与招标文件具有同等法律效力。</w:t>
      </w:r>
    </w:p>
    <w:p w14:paraId="5B595BF4">
      <w:pPr>
        <w:pStyle w:val="27"/>
        <w:widowControl/>
        <w:numPr>
          <w:ilvl w:val="0"/>
          <w:numId w:val="0"/>
        </w:numPr>
        <w:spacing w:beforeAutospacing="0" w:afterAutospacing="0" w:line="400" w:lineRule="exact"/>
        <w:ind w:left="425" w:hanging="425"/>
        <w:rPr>
          <w:rFonts w:hint="eastAsia" w:ascii="宋体" w:hAnsi="宋体" w:cs="等线"/>
        </w:rPr>
      </w:pPr>
      <w:r>
        <w:rPr>
          <w:rFonts w:hint="default" w:ascii="宋体" w:hAnsi="宋体" w:eastAsia="宋体" w:cs="等线"/>
          <w:color w:val="000000"/>
          <w:sz w:val="24"/>
          <w:szCs w:val="24"/>
          <w:lang w:val="en-US" w:eastAsia="zh-CN" w:bidi="ar-SA"/>
        </w:rPr>
        <w:t>2.</w:t>
      </w:r>
      <w:r>
        <w:rPr>
          <w:rFonts w:hint="eastAsia" w:ascii="宋体" w:hAnsi="宋体" w:cs="等线"/>
          <w:color w:val="0F1115"/>
          <w:shd w:val="clear" w:color="auto" w:fill="FFFFFF"/>
        </w:rPr>
        <w:t>投标人须在投标文件中逐条响应本任务书各项要求，提出具体可行的设计方案和技术路线。</w:t>
      </w:r>
    </w:p>
    <w:p w14:paraId="428209D8">
      <w:pPr>
        <w:pStyle w:val="27"/>
        <w:widowControl/>
        <w:numPr>
          <w:ilvl w:val="0"/>
          <w:numId w:val="0"/>
        </w:numPr>
        <w:spacing w:beforeAutospacing="0" w:afterAutospacing="0" w:line="400" w:lineRule="exact"/>
        <w:ind w:left="425" w:hanging="425"/>
        <w:rPr>
          <w:rFonts w:hint="eastAsia" w:ascii="宋体" w:hAnsi="宋体" w:cs="等线"/>
        </w:rPr>
      </w:pPr>
      <w:r>
        <w:rPr>
          <w:rFonts w:hint="default" w:ascii="宋体" w:hAnsi="宋体" w:eastAsia="宋体" w:cs="等线"/>
          <w:color w:val="000000"/>
          <w:sz w:val="24"/>
          <w:szCs w:val="24"/>
          <w:lang w:val="en-US" w:eastAsia="zh-CN" w:bidi="ar-SA"/>
        </w:rPr>
        <w:t>3.</w:t>
      </w:r>
      <w:r>
        <w:rPr>
          <w:rFonts w:hint="eastAsia" w:ascii="宋体" w:hAnsi="宋体" w:cs="等线"/>
          <w:color w:val="0F1115"/>
          <w:shd w:val="clear" w:color="auto" w:fill="FFFFFF"/>
        </w:rPr>
        <w:t>设计成果的知识产权归招标人所有，中标设计单位须配合后续施工图设计单位进行技术对接。</w:t>
      </w:r>
    </w:p>
    <w:p w14:paraId="1D6AFBF1">
      <w:pPr>
        <w:pStyle w:val="27"/>
        <w:widowControl/>
        <w:numPr>
          <w:ilvl w:val="0"/>
          <w:numId w:val="0"/>
        </w:numPr>
        <w:spacing w:beforeAutospacing="0" w:afterAutospacing="0" w:line="400" w:lineRule="exact"/>
        <w:ind w:left="425" w:hanging="425"/>
        <w:rPr>
          <w:rFonts w:hint="eastAsia" w:ascii="宋体" w:hAnsi="宋体" w:cs="等线"/>
        </w:rPr>
      </w:pPr>
      <w:r>
        <w:rPr>
          <w:rFonts w:hint="default" w:ascii="宋体" w:hAnsi="宋体" w:eastAsia="宋体" w:cs="等线"/>
          <w:color w:val="000000"/>
          <w:sz w:val="24"/>
          <w:szCs w:val="24"/>
          <w:lang w:val="en-US" w:eastAsia="zh-CN" w:bidi="ar-SA"/>
        </w:rPr>
        <w:t>4.</w:t>
      </w:r>
      <w:r>
        <w:rPr>
          <w:rFonts w:hint="eastAsia" w:ascii="宋体" w:hAnsi="宋体" w:cs="等线"/>
          <w:color w:val="0F1115"/>
          <w:shd w:val="clear" w:color="auto" w:fill="FFFFFF"/>
        </w:rPr>
        <w:t>本任务书未尽事宜，以招标文件及补充通知为准。</w:t>
      </w:r>
    </w:p>
    <w:p w14:paraId="1BD74E98">
      <w:pPr>
        <w:rPr>
          <w:rFonts w:hint="eastAsia" w:ascii="宋体" w:hAnsi="宋体" w:cs="等线"/>
          <w:sz w:val="24"/>
          <w:szCs w:val="32"/>
        </w:rPr>
      </w:pPr>
    </w:p>
    <w:p w14:paraId="4F987463">
      <w:pPr>
        <w:rPr>
          <w:b/>
          <w:bCs/>
        </w:rPr>
      </w:pPr>
    </w:p>
    <w:sectPr>
      <w:headerReference r:id="rId15" w:type="default"/>
      <w:footerReference r:id="rId16" w:type="default"/>
      <w:endnotePr>
        <w:numFmt w:val="decimal"/>
      </w:endnotePr>
      <w:pgSz w:w="11907" w:h="16840"/>
      <w:pgMar w:top="1134" w:right="1417" w:bottom="1021" w:left="1418" w:header="567" w:footer="510" w:gutter="0"/>
      <w:cols w:space="720" w:num="1"/>
      <w:docGrid w:type="lines"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
    <w:altName w:val="微软雅黑"/>
    <w:panose1 w:val="020B0604020202020204"/>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Bodoni MT">
    <w:panose1 w:val="02070603080606020203"/>
    <w:charset w:val="00"/>
    <w:family w:val="roman"/>
    <w:pitch w:val="default"/>
    <w:sig w:usb0="00000003" w:usb1="00000000" w:usb2="00000000" w:usb3="00000000" w:csb0="200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TimesNewRomanPSMT">
    <w:altName w:val="Times New Roman"/>
    <w:panose1 w:val="020B0604020202020204"/>
    <w:charset w:val="00"/>
    <w:family w:val="roman"/>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48280">
    <w:pPr>
      <w:pStyle w:val="165"/>
      <w:tabs>
        <w:tab w:val="left" w:pos="4803"/>
        <w:tab w:val="clear" w:pos="4153"/>
      </w:tabs>
    </w:pPr>
    <w:r>
      <w:rPr>
        <w:rFonts w:hint="eastAsia"/>
      </w:rPr>
      <w:tab/>
    </w:r>
  </w:p>
  <w:p w14:paraId="149F1802">
    <w:pPr>
      <w:pStyle w:val="16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A0942">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F2552">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590BD">
    <w:pPr>
      <w:pStyle w:val="165"/>
      <w:tabs>
        <w:tab w:val="left" w:pos="4803"/>
        <w:tab w:val="clear" w:pos="4153"/>
      </w:tabs>
    </w:pPr>
    <w:r>
      <w:rPr>
        <w:rFonts w:hint="eastAsia"/>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76535">
    <w:pPr>
      <w:pStyle w:val="165"/>
      <w:tabs>
        <w:tab w:val="left" w:pos="4803"/>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CA5A40">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5CA5A40">
                    <w:pPr>
                      <w:pStyle w:val="2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645F7">
    <w:pPr>
      <w:pStyle w:val="2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E3797B">
                          <w:pPr>
                            <w:pStyle w:val="20"/>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58E3797B">
                    <w:pPr>
                      <w:pStyle w:val="20"/>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14C31">
    <w:pPr>
      <w:pStyle w:val="20"/>
      <w:framePr w:wrap="around" w:vAnchor="text" w:hAnchor="margin" w:xAlign="right" w:y="1"/>
      <w:rPr>
        <w:rStyle w:val="35"/>
      </w:rPr>
    </w:pPr>
  </w:p>
  <w:p w14:paraId="0F13562B">
    <w:pPr>
      <w:pStyle w:val="20"/>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B7B4D">
    <w:pPr>
      <w:pStyle w:val="20"/>
      <w:framePr w:wrap="around" w:vAnchor="text" w:hAnchor="margin" w:xAlign="right" w:y="1"/>
      <w:rPr>
        <w:rStyle w:val="35"/>
      </w:rPr>
    </w:pPr>
    <w:r>
      <w:fldChar w:fldCharType="begin"/>
    </w:r>
    <w:r>
      <w:rPr>
        <w:rStyle w:val="35"/>
      </w:rPr>
      <w:instrText xml:space="preserve">PAGE  </w:instrText>
    </w:r>
    <w:r>
      <w:fldChar w:fldCharType="separate"/>
    </w:r>
    <w:r>
      <w:fldChar w:fldCharType="end"/>
    </w:r>
  </w:p>
  <w:p w14:paraId="63D4126F">
    <w:pPr>
      <w:pStyle w:val="20"/>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98E72">
    <w:pPr>
      <w:pStyle w:val="16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1C6150">
                          <w:pPr>
                            <w:pStyle w:val="2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201C6150">
                    <w:pPr>
                      <w:pStyle w:val="2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21D2E">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B29F5">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4855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6608D">
    <w:pPr>
      <w:pStyle w:val="21"/>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143BA">
    <w:pPr>
      <w:ind w:firstLine="180" w:firstLineChars="100"/>
      <w:rPr>
        <w:rFonts w:ascii="黑体" w:hAnsi="黑体" w:eastAsia="黑体"/>
        <w:sz w:val="18"/>
        <w:szCs w:val="18"/>
        <w:u w:val="doub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EC99CC"/>
    <w:multiLevelType w:val="singleLevel"/>
    <w:tmpl w:val="91EC99CC"/>
    <w:lvl w:ilvl="0" w:tentative="0">
      <w:start w:val="1"/>
      <w:numFmt w:val="decimal"/>
      <w:lvlText w:val="%1"/>
      <w:lvlJc w:val="left"/>
      <w:pPr>
        <w:tabs>
          <w:tab w:val="left" w:pos="420"/>
        </w:tabs>
        <w:ind w:left="845" w:hanging="425"/>
      </w:pPr>
      <w:rPr>
        <w:rFonts w:hint="default"/>
      </w:rPr>
    </w:lvl>
  </w:abstractNum>
  <w:abstractNum w:abstractNumId="1">
    <w:nsid w:val="34082FA6"/>
    <w:multiLevelType w:val="singleLevel"/>
    <w:tmpl w:val="34082FA6"/>
    <w:lvl w:ilvl="0" w:tentative="0">
      <w:start w:val="1"/>
      <w:numFmt w:val="decimal"/>
      <w:suff w:val="nothing"/>
      <w:lvlText w:val="（%1）"/>
      <w:lvlJc w:val="left"/>
    </w:lvl>
  </w:abstractNum>
  <w:abstractNum w:abstractNumId="2">
    <w:nsid w:val="453CA500"/>
    <w:multiLevelType w:val="singleLevel"/>
    <w:tmpl w:val="453CA500"/>
    <w:lvl w:ilvl="0" w:tentative="0">
      <w:start w:val="3"/>
      <w:numFmt w:val="decimal"/>
      <w:suff w:val="nothing"/>
      <w:lvlText w:val="（%1）"/>
      <w:lvlJc w:val="left"/>
    </w:lvl>
  </w:abstractNum>
  <w:abstractNum w:abstractNumId="3">
    <w:nsid w:val="67BA2C3C"/>
    <w:multiLevelType w:val="singleLevel"/>
    <w:tmpl w:val="67BA2C3C"/>
    <w:lvl w:ilvl="0" w:tentative="0">
      <w:start w:val="1"/>
      <w:numFmt w:val="decimal"/>
      <w:suff w:val="nothing"/>
      <w:lvlText w:val="（%1）"/>
      <w:lvlJc w:val="left"/>
    </w:lvl>
  </w:abstractNum>
  <w:abstractNum w:abstractNumId="4">
    <w:nsid w:val="7FBA69E5"/>
    <w:multiLevelType w:val="singleLevel"/>
    <w:tmpl w:val="7FBA69E5"/>
    <w:lvl w:ilvl="0" w:tentative="0">
      <w:start w:val="1"/>
      <w:numFmt w:val="chineseCounting"/>
      <w:suff w:val="space"/>
      <w:lvlText w:val="第%1章"/>
      <w:lvlJc w:val="left"/>
      <w:rPr>
        <w:rFonts w:hint="eastAsia"/>
      </w:rPr>
    </w:lvl>
  </w:abstractNum>
  <w:num w:numId="1">
    <w:abstractNumId w:val="4"/>
  </w:num>
  <w:num w:numId="2">
    <w:abstractNumId w:val="0"/>
  </w:num>
  <w:num w:numId="3">
    <w:abstractNumId w:val="2"/>
  </w:num>
  <w:num w:numId="4">
    <w:abstractNumId w:val="1"/>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my">
    <w15:presenceInfo w15:providerId="None" w15:userId="wm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0NmNlNDIyZjU2Njc0NzZkODY5YzYzZTNiNmZhMTgifQ=="/>
  </w:docVars>
  <w:rsids>
    <w:rsidRoot w:val="00172A27"/>
    <w:rsid w:val="00004C1E"/>
    <w:rsid w:val="0001416E"/>
    <w:rsid w:val="00042DCD"/>
    <w:rsid w:val="00051AB0"/>
    <w:rsid w:val="000523A7"/>
    <w:rsid w:val="00066189"/>
    <w:rsid w:val="00074F96"/>
    <w:rsid w:val="00076560"/>
    <w:rsid w:val="000774C1"/>
    <w:rsid w:val="0009019A"/>
    <w:rsid w:val="000A3645"/>
    <w:rsid w:val="000B2698"/>
    <w:rsid w:val="000D0840"/>
    <w:rsid w:val="000D7C2B"/>
    <w:rsid w:val="000E7052"/>
    <w:rsid w:val="00132996"/>
    <w:rsid w:val="00141541"/>
    <w:rsid w:val="00151F3A"/>
    <w:rsid w:val="00160160"/>
    <w:rsid w:val="001662D8"/>
    <w:rsid w:val="00172A27"/>
    <w:rsid w:val="00172E20"/>
    <w:rsid w:val="00175D22"/>
    <w:rsid w:val="001F06C8"/>
    <w:rsid w:val="0022210A"/>
    <w:rsid w:val="00255F86"/>
    <w:rsid w:val="00267D94"/>
    <w:rsid w:val="00282562"/>
    <w:rsid w:val="002A3BA0"/>
    <w:rsid w:val="002B2344"/>
    <w:rsid w:val="002B2634"/>
    <w:rsid w:val="002D04A0"/>
    <w:rsid w:val="002D191D"/>
    <w:rsid w:val="002F2124"/>
    <w:rsid w:val="00314625"/>
    <w:rsid w:val="0033101D"/>
    <w:rsid w:val="00346A76"/>
    <w:rsid w:val="003546B3"/>
    <w:rsid w:val="00375C50"/>
    <w:rsid w:val="003E6228"/>
    <w:rsid w:val="0040241B"/>
    <w:rsid w:val="00405366"/>
    <w:rsid w:val="004073D1"/>
    <w:rsid w:val="00447048"/>
    <w:rsid w:val="00462D19"/>
    <w:rsid w:val="0047713B"/>
    <w:rsid w:val="00484839"/>
    <w:rsid w:val="004A13CA"/>
    <w:rsid w:val="004D2FEA"/>
    <w:rsid w:val="004F73B1"/>
    <w:rsid w:val="004F7BA3"/>
    <w:rsid w:val="00502357"/>
    <w:rsid w:val="005310B8"/>
    <w:rsid w:val="00555D81"/>
    <w:rsid w:val="00565FB6"/>
    <w:rsid w:val="00570B87"/>
    <w:rsid w:val="00575ED2"/>
    <w:rsid w:val="005B72DA"/>
    <w:rsid w:val="005C6631"/>
    <w:rsid w:val="005E758E"/>
    <w:rsid w:val="00661F74"/>
    <w:rsid w:val="00686423"/>
    <w:rsid w:val="006C1BFF"/>
    <w:rsid w:val="007121EB"/>
    <w:rsid w:val="007220D6"/>
    <w:rsid w:val="007347FB"/>
    <w:rsid w:val="007622F6"/>
    <w:rsid w:val="00765A17"/>
    <w:rsid w:val="00771651"/>
    <w:rsid w:val="00776002"/>
    <w:rsid w:val="00782582"/>
    <w:rsid w:val="00793832"/>
    <w:rsid w:val="0079673B"/>
    <w:rsid w:val="007A7D4A"/>
    <w:rsid w:val="007C2268"/>
    <w:rsid w:val="007C2F6D"/>
    <w:rsid w:val="007C6A47"/>
    <w:rsid w:val="007E10E2"/>
    <w:rsid w:val="00804573"/>
    <w:rsid w:val="00804D3E"/>
    <w:rsid w:val="00812B1A"/>
    <w:rsid w:val="008137AD"/>
    <w:rsid w:val="00865513"/>
    <w:rsid w:val="00897140"/>
    <w:rsid w:val="008B023C"/>
    <w:rsid w:val="008B7306"/>
    <w:rsid w:val="008C5A04"/>
    <w:rsid w:val="008D32BE"/>
    <w:rsid w:val="008E2B5B"/>
    <w:rsid w:val="0091327D"/>
    <w:rsid w:val="009578DC"/>
    <w:rsid w:val="00957BB5"/>
    <w:rsid w:val="009730CF"/>
    <w:rsid w:val="00995101"/>
    <w:rsid w:val="0099511B"/>
    <w:rsid w:val="00997E13"/>
    <w:rsid w:val="009A33FE"/>
    <w:rsid w:val="009A4A91"/>
    <w:rsid w:val="009B6525"/>
    <w:rsid w:val="009C6AEA"/>
    <w:rsid w:val="00A13809"/>
    <w:rsid w:val="00A1751A"/>
    <w:rsid w:val="00A34440"/>
    <w:rsid w:val="00A36AC5"/>
    <w:rsid w:val="00A37B0F"/>
    <w:rsid w:val="00A42FA2"/>
    <w:rsid w:val="00A61251"/>
    <w:rsid w:val="00A643D2"/>
    <w:rsid w:val="00A74F4C"/>
    <w:rsid w:val="00A75A7B"/>
    <w:rsid w:val="00A808F7"/>
    <w:rsid w:val="00AC7622"/>
    <w:rsid w:val="00AD62B7"/>
    <w:rsid w:val="00AE3DF4"/>
    <w:rsid w:val="00B14545"/>
    <w:rsid w:val="00B15D82"/>
    <w:rsid w:val="00B2019D"/>
    <w:rsid w:val="00B77CAE"/>
    <w:rsid w:val="00BC35EC"/>
    <w:rsid w:val="00BC480E"/>
    <w:rsid w:val="00BC77E3"/>
    <w:rsid w:val="00BD2D7B"/>
    <w:rsid w:val="00BE4350"/>
    <w:rsid w:val="00C13A40"/>
    <w:rsid w:val="00C36039"/>
    <w:rsid w:val="00C44682"/>
    <w:rsid w:val="00C51DD1"/>
    <w:rsid w:val="00C60D35"/>
    <w:rsid w:val="00C71F41"/>
    <w:rsid w:val="00CB59F6"/>
    <w:rsid w:val="00CB6E8D"/>
    <w:rsid w:val="00D106D6"/>
    <w:rsid w:val="00D36BD5"/>
    <w:rsid w:val="00D54CFD"/>
    <w:rsid w:val="00D66803"/>
    <w:rsid w:val="00D7464F"/>
    <w:rsid w:val="00D84002"/>
    <w:rsid w:val="00DB5FB8"/>
    <w:rsid w:val="00DD0177"/>
    <w:rsid w:val="00DF0272"/>
    <w:rsid w:val="00E024FC"/>
    <w:rsid w:val="00E11A3D"/>
    <w:rsid w:val="00E54F01"/>
    <w:rsid w:val="00E62D58"/>
    <w:rsid w:val="00E85F13"/>
    <w:rsid w:val="00EB1059"/>
    <w:rsid w:val="00EE19DA"/>
    <w:rsid w:val="00F15A44"/>
    <w:rsid w:val="00F23104"/>
    <w:rsid w:val="00F27DFC"/>
    <w:rsid w:val="00F4084F"/>
    <w:rsid w:val="00F67605"/>
    <w:rsid w:val="00F72893"/>
    <w:rsid w:val="00FD6675"/>
    <w:rsid w:val="00FF3264"/>
    <w:rsid w:val="00FF3DA9"/>
    <w:rsid w:val="01080A12"/>
    <w:rsid w:val="01170240"/>
    <w:rsid w:val="01255120"/>
    <w:rsid w:val="012A2737"/>
    <w:rsid w:val="01453A14"/>
    <w:rsid w:val="01527F19"/>
    <w:rsid w:val="016814B1"/>
    <w:rsid w:val="01747E56"/>
    <w:rsid w:val="01B844E4"/>
    <w:rsid w:val="01D84888"/>
    <w:rsid w:val="0212037A"/>
    <w:rsid w:val="021420B8"/>
    <w:rsid w:val="02157F19"/>
    <w:rsid w:val="021B4775"/>
    <w:rsid w:val="02247ACE"/>
    <w:rsid w:val="023312EE"/>
    <w:rsid w:val="023575E5"/>
    <w:rsid w:val="023E33CF"/>
    <w:rsid w:val="025B329E"/>
    <w:rsid w:val="027B5929"/>
    <w:rsid w:val="027F7A07"/>
    <w:rsid w:val="02867E41"/>
    <w:rsid w:val="02B848A6"/>
    <w:rsid w:val="02BE039D"/>
    <w:rsid w:val="02BE582C"/>
    <w:rsid w:val="02CB3DF1"/>
    <w:rsid w:val="02DA4630"/>
    <w:rsid w:val="02E14F39"/>
    <w:rsid w:val="02EC0AEB"/>
    <w:rsid w:val="02ED57A3"/>
    <w:rsid w:val="030516AD"/>
    <w:rsid w:val="030C6FE8"/>
    <w:rsid w:val="030F45AE"/>
    <w:rsid w:val="037763C7"/>
    <w:rsid w:val="037E3877"/>
    <w:rsid w:val="038A7E04"/>
    <w:rsid w:val="0390197C"/>
    <w:rsid w:val="03A070B1"/>
    <w:rsid w:val="03D64DF8"/>
    <w:rsid w:val="03E60120"/>
    <w:rsid w:val="03FE66E9"/>
    <w:rsid w:val="04021749"/>
    <w:rsid w:val="04560BD4"/>
    <w:rsid w:val="0459271B"/>
    <w:rsid w:val="046643CE"/>
    <w:rsid w:val="049F2E96"/>
    <w:rsid w:val="04A10531"/>
    <w:rsid w:val="04A320AD"/>
    <w:rsid w:val="04C609C8"/>
    <w:rsid w:val="04D44C86"/>
    <w:rsid w:val="04D575B0"/>
    <w:rsid w:val="04D60752"/>
    <w:rsid w:val="04E031C7"/>
    <w:rsid w:val="04E34865"/>
    <w:rsid w:val="04F25C61"/>
    <w:rsid w:val="05005F4F"/>
    <w:rsid w:val="05026B36"/>
    <w:rsid w:val="052878D5"/>
    <w:rsid w:val="052D0291"/>
    <w:rsid w:val="053F0C01"/>
    <w:rsid w:val="05411228"/>
    <w:rsid w:val="055406CA"/>
    <w:rsid w:val="055E6E53"/>
    <w:rsid w:val="05603661"/>
    <w:rsid w:val="05637988"/>
    <w:rsid w:val="057A0FAE"/>
    <w:rsid w:val="057A1AE4"/>
    <w:rsid w:val="05A703DF"/>
    <w:rsid w:val="05D54C27"/>
    <w:rsid w:val="05E15326"/>
    <w:rsid w:val="05F36C33"/>
    <w:rsid w:val="060C567F"/>
    <w:rsid w:val="061B5171"/>
    <w:rsid w:val="064A5629"/>
    <w:rsid w:val="064C1193"/>
    <w:rsid w:val="064D52BF"/>
    <w:rsid w:val="0653122C"/>
    <w:rsid w:val="06B156A8"/>
    <w:rsid w:val="06CE3AE3"/>
    <w:rsid w:val="06D3561E"/>
    <w:rsid w:val="06D8197C"/>
    <w:rsid w:val="06E51A3D"/>
    <w:rsid w:val="06EB0BBA"/>
    <w:rsid w:val="06EC66E0"/>
    <w:rsid w:val="070752C8"/>
    <w:rsid w:val="07126227"/>
    <w:rsid w:val="07284CBF"/>
    <w:rsid w:val="073316FC"/>
    <w:rsid w:val="074F6CC4"/>
    <w:rsid w:val="07517162"/>
    <w:rsid w:val="07582DB5"/>
    <w:rsid w:val="075B6A1A"/>
    <w:rsid w:val="077F7E7C"/>
    <w:rsid w:val="078C5998"/>
    <w:rsid w:val="07966D78"/>
    <w:rsid w:val="07B05960"/>
    <w:rsid w:val="07B960A3"/>
    <w:rsid w:val="07CA1C56"/>
    <w:rsid w:val="07CC1D83"/>
    <w:rsid w:val="08097F3D"/>
    <w:rsid w:val="080C55F5"/>
    <w:rsid w:val="082322B0"/>
    <w:rsid w:val="08306B18"/>
    <w:rsid w:val="08395955"/>
    <w:rsid w:val="085836AE"/>
    <w:rsid w:val="08606F97"/>
    <w:rsid w:val="086C7AD9"/>
    <w:rsid w:val="087D6DD8"/>
    <w:rsid w:val="08870974"/>
    <w:rsid w:val="08987EF8"/>
    <w:rsid w:val="08A30B02"/>
    <w:rsid w:val="08B61918"/>
    <w:rsid w:val="08C56734"/>
    <w:rsid w:val="08C920A7"/>
    <w:rsid w:val="08EB4355"/>
    <w:rsid w:val="08F55D20"/>
    <w:rsid w:val="08FB181D"/>
    <w:rsid w:val="08FF1663"/>
    <w:rsid w:val="09002522"/>
    <w:rsid w:val="09064324"/>
    <w:rsid w:val="09176DAB"/>
    <w:rsid w:val="09190A28"/>
    <w:rsid w:val="092B7631"/>
    <w:rsid w:val="0935436E"/>
    <w:rsid w:val="09457BB0"/>
    <w:rsid w:val="09751B64"/>
    <w:rsid w:val="09877634"/>
    <w:rsid w:val="099A4D37"/>
    <w:rsid w:val="099E6B66"/>
    <w:rsid w:val="09A131FB"/>
    <w:rsid w:val="09A879F5"/>
    <w:rsid w:val="09B654F9"/>
    <w:rsid w:val="09CB5D9C"/>
    <w:rsid w:val="09D70CE1"/>
    <w:rsid w:val="09F13D20"/>
    <w:rsid w:val="09F9539C"/>
    <w:rsid w:val="0A055C7B"/>
    <w:rsid w:val="0A05731B"/>
    <w:rsid w:val="0A0B379D"/>
    <w:rsid w:val="0A306FF2"/>
    <w:rsid w:val="0A594D65"/>
    <w:rsid w:val="0A5A1DC7"/>
    <w:rsid w:val="0A71587A"/>
    <w:rsid w:val="0A744166"/>
    <w:rsid w:val="0A782765"/>
    <w:rsid w:val="0A8838F8"/>
    <w:rsid w:val="0A8E01DA"/>
    <w:rsid w:val="0AAA0D0D"/>
    <w:rsid w:val="0AB22E5D"/>
    <w:rsid w:val="0ACC3B79"/>
    <w:rsid w:val="0AD645E8"/>
    <w:rsid w:val="0AD82B2D"/>
    <w:rsid w:val="0ADD2955"/>
    <w:rsid w:val="0AE2343E"/>
    <w:rsid w:val="0AE55920"/>
    <w:rsid w:val="0AF15417"/>
    <w:rsid w:val="0AFB5144"/>
    <w:rsid w:val="0B114967"/>
    <w:rsid w:val="0B16377E"/>
    <w:rsid w:val="0B1D1906"/>
    <w:rsid w:val="0B1F3EA8"/>
    <w:rsid w:val="0B246539"/>
    <w:rsid w:val="0B2A7D1F"/>
    <w:rsid w:val="0B513A27"/>
    <w:rsid w:val="0B711B60"/>
    <w:rsid w:val="0B712D1A"/>
    <w:rsid w:val="0B7374FA"/>
    <w:rsid w:val="0B8C5FFC"/>
    <w:rsid w:val="0B8E2115"/>
    <w:rsid w:val="0BA82455"/>
    <w:rsid w:val="0BA96555"/>
    <w:rsid w:val="0BB43513"/>
    <w:rsid w:val="0BCC0DD0"/>
    <w:rsid w:val="0BCE427D"/>
    <w:rsid w:val="0BD53BE7"/>
    <w:rsid w:val="0BDA2FA5"/>
    <w:rsid w:val="0BE12E8D"/>
    <w:rsid w:val="0BF7590B"/>
    <w:rsid w:val="0C004AAC"/>
    <w:rsid w:val="0C0977C8"/>
    <w:rsid w:val="0C0B13B7"/>
    <w:rsid w:val="0C0D3B5F"/>
    <w:rsid w:val="0C0E76EB"/>
    <w:rsid w:val="0C0F087B"/>
    <w:rsid w:val="0C166753"/>
    <w:rsid w:val="0C1A784C"/>
    <w:rsid w:val="0C1C2394"/>
    <w:rsid w:val="0C28260F"/>
    <w:rsid w:val="0C4832BA"/>
    <w:rsid w:val="0C4B64CA"/>
    <w:rsid w:val="0C4E0F6F"/>
    <w:rsid w:val="0C4E76DB"/>
    <w:rsid w:val="0C50326D"/>
    <w:rsid w:val="0C542D5E"/>
    <w:rsid w:val="0C612223"/>
    <w:rsid w:val="0C632FA1"/>
    <w:rsid w:val="0C7556E8"/>
    <w:rsid w:val="0C777563"/>
    <w:rsid w:val="0C784C36"/>
    <w:rsid w:val="0C7B71D9"/>
    <w:rsid w:val="0C880C59"/>
    <w:rsid w:val="0CA06416"/>
    <w:rsid w:val="0CD345CA"/>
    <w:rsid w:val="0CE62DB3"/>
    <w:rsid w:val="0CEA4AAA"/>
    <w:rsid w:val="0CF433B4"/>
    <w:rsid w:val="0D177351"/>
    <w:rsid w:val="0D281556"/>
    <w:rsid w:val="0D321042"/>
    <w:rsid w:val="0D336A7B"/>
    <w:rsid w:val="0D41674E"/>
    <w:rsid w:val="0D4525DF"/>
    <w:rsid w:val="0D507F73"/>
    <w:rsid w:val="0D724E6E"/>
    <w:rsid w:val="0D744248"/>
    <w:rsid w:val="0D97753E"/>
    <w:rsid w:val="0DBA3739"/>
    <w:rsid w:val="0DDF0570"/>
    <w:rsid w:val="0DED0A99"/>
    <w:rsid w:val="0DEF42A3"/>
    <w:rsid w:val="0E01308E"/>
    <w:rsid w:val="0E06277D"/>
    <w:rsid w:val="0E147AE7"/>
    <w:rsid w:val="0E2F4C4F"/>
    <w:rsid w:val="0E367427"/>
    <w:rsid w:val="0E370AB6"/>
    <w:rsid w:val="0E3735DB"/>
    <w:rsid w:val="0E4378DA"/>
    <w:rsid w:val="0E4B632B"/>
    <w:rsid w:val="0E88696E"/>
    <w:rsid w:val="0EB72612"/>
    <w:rsid w:val="0ED233FA"/>
    <w:rsid w:val="0ED549E5"/>
    <w:rsid w:val="0EE20CEC"/>
    <w:rsid w:val="0EED32A5"/>
    <w:rsid w:val="0F014B1F"/>
    <w:rsid w:val="0F0F1673"/>
    <w:rsid w:val="0F142FEB"/>
    <w:rsid w:val="0F5C5AF0"/>
    <w:rsid w:val="0F5F7C7B"/>
    <w:rsid w:val="0F7D25CB"/>
    <w:rsid w:val="0F8E71CC"/>
    <w:rsid w:val="0F9A317D"/>
    <w:rsid w:val="0FB52CD8"/>
    <w:rsid w:val="0FBF4342"/>
    <w:rsid w:val="0FCD14DF"/>
    <w:rsid w:val="0FD77F2D"/>
    <w:rsid w:val="0FD81B47"/>
    <w:rsid w:val="0FE16FFE"/>
    <w:rsid w:val="0FE52014"/>
    <w:rsid w:val="0FEB39D9"/>
    <w:rsid w:val="10001035"/>
    <w:rsid w:val="10061BB9"/>
    <w:rsid w:val="100D557C"/>
    <w:rsid w:val="10560184"/>
    <w:rsid w:val="10626625"/>
    <w:rsid w:val="10635C65"/>
    <w:rsid w:val="106B681B"/>
    <w:rsid w:val="10767F7E"/>
    <w:rsid w:val="107D4FD8"/>
    <w:rsid w:val="10813635"/>
    <w:rsid w:val="108B4055"/>
    <w:rsid w:val="109664F2"/>
    <w:rsid w:val="10A00107"/>
    <w:rsid w:val="10A20F7A"/>
    <w:rsid w:val="10EB6A96"/>
    <w:rsid w:val="112847B9"/>
    <w:rsid w:val="114469E1"/>
    <w:rsid w:val="11685C9E"/>
    <w:rsid w:val="1176557F"/>
    <w:rsid w:val="11896CB4"/>
    <w:rsid w:val="11920C12"/>
    <w:rsid w:val="119836EC"/>
    <w:rsid w:val="11AD5ADE"/>
    <w:rsid w:val="11B43DF8"/>
    <w:rsid w:val="11BE42BC"/>
    <w:rsid w:val="11DA20E1"/>
    <w:rsid w:val="11DB545B"/>
    <w:rsid w:val="1218482D"/>
    <w:rsid w:val="12240072"/>
    <w:rsid w:val="12521669"/>
    <w:rsid w:val="12540C9D"/>
    <w:rsid w:val="125B6C0C"/>
    <w:rsid w:val="125F6E97"/>
    <w:rsid w:val="126A63FD"/>
    <w:rsid w:val="127D4A1D"/>
    <w:rsid w:val="12A061F4"/>
    <w:rsid w:val="12B43ADB"/>
    <w:rsid w:val="12B502CE"/>
    <w:rsid w:val="12C66037"/>
    <w:rsid w:val="12CA218B"/>
    <w:rsid w:val="12CB2B35"/>
    <w:rsid w:val="12E07254"/>
    <w:rsid w:val="13080041"/>
    <w:rsid w:val="13116528"/>
    <w:rsid w:val="131323F1"/>
    <w:rsid w:val="131F1371"/>
    <w:rsid w:val="134F0F72"/>
    <w:rsid w:val="13644406"/>
    <w:rsid w:val="13785584"/>
    <w:rsid w:val="137D0A50"/>
    <w:rsid w:val="13A201EB"/>
    <w:rsid w:val="13DD5D2E"/>
    <w:rsid w:val="13F76EE3"/>
    <w:rsid w:val="140C571E"/>
    <w:rsid w:val="14237BE5"/>
    <w:rsid w:val="14504752"/>
    <w:rsid w:val="146C6808"/>
    <w:rsid w:val="147744DD"/>
    <w:rsid w:val="149B6DA7"/>
    <w:rsid w:val="14A36118"/>
    <w:rsid w:val="14B855C5"/>
    <w:rsid w:val="14BA68E9"/>
    <w:rsid w:val="14CE0788"/>
    <w:rsid w:val="15051099"/>
    <w:rsid w:val="151A0034"/>
    <w:rsid w:val="152046A2"/>
    <w:rsid w:val="15451DDD"/>
    <w:rsid w:val="15632817"/>
    <w:rsid w:val="158B01CB"/>
    <w:rsid w:val="1597116F"/>
    <w:rsid w:val="15A94561"/>
    <w:rsid w:val="15AB79A9"/>
    <w:rsid w:val="15BE2AF8"/>
    <w:rsid w:val="15C7618D"/>
    <w:rsid w:val="15F6033A"/>
    <w:rsid w:val="15FB09C2"/>
    <w:rsid w:val="15FC5020"/>
    <w:rsid w:val="1618573C"/>
    <w:rsid w:val="162D335E"/>
    <w:rsid w:val="164D6568"/>
    <w:rsid w:val="16A545DE"/>
    <w:rsid w:val="16A57FDC"/>
    <w:rsid w:val="16B61523"/>
    <w:rsid w:val="16EB6EA7"/>
    <w:rsid w:val="1712627E"/>
    <w:rsid w:val="17141A67"/>
    <w:rsid w:val="174072C3"/>
    <w:rsid w:val="174D31CB"/>
    <w:rsid w:val="17664D86"/>
    <w:rsid w:val="17684FB6"/>
    <w:rsid w:val="17693D82"/>
    <w:rsid w:val="176D42FF"/>
    <w:rsid w:val="17712BE2"/>
    <w:rsid w:val="179007DC"/>
    <w:rsid w:val="17907556"/>
    <w:rsid w:val="17991172"/>
    <w:rsid w:val="179A5D3B"/>
    <w:rsid w:val="17A4093A"/>
    <w:rsid w:val="17B245CF"/>
    <w:rsid w:val="17D649DD"/>
    <w:rsid w:val="17E05DED"/>
    <w:rsid w:val="17F916A3"/>
    <w:rsid w:val="17FB6783"/>
    <w:rsid w:val="180E06D7"/>
    <w:rsid w:val="18251BFE"/>
    <w:rsid w:val="18260AC0"/>
    <w:rsid w:val="182B62BF"/>
    <w:rsid w:val="18417F90"/>
    <w:rsid w:val="18436C3D"/>
    <w:rsid w:val="18573EBB"/>
    <w:rsid w:val="18954FA4"/>
    <w:rsid w:val="18B95A99"/>
    <w:rsid w:val="18CA43C6"/>
    <w:rsid w:val="18ED2C33"/>
    <w:rsid w:val="190C57B6"/>
    <w:rsid w:val="19187035"/>
    <w:rsid w:val="19224C4D"/>
    <w:rsid w:val="194303DD"/>
    <w:rsid w:val="19472589"/>
    <w:rsid w:val="194B291D"/>
    <w:rsid w:val="196D53A9"/>
    <w:rsid w:val="1997072D"/>
    <w:rsid w:val="19B02EB1"/>
    <w:rsid w:val="19B36ADA"/>
    <w:rsid w:val="19BB3783"/>
    <w:rsid w:val="19CE23A1"/>
    <w:rsid w:val="19D26C09"/>
    <w:rsid w:val="19DE010A"/>
    <w:rsid w:val="19DE26FD"/>
    <w:rsid w:val="19E65DCD"/>
    <w:rsid w:val="19EF1EE3"/>
    <w:rsid w:val="19F459F1"/>
    <w:rsid w:val="19FC79C1"/>
    <w:rsid w:val="1A0916EC"/>
    <w:rsid w:val="1A1C69E7"/>
    <w:rsid w:val="1A231FC1"/>
    <w:rsid w:val="1A361CF4"/>
    <w:rsid w:val="1A502ABB"/>
    <w:rsid w:val="1A6B067B"/>
    <w:rsid w:val="1A734CF7"/>
    <w:rsid w:val="1A7B7AFA"/>
    <w:rsid w:val="1A8B47F0"/>
    <w:rsid w:val="1A9133CF"/>
    <w:rsid w:val="1A9F46AF"/>
    <w:rsid w:val="1AAD7E74"/>
    <w:rsid w:val="1AB6755E"/>
    <w:rsid w:val="1AB6762A"/>
    <w:rsid w:val="1ADA33D2"/>
    <w:rsid w:val="1AFC4CEC"/>
    <w:rsid w:val="1B0921C1"/>
    <w:rsid w:val="1B09565B"/>
    <w:rsid w:val="1B132036"/>
    <w:rsid w:val="1B32070E"/>
    <w:rsid w:val="1B3E5821"/>
    <w:rsid w:val="1B45719B"/>
    <w:rsid w:val="1B543C4F"/>
    <w:rsid w:val="1B570691"/>
    <w:rsid w:val="1B5709BC"/>
    <w:rsid w:val="1B7B0307"/>
    <w:rsid w:val="1B80591D"/>
    <w:rsid w:val="1BA720AA"/>
    <w:rsid w:val="1BDE2644"/>
    <w:rsid w:val="1BE063BC"/>
    <w:rsid w:val="1BF6798D"/>
    <w:rsid w:val="1C092BA1"/>
    <w:rsid w:val="1C1A7418"/>
    <w:rsid w:val="1C1C59AF"/>
    <w:rsid w:val="1C23795C"/>
    <w:rsid w:val="1C272E1B"/>
    <w:rsid w:val="1C3367B2"/>
    <w:rsid w:val="1C44694B"/>
    <w:rsid w:val="1C453BB2"/>
    <w:rsid w:val="1C780389"/>
    <w:rsid w:val="1C98152A"/>
    <w:rsid w:val="1CBF687C"/>
    <w:rsid w:val="1CE8286A"/>
    <w:rsid w:val="1D0374C5"/>
    <w:rsid w:val="1D0A5558"/>
    <w:rsid w:val="1D0E7A07"/>
    <w:rsid w:val="1D340214"/>
    <w:rsid w:val="1D4912AA"/>
    <w:rsid w:val="1D4A3A50"/>
    <w:rsid w:val="1D4D0079"/>
    <w:rsid w:val="1D4F1A4B"/>
    <w:rsid w:val="1D7969AB"/>
    <w:rsid w:val="1D940418"/>
    <w:rsid w:val="1DB45D52"/>
    <w:rsid w:val="1DC50A91"/>
    <w:rsid w:val="1DC85C18"/>
    <w:rsid w:val="1DCB321E"/>
    <w:rsid w:val="1DCD2970"/>
    <w:rsid w:val="1E0523E4"/>
    <w:rsid w:val="1E110AAE"/>
    <w:rsid w:val="1E124EC2"/>
    <w:rsid w:val="1E1314BA"/>
    <w:rsid w:val="1E2516A1"/>
    <w:rsid w:val="1E2B273C"/>
    <w:rsid w:val="1E3173A3"/>
    <w:rsid w:val="1E3A01D5"/>
    <w:rsid w:val="1E4867B1"/>
    <w:rsid w:val="1E4A2288"/>
    <w:rsid w:val="1E5167B5"/>
    <w:rsid w:val="1E5645BA"/>
    <w:rsid w:val="1E5815A0"/>
    <w:rsid w:val="1E58332B"/>
    <w:rsid w:val="1E63013B"/>
    <w:rsid w:val="1E6358B6"/>
    <w:rsid w:val="1E67331A"/>
    <w:rsid w:val="1E6A2BE1"/>
    <w:rsid w:val="1E6F3499"/>
    <w:rsid w:val="1E86055A"/>
    <w:rsid w:val="1E8C4A66"/>
    <w:rsid w:val="1EC3067E"/>
    <w:rsid w:val="1EDF0BAD"/>
    <w:rsid w:val="1EE91A2B"/>
    <w:rsid w:val="1EF91491"/>
    <w:rsid w:val="1F0C0ED0"/>
    <w:rsid w:val="1F376E35"/>
    <w:rsid w:val="1F3D1B7A"/>
    <w:rsid w:val="1F457E33"/>
    <w:rsid w:val="1F580346"/>
    <w:rsid w:val="1F68741C"/>
    <w:rsid w:val="1F780BE6"/>
    <w:rsid w:val="1FA12306"/>
    <w:rsid w:val="1FA20A9D"/>
    <w:rsid w:val="1FB039BC"/>
    <w:rsid w:val="1FC97E21"/>
    <w:rsid w:val="1FE52A13"/>
    <w:rsid w:val="1FE853BA"/>
    <w:rsid w:val="1FF867F6"/>
    <w:rsid w:val="20254CE5"/>
    <w:rsid w:val="202C5235"/>
    <w:rsid w:val="202E32ED"/>
    <w:rsid w:val="203A0090"/>
    <w:rsid w:val="204A474C"/>
    <w:rsid w:val="206C6822"/>
    <w:rsid w:val="206D0AB6"/>
    <w:rsid w:val="207374E9"/>
    <w:rsid w:val="207843A5"/>
    <w:rsid w:val="209869EC"/>
    <w:rsid w:val="20A52A30"/>
    <w:rsid w:val="20A75294"/>
    <w:rsid w:val="20B3627D"/>
    <w:rsid w:val="20EF03A0"/>
    <w:rsid w:val="211D6830"/>
    <w:rsid w:val="212705E9"/>
    <w:rsid w:val="212F0B45"/>
    <w:rsid w:val="213056EF"/>
    <w:rsid w:val="213B1415"/>
    <w:rsid w:val="214302FE"/>
    <w:rsid w:val="21572992"/>
    <w:rsid w:val="21590CC5"/>
    <w:rsid w:val="215C64E4"/>
    <w:rsid w:val="21667F59"/>
    <w:rsid w:val="21676EB2"/>
    <w:rsid w:val="216C6928"/>
    <w:rsid w:val="217F21D3"/>
    <w:rsid w:val="21993F93"/>
    <w:rsid w:val="21A87F16"/>
    <w:rsid w:val="21BD6CA3"/>
    <w:rsid w:val="21C41315"/>
    <w:rsid w:val="21D4702B"/>
    <w:rsid w:val="21D5652A"/>
    <w:rsid w:val="21D73DBD"/>
    <w:rsid w:val="21DA38AD"/>
    <w:rsid w:val="21DE7D36"/>
    <w:rsid w:val="21E169EA"/>
    <w:rsid w:val="22347EC0"/>
    <w:rsid w:val="224156DA"/>
    <w:rsid w:val="225A73B6"/>
    <w:rsid w:val="22821F7B"/>
    <w:rsid w:val="228850B7"/>
    <w:rsid w:val="22984385"/>
    <w:rsid w:val="22A16179"/>
    <w:rsid w:val="22A570AF"/>
    <w:rsid w:val="22B248D1"/>
    <w:rsid w:val="22C20E22"/>
    <w:rsid w:val="22CA7293"/>
    <w:rsid w:val="22F247CE"/>
    <w:rsid w:val="22FC6DFE"/>
    <w:rsid w:val="230108C7"/>
    <w:rsid w:val="2303146D"/>
    <w:rsid w:val="230D5A54"/>
    <w:rsid w:val="231A7ED7"/>
    <w:rsid w:val="231B08E0"/>
    <w:rsid w:val="23452FA8"/>
    <w:rsid w:val="23497740"/>
    <w:rsid w:val="23502CAF"/>
    <w:rsid w:val="2355143D"/>
    <w:rsid w:val="238735C1"/>
    <w:rsid w:val="238A110E"/>
    <w:rsid w:val="239857CE"/>
    <w:rsid w:val="23AA51E1"/>
    <w:rsid w:val="23CF548B"/>
    <w:rsid w:val="23D5104D"/>
    <w:rsid w:val="23E34C9B"/>
    <w:rsid w:val="23EC74BF"/>
    <w:rsid w:val="23F009BB"/>
    <w:rsid w:val="241C5951"/>
    <w:rsid w:val="242A6CB9"/>
    <w:rsid w:val="24376D95"/>
    <w:rsid w:val="246D49F7"/>
    <w:rsid w:val="24812845"/>
    <w:rsid w:val="24AD7057"/>
    <w:rsid w:val="24DD793C"/>
    <w:rsid w:val="24F451CC"/>
    <w:rsid w:val="25154816"/>
    <w:rsid w:val="2529143F"/>
    <w:rsid w:val="25415D2D"/>
    <w:rsid w:val="25453733"/>
    <w:rsid w:val="2558779F"/>
    <w:rsid w:val="256E4A38"/>
    <w:rsid w:val="25B41248"/>
    <w:rsid w:val="25B754E0"/>
    <w:rsid w:val="25BE6FE6"/>
    <w:rsid w:val="25C12739"/>
    <w:rsid w:val="25C83030"/>
    <w:rsid w:val="25E96915"/>
    <w:rsid w:val="25EA54DD"/>
    <w:rsid w:val="260A4187"/>
    <w:rsid w:val="264743FB"/>
    <w:rsid w:val="267279BF"/>
    <w:rsid w:val="26913D7D"/>
    <w:rsid w:val="26A32D39"/>
    <w:rsid w:val="26C4078A"/>
    <w:rsid w:val="26D466F4"/>
    <w:rsid w:val="26D772B6"/>
    <w:rsid w:val="26EE44C0"/>
    <w:rsid w:val="26F56F22"/>
    <w:rsid w:val="2707420C"/>
    <w:rsid w:val="27197409"/>
    <w:rsid w:val="272950BB"/>
    <w:rsid w:val="273A7E08"/>
    <w:rsid w:val="273E203B"/>
    <w:rsid w:val="273F48DE"/>
    <w:rsid w:val="274517C9"/>
    <w:rsid w:val="274C4F1B"/>
    <w:rsid w:val="275358FE"/>
    <w:rsid w:val="27574DCA"/>
    <w:rsid w:val="276A1EE4"/>
    <w:rsid w:val="276D67E1"/>
    <w:rsid w:val="27751A9D"/>
    <w:rsid w:val="27790766"/>
    <w:rsid w:val="27961640"/>
    <w:rsid w:val="27A025C7"/>
    <w:rsid w:val="27B17EFC"/>
    <w:rsid w:val="27C81240"/>
    <w:rsid w:val="27CA4388"/>
    <w:rsid w:val="27CC64DF"/>
    <w:rsid w:val="27CC72D6"/>
    <w:rsid w:val="27CE6258"/>
    <w:rsid w:val="27D91CD2"/>
    <w:rsid w:val="27DC7CFA"/>
    <w:rsid w:val="27F37477"/>
    <w:rsid w:val="282E48B1"/>
    <w:rsid w:val="28601ADA"/>
    <w:rsid w:val="28684BD3"/>
    <w:rsid w:val="289742F2"/>
    <w:rsid w:val="289C7FDA"/>
    <w:rsid w:val="28A864B3"/>
    <w:rsid w:val="28BA463D"/>
    <w:rsid w:val="28D40991"/>
    <w:rsid w:val="28D64DCE"/>
    <w:rsid w:val="28FB3E89"/>
    <w:rsid w:val="290E6B65"/>
    <w:rsid w:val="292224A0"/>
    <w:rsid w:val="2934056D"/>
    <w:rsid w:val="29340CC4"/>
    <w:rsid w:val="29411A4D"/>
    <w:rsid w:val="295C1BEB"/>
    <w:rsid w:val="29754517"/>
    <w:rsid w:val="29A72FF1"/>
    <w:rsid w:val="29AE2BEA"/>
    <w:rsid w:val="29CF19E4"/>
    <w:rsid w:val="29D2640A"/>
    <w:rsid w:val="29D41199"/>
    <w:rsid w:val="2A036EE7"/>
    <w:rsid w:val="2A063430"/>
    <w:rsid w:val="2A0A3F1D"/>
    <w:rsid w:val="2A0B0AA8"/>
    <w:rsid w:val="2A8379A8"/>
    <w:rsid w:val="2A8477B8"/>
    <w:rsid w:val="2AAA4628"/>
    <w:rsid w:val="2AB558DE"/>
    <w:rsid w:val="2AD56E5A"/>
    <w:rsid w:val="2B033E75"/>
    <w:rsid w:val="2B152519"/>
    <w:rsid w:val="2B1C4789"/>
    <w:rsid w:val="2B253DEB"/>
    <w:rsid w:val="2B2E7456"/>
    <w:rsid w:val="2B797C93"/>
    <w:rsid w:val="2B8957CC"/>
    <w:rsid w:val="2BAC3620"/>
    <w:rsid w:val="2BBC360E"/>
    <w:rsid w:val="2BC65A08"/>
    <w:rsid w:val="2BCE4483"/>
    <w:rsid w:val="2BD31C2E"/>
    <w:rsid w:val="2BD355F5"/>
    <w:rsid w:val="2BD43F69"/>
    <w:rsid w:val="2C0026DB"/>
    <w:rsid w:val="2C0911DE"/>
    <w:rsid w:val="2C1026AE"/>
    <w:rsid w:val="2C136339"/>
    <w:rsid w:val="2C464019"/>
    <w:rsid w:val="2C5524AE"/>
    <w:rsid w:val="2C5831BC"/>
    <w:rsid w:val="2C6021B9"/>
    <w:rsid w:val="2CB73169"/>
    <w:rsid w:val="2CC82341"/>
    <w:rsid w:val="2CCB3EB0"/>
    <w:rsid w:val="2CE106FB"/>
    <w:rsid w:val="2D0422C9"/>
    <w:rsid w:val="2D1D2A55"/>
    <w:rsid w:val="2D226FEF"/>
    <w:rsid w:val="2D4511C4"/>
    <w:rsid w:val="2D4F14B9"/>
    <w:rsid w:val="2D5E5392"/>
    <w:rsid w:val="2D7706C4"/>
    <w:rsid w:val="2D7F601F"/>
    <w:rsid w:val="2D9951CF"/>
    <w:rsid w:val="2DAA0D0C"/>
    <w:rsid w:val="2DB17BB8"/>
    <w:rsid w:val="2DB667C0"/>
    <w:rsid w:val="2DB96A6D"/>
    <w:rsid w:val="2DBB71E7"/>
    <w:rsid w:val="2DCD2525"/>
    <w:rsid w:val="2DD815E9"/>
    <w:rsid w:val="2DDC01F4"/>
    <w:rsid w:val="2E210A87"/>
    <w:rsid w:val="2E635C81"/>
    <w:rsid w:val="2E6C623A"/>
    <w:rsid w:val="2E6D37B3"/>
    <w:rsid w:val="2E711760"/>
    <w:rsid w:val="2E982B26"/>
    <w:rsid w:val="2E997510"/>
    <w:rsid w:val="2E9B579F"/>
    <w:rsid w:val="2E9E3ECA"/>
    <w:rsid w:val="2EA878B3"/>
    <w:rsid w:val="2EAD6F8B"/>
    <w:rsid w:val="2EC52EE3"/>
    <w:rsid w:val="2F144911"/>
    <w:rsid w:val="2F2D6BDF"/>
    <w:rsid w:val="2F40539D"/>
    <w:rsid w:val="2F471E0E"/>
    <w:rsid w:val="2F4C2A75"/>
    <w:rsid w:val="2F5D5B82"/>
    <w:rsid w:val="2F6173BC"/>
    <w:rsid w:val="2F7357C9"/>
    <w:rsid w:val="2F7A383C"/>
    <w:rsid w:val="2FA32884"/>
    <w:rsid w:val="2FC11AFC"/>
    <w:rsid w:val="2FCA2D6B"/>
    <w:rsid w:val="2FD31D5A"/>
    <w:rsid w:val="2FE62FE2"/>
    <w:rsid w:val="2FEA002E"/>
    <w:rsid w:val="2FF14C25"/>
    <w:rsid w:val="2FF17146"/>
    <w:rsid w:val="303C2CD7"/>
    <w:rsid w:val="303E533A"/>
    <w:rsid w:val="3043446C"/>
    <w:rsid w:val="30603F54"/>
    <w:rsid w:val="30616952"/>
    <w:rsid w:val="30696528"/>
    <w:rsid w:val="306C3434"/>
    <w:rsid w:val="308658A4"/>
    <w:rsid w:val="309A2B85"/>
    <w:rsid w:val="309B1648"/>
    <w:rsid w:val="30AD48A5"/>
    <w:rsid w:val="30BF25EC"/>
    <w:rsid w:val="30D40410"/>
    <w:rsid w:val="30D74A46"/>
    <w:rsid w:val="3102297F"/>
    <w:rsid w:val="31193D5A"/>
    <w:rsid w:val="311A20BE"/>
    <w:rsid w:val="31280191"/>
    <w:rsid w:val="31454FC5"/>
    <w:rsid w:val="31551FDE"/>
    <w:rsid w:val="315C5FB8"/>
    <w:rsid w:val="316F465C"/>
    <w:rsid w:val="31B931D0"/>
    <w:rsid w:val="31BF02DE"/>
    <w:rsid w:val="31E23B74"/>
    <w:rsid w:val="31F70E2D"/>
    <w:rsid w:val="32052280"/>
    <w:rsid w:val="320D32F8"/>
    <w:rsid w:val="320E382B"/>
    <w:rsid w:val="3211269C"/>
    <w:rsid w:val="32127FC3"/>
    <w:rsid w:val="32130E41"/>
    <w:rsid w:val="32187A23"/>
    <w:rsid w:val="321F6EC9"/>
    <w:rsid w:val="32275B9B"/>
    <w:rsid w:val="32394986"/>
    <w:rsid w:val="324646FE"/>
    <w:rsid w:val="3259163A"/>
    <w:rsid w:val="32672F3B"/>
    <w:rsid w:val="326A47D9"/>
    <w:rsid w:val="328C42A3"/>
    <w:rsid w:val="32A2793C"/>
    <w:rsid w:val="32A444C6"/>
    <w:rsid w:val="32C674BA"/>
    <w:rsid w:val="32EF6E55"/>
    <w:rsid w:val="33186B4B"/>
    <w:rsid w:val="332156F8"/>
    <w:rsid w:val="33290122"/>
    <w:rsid w:val="332D252D"/>
    <w:rsid w:val="333A48C4"/>
    <w:rsid w:val="333C13F4"/>
    <w:rsid w:val="333D0E01"/>
    <w:rsid w:val="334A1BF6"/>
    <w:rsid w:val="334F701E"/>
    <w:rsid w:val="3362663A"/>
    <w:rsid w:val="33773B74"/>
    <w:rsid w:val="33922E18"/>
    <w:rsid w:val="33B33ADF"/>
    <w:rsid w:val="33C26121"/>
    <w:rsid w:val="33D57379"/>
    <w:rsid w:val="33D6672C"/>
    <w:rsid w:val="33DE547F"/>
    <w:rsid w:val="33F16F60"/>
    <w:rsid w:val="33F41981"/>
    <w:rsid w:val="340A65DB"/>
    <w:rsid w:val="342044A0"/>
    <w:rsid w:val="34242F97"/>
    <w:rsid w:val="343B642D"/>
    <w:rsid w:val="343D3CD2"/>
    <w:rsid w:val="344A0004"/>
    <w:rsid w:val="3457096D"/>
    <w:rsid w:val="345A7710"/>
    <w:rsid w:val="345F3B06"/>
    <w:rsid w:val="34800646"/>
    <w:rsid w:val="34887BDC"/>
    <w:rsid w:val="349800B3"/>
    <w:rsid w:val="34A51AF9"/>
    <w:rsid w:val="34C21726"/>
    <w:rsid w:val="35064AD2"/>
    <w:rsid w:val="3519606C"/>
    <w:rsid w:val="351C4B52"/>
    <w:rsid w:val="352B73CD"/>
    <w:rsid w:val="35304A57"/>
    <w:rsid w:val="353510CF"/>
    <w:rsid w:val="353D44CC"/>
    <w:rsid w:val="356A107A"/>
    <w:rsid w:val="357F4A53"/>
    <w:rsid w:val="358C7F22"/>
    <w:rsid w:val="35992587"/>
    <w:rsid w:val="35A40895"/>
    <w:rsid w:val="35B24087"/>
    <w:rsid w:val="35B75F88"/>
    <w:rsid w:val="35C62D0F"/>
    <w:rsid w:val="35F12E7F"/>
    <w:rsid w:val="35F745D6"/>
    <w:rsid w:val="360016DD"/>
    <w:rsid w:val="36050AA1"/>
    <w:rsid w:val="36201DE9"/>
    <w:rsid w:val="362023A6"/>
    <w:rsid w:val="362E244F"/>
    <w:rsid w:val="362F3D70"/>
    <w:rsid w:val="36336DD1"/>
    <w:rsid w:val="365E2595"/>
    <w:rsid w:val="366065C0"/>
    <w:rsid w:val="36617CA1"/>
    <w:rsid w:val="366523BE"/>
    <w:rsid w:val="366F23BE"/>
    <w:rsid w:val="36721F9F"/>
    <w:rsid w:val="367845DF"/>
    <w:rsid w:val="36794681"/>
    <w:rsid w:val="369F1F52"/>
    <w:rsid w:val="36AE3AF6"/>
    <w:rsid w:val="36C22E36"/>
    <w:rsid w:val="36DA58C0"/>
    <w:rsid w:val="36FA4E12"/>
    <w:rsid w:val="37044325"/>
    <w:rsid w:val="371E562A"/>
    <w:rsid w:val="372238D5"/>
    <w:rsid w:val="37490E61"/>
    <w:rsid w:val="375A0BBB"/>
    <w:rsid w:val="37755BEC"/>
    <w:rsid w:val="37A463C5"/>
    <w:rsid w:val="37B7401D"/>
    <w:rsid w:val="37BF3183"/>
    <w:rsid w:val="37E43A3B"/>
    <w:rsid w:val="37E71C3C"/>
    <w:rsid w:val="381C4539"/>
    <w:rsid w:val="38512C36"/>
    <w:rsid w:val="385341DA"/>
    <w:rsid w:val="385A7A9A"/>
    <w:rsid w:val="38613F89"/>
    <w:rsid w:val="38647159"/>
    <w:rsid w:val="3871451C"/>
    <w:rsid w:val="3872138D"/>
    <w:rsid w:val="389E342F"/>
    <w:rsid w:val="38B8717B"/>
    <w:rsid w:val="38D34E86"/>
    <w:rsid w:val="38DA38F5"/>
    <w:rsid w:val="38E20BD7"/>
    <w:rsid w:val="38EB35D9"/>
    <w:rsid w:val="38FC4DCB"/>
    <w:rsid w:val="390744E2"/>
    <w:rsid w:val="391005AE"/>
    <w:rsid w:val="39140102"/>
    <w:rsid w:val="39164E89"/>
    <w:rsid w:val="391671C0"/>
    <w:rsid w:val="3917619C"/>
    <w:rsid w:val="39202BDF"/>
    <w:rsid w:val="39217573"/>
    <w:rsid w:val="39271340"/>
    <w:rsid w:val="392A6A70"/>
    <w:rsid w:val="394E7C29"/>
    <w:rsid w:val="398510C8"/>
    <w:rsid w:val="3988071C"/>
    <w:rsid w:val="39963CB2"/>
    <w:rsid w:val="39A22E64"/>
    <w:rsid w:val="39A5557C"/>
    <w:rsid w:val="39BA46C6"/>
    <w:rsid w:val="39CA4D8A"/>
    <w:rsid w:val="39DB50AA"/>
    <w:rsid w:val="39DD3AE3"/>
    <w:rsid w:val="39FC50B5"/>
    <w:rsid w:val="3A001741"/>
    <w:rsid w:val="3A081B89"/>
    <w:rsid w:val="3A145757"/>
    <w:rsid w:val="3A4B4FBC"/>
    <w:rsid w:val="3A557B1D"/>
    <w:rsid w:val="3A9C5C5F"/>
    <w:rsid w:val="3AB605BC"/>
    <w:rsid w:val="3AC1698E"/>
    <w:rsid w:val="3AD5069F"/>
    <w:rsid w:val="3AEA64B7"/>
    <w:rsid w:val="3AF45EFC"/>
    <w:rsid w:val="3B0C4680"/>
    <w:rsid w:val="3B230660"/>
    <w:rsid w:val="3B2672BF"/>
    <w:rsid w:val="3B271215"/>
    <w:rsid w:val="3B4F27BE"/>
    <w:rsid w:val="3B5146D5"/>
    <w:rsid w:val="3B730CC8"/>
    <w:rsid w:val="3B7A596E"/>
    <w:rsid w:val="3BA41CDA"/>
    <w:rsid w:val="3BAC7F61"/>
    <w:rsid w:val="3BB14942"/>
    <w:rsid w:val="3BCA3066"/>
    <w:rsid w:val="3BD04FEB"/>
    <w:rsid w:val="3BE81D22"/>
    <w:rsid w:val="3BF25EBF"/>
    <w:rsid w:val="3C0360E3"/>
    <w:rsid w:val="3C0844E3"/>
    <w:rsid w:val="3C0E4427"/>
    <w:rsid w:val="3C2E0828"/>
    <w:rsid w:val="3C2F2485"/>
    <w:rsid w:val="3C3976F6"/>
    <w:rsid w:val="3C8875D9"/>
    <w:rsid w:val="3C8C0008"/>
    <w:rsid w:val="3C8D7A42"/>
    <w:rsid w:val="3C942323"/>
    <w:rsid w:val="3C9F7E9A"/>
    <w:rsid w:val="3CAD1313"/>
    <w:rsid w:val="3CDD24E6"/>
    <w:rsid w:val="3D0F2205"/>
    <w:rsid w:val="3D204412"/>
    <w:rsid w:val="3D33058B"/>
    <w:rsid w:val="3D617D39"/>
    <w:rsid w:val="3D801EF7"/>
    <w:rsid w:val="3DA91AF6"/>
    <w:rsid w:val="3DAF1520"/>
    <w:rsid w:val="3DD35C2B"/>
    <w:rsid w:val="3DE0330E"/>
    <w:rsid w:val="3E0D56BC"/>
    <w:rsid w:val="3E2F6BEF"/>
    <w:rsid w:val="3E446840"/>
    <w:rsid w:val="3E6D4908"/>
    <w:rsid w:val="3E7569E0"/>
    <w:rsid w:val="3E7C1715"/>
    <w:rsid w:val="3E933110"/>
    <w:rsid w:val="3E9C21BE"/>
    <w:rsid w:val="3EB9443D"/>
    <w:rsid w:val="3ED549F5"/>
    <w:rsid w:val="3EE30FE5"/>
    <w:rsid w:val="3F044F97"/>
    <w:rsid w:val="3F1E711F"/>
    <w:rsid w:val="3F3C317C"/>
    <w:rsid w:val="3F3E5024"/>
    <w:rsid w:val="3F56236D"/>
    <w:rsid w:val="3F6E2206"/>
    <w:rsid w:val="3F724CCD"/>
    <w:rsid w:val="3F7F19C1"/>
    <w:rsid w:val="3F9236EA"/>
    <w:rsid w:val="3F9C5F17"/>
    <w:rsid w:val="3FBC32C7"/>
    <w:rsid w:val="3FBE0B9E"/>
    <w:rsid w:val="3FD00FBD"/>
    <w:rsid w:val="3FD61700"/>
    <w:rsid w:val="3FEA58D1"/>
    <w:rsid w:val="3FF434CB"/>
    <w:rsid w:val="3FF9763C"/>
    <w:rsid w:val="40041976"/>
    <w:rsid w:val="402931A2"/>
    <w:rsid w:val="402F0E5C"/>
    <w:rsid w:val="403420DF"/>
    <w:rsid w:val="403A7BE2"/>
    <w:rsid w:val="404B40B1"/>
    <w:rsid w:val="404E4E30"/>
    <w:rsid w:val="40503261"/>
    <w:rsid w:val="405957B5"/>
    <w:rsid w:val="405B4252"/>
    <w:rsid w:val="406D296D"/>
    <w:rsid w:val="40865CEE"/>
    <w:rsid w:val="4093139F"/>
    <w:rsid w:val="40944994"/>
    <w:rsid w:val="40AF06D2"/>
    <w:rsid w:val="40B205E3"/>
    <w:rsid w:val="40D45A98"/>
    <w:rsid w:val="40F214B7"/>
    <w:rsid w:val="40F31699"/>
    <w:rsid w:val="410018BF"/>
    <w:rsid w:val="410025D8"/>
    <w:rsid w:val="41016AD8"/>
    <w:rsid w:val="414260FE"/>
    <w:rsid w:val="416901A5"/>
    <w:rsid w:val="41921C3C"/>
    <w:rsid w:val="41961100"/>
    <w:rsid w:val="41967399"/>
    <w:rsid w:val="41B64DFE"/>
    <w:rsid w:val="41B8417E"/>
    <w:rsid w:val="41C77552"/>
    <w:rsid w:val="41D45F9D"/>
    <w:rsid w:val="41E760DA"/>
    <w:rsid w:val="4221115F"/>
    <w:rsid w:val="42530915"/>
    <w:rsid w:val="426837AA"/>
    <w:rsid w:val="42866932"/>
    <w:rsid w:val="4290203A"/>
    <w:rsid w:val="429571BA"/>
    <w:rsid w:val="42A66246"/>
    <w:rsid w:val="42AD6748"/>
    <w:rsid w:val="42CC77E6"/>
    <w:rsid w:val="42E04496"/>
    <w:rsid w:val="42F94CA5"/>
    <w:rsid w:val="43173F72"/>
    <w:rsid w:val="433E61C1"/>
    <w:rsid w:val="43410D90"/>
    <w:rsid w:val="435A4A76"/>
    <w:rsid w:val="43633DC1"/>
    <w:rsid w:val="438F2E78"/>
    <w:rsid w:val="43943464"/>
    <w:rsid w:val="43994F1E"/>
    <w:rsid w:val="439A13C4"/>
    <w:rsid w:val="43C97EDF"/>
    <w:rsid w:val="43E97C54"/>
    <w:rsid w:val="44415E3B"/>
    <w:rsid w:val="444906F3"/>
    <w:rsid w:val="444F55DD"/>
    <w:rsid w:val="44500A3A"/>
    <w:rsid w:val="44606B8D"/>
    <w:rsid w:val="44640E69"/>
    <w:rsid w:val="44690083"/>
    <w:rsid w:val="447B4624"/>
    <w:rsid w:val="448C5F9C"/>
    <w:rsid w:val="44917E6E"/>
    <w:rsid w:val="449A71A0"/>
    <w:rsid w:val="44A962CA"/>
    <w:rsid w:val="44B51B10"/>
    <w:rsid w:val="44CE6E4A"/>
    <w:rsid w:val="44D34238"/>
    <w:rsid w:val="44D8402B"/>
    <w:rsid w:val="44DB591F"/>
    <w:rsid w:val="44DD2982"/>
    <w:rsid w:val="44FB7781"/>
    <w:rsid w:val="450250E9"/>
    <w:rsid w:val="45044DAD"/>
    <w:rsid w:val="45062140"/>
    <w:rsid w:val="45151BB0"/>
    <w:rsid w:val="452F78E8"/>
    <w:rsid w:val="453C11D9"/>
    <w:rsid w:val="453E671D"/>
    <w:rsid w:val="454B049A"/>
    <w:rsid w:val="45DE61D5"/>
    <w:rsid w:val="45E143DF"/>
    <w:rsid w:val="45E378A6"/>
    <w:rsid w:val="45E72900"/>
    <w:rsid w:val="45FB1B9C"/>
    <w:rsid w:val="46051829"/>
    <w:rsid w:val="46130FB8"/>
    <w:rsid w:val="46243982"/>
    <w:rsid w:val="462A60C2"/>
    <w:rsid w:val="46455393"/>
    <w:rsid w:val="46473CFF"/>
    <w:rsid w:val="464C44CA"/>
    <w:rsid w:val="467556E1"/>
    <w:rsid w:val="46773BE9"/>
    <w:rsid w:val="46885986"/>
    <w:rsid w:val="468D4B61"/>
    <w:rsid w:val="468E4C56"/>
    <w:rsid w:val="46A70CBA"/>
    <w:rsid w:val="46AE4F07"/>
    <w:rsid w:val="46BF2EEE"/>
    <w:rsid w:val="46EB7055"/>
    <w:rsid w:val="46F43517"/>
    <w:rsid w:val="47074D23"/>
    <w:rsid w:val="470B2D5A"/>
    <w:rsid w:val="470B48B4"/>
    <w:rsid w:val="473A4BA9"/>
    <w:rsid w:val="47433A92"/>
    <w:rsid w:val="47490A0A"/>
    <w:rsid w:val="47652E7F"/>
    <w:rsid w:val="476D7132"/>
    <w:rsid w:val="478B14DC"/>
    <w:rsid w:val="479223B1"/>
    <w:rsid w:val="47A63E71"/>
    <w:rsid w:val="47AD0F44"/>
    <w:rsid w:val="47AF4D11"/>
    <w:rsid w:val="47C028F3"/>
    <w:rsid w:val="47CB7671"/>
    <w:rsid w:val="47FE2E18"/>
    <w:rsid w:val="480069E0"/>
    <w:rsid w:val="48390A7E"/>
    <w:rsid w:val="48574FE6"/>
    <w:rsid w:val="486D28F1"/>
    <w:rsid w:val="4871780E"/>
    <w:rsid w:val="487D2DDF"/>
    <w:rsid w:val="48831CF9"/>
    <w:rsid w:val="48996585"/>
    <w:rsid w:val="48B00D40"/>
    <w:rsid w:val="48B1559F"/>
    <w:rsid w:val="48CE6035"/>
    <w:rsid w:val="48D91743"/>
    <w:rsid w:val="48E34B67"/>
    <w:rsid w:val="48E560B1"/>
    <w:rsid w:val="48EC4203"/>
    <w:rsid w:val="490A6226"/>
    <w:rsid w:val="49256663"/>
    <w:rsid w:val="49496A9F"/>
    <w:rsid w:val="49674A84"/>
    <w:rsid w:val="497419D7"/>
    <w:rsid w:val="497A55B2"/>
    <w:rsid w:val="49973E03"/>
    <w:rsid w:val="49A9755C"/>
    <w:rsid w:val="49C6058F"/>
    <w:rsid w:val="4A180DB0"/>
    <w:rsid w:val="4A19482C"/>
    <w:rsid w:val="4A3941F9"/>
    <w:rsid w:val="4A510301"/>
    <w:rsid w:val="4A5A7206"/>
    <w:rsid w:val="4A68174E"/>
    <w:rsid w:val="4AA46683"/>
    <w:rsid w:val="4AA75FEF"/>
    <w:rsid w:val="4AC37D95"/>
    <w:rsid w:val="4ACA5C84"/>
    <w:rsid w:val="4AD47351"/>
    <w:rsid w:val="4B02563E"/>
    <w:rsid w:val="4B146144"/>
    <w:rsid w:val="4B1D56BD"/>
    <w:rsid w:val="4B1D6F30"/>
    <w:rsid w:val="4B3D57BD"/>
    <w:rsid w:val="4B5C31C1"/>
    <w:rsid w:val="4B784284"/>
    <w:rsid w:val="4B9A0AFF"/>
    <w:rsid w:val="4B9F6E4A"/>
    <w:rsid w:val="4BA03ABF"/>
    <w:rsid w:val="4BA440B0"/>
    <w:rsid w:val="4BB130F2"/>
    <w:rsid w:val="4BB3125B"/>
    <w:rsid w:val="4BB52605"/>
    <w:rsid w:val="4BC32A8A"/>
    <w:rsid w:val="4BCB5E91"/>
    <w:rsid w:val="4BCE319F"/>
    <w:rsid w:val="4BD44D46"/>
    <w:rsid w:val="4BFA2ACD"/>
    <w:rsid w:val="4C082C41"/>
    <w:rsid w:val="4C2029CC"/>
    <w:rsid w:val="4C366A76"/>
    <w:rsid w:val="4C44625D"/>
    <w:rsid w:val="4C480FB2"/>
    <w:rsid w:val="4C637904"/>
    <w:rsid w:val="4C683DDD"/>
    <w:rsid w:val="4C7D2B1A"/>
    <w:rsid w:val="4CC4314D"/>
    <w:rsid w:val="4CCC74B0"/>
    <w:rsid w:val="4CCE5C39"/>
    <w:rsid w:val="4CD3324F"/>
    <w:rsid w:val="4CED61B7"/>
    <w:rsid w:val="4CF05E34"/>
    <w:rsid w:val="4CF3569F"/>
    <w:rsid w:val="4D1A616C"/>
    <w:rsid w:val="4D245859"/>
    <w:rsid w:val="4D2D0027"/>
    <w:rsid w:val="4D40640B"/>
    <w:rsid w:val="4D6563FC"/>
    <w:rsid w:val="4D6B792C"/>
    <w:rsid w:val="4D91708E"/>
    <w:rsid w:val="4DAB0942"/>
    <w:rsid w:val="4DE30D7E"/>
    <w:rsid w:val="4DF25957"/>
    <w:rsid w:val="4DF50813"/>
    <w:rsid w:val="4DF8603A"/>
    <w:rsid w:val="4E031258"/>
    <w:rsid w:val="4E1119F8"/>
    <w:rsid w:val="4E266DFF"/>
    <w:rsid w:val="4E466B47"/>
    <w:rsid w:val="4E4D2319"/>
    <w:rsid w:val="4E51022D"/>
    <w:rsid w:val="4E52003F"/>
    <w:rsid w:val="4E52289A"/>
    <w:rsid w:val="4E643432"/>
    <w:rsid w:val="4E68108E"/>
    <w:rsid w:val="4E6D1B5C"/>
    <w:rsid w:val="4E6E1F72"/>
    <w:rsid w:val="4E843280"/>
    <w:rsid w:val="4E906BD9"/>
    <w:rsid w:val="4EAE3E03"/>
    <w:rsid w:val="4EB76EA3"/>
    <w:rsid w:val="4EC81C80"/>
    <w:rsid w:val="4ED25E86"/>
    <w:rsid w:val="4EDC1C9F"/>
    <w:rsid w:val="4EE222D1"/>
    <w:rsid w:val="4F123994"/>
    <w:rsid w:val="4F1F1622"/>
    <w:rsid w:val="4F3C559C"/>
    <w:rsid w:val="4F46053E"/>
    <w:rsid w:val="4F4B5F4A"/>
    <w:rsid w:val="4F55619D"/>
    <w:rsid w:val="4F5C0698"/>
    <w:rsid w:val="4F5F72FE"/>
    <w:rsid w:val="4F7C4E4F"/>
    <w:rsid w:val="4F8250F1"/>
    <w:rsid w:val="4F863C50"/>
    <w:rsid w:val="4F900A0B"/>
    <w:rsid w:val="4F960083"/>
    <w:rsid w:val="4FB1539E"/>
    <w:rsid w:val="4FC43D9B"/>
    <w:rsid w:val="4FD038C4"/>
    <w:rsid w:val="4FD421D2"/>
    <w:rsid w:val="4FDA4DA4"/>
    <w:rsid w:val="4FEF1F54"/>
    <w:rsid w:val="4FFE7214"/>
    <w:rsid w:val="4FFF25AD"/>
    <w:rsid w:val="50081462"/>
    <w:rsid w:val="50144F89"/>
    <w:rsid w:val="501669A2"/>
    <w:rsid w:val="501F0559"/>
    <w:rsid w:val="502142D2"/>
    <w:rsid w:val="50305F10"/>
    <w:rsid w:val="50591591"/>
    <w:rsid w:val="505B09D3"/>
    <w:rsid w:val="505C7A00"/>
    <w:rsid w:val="507738CC"/>
    <w:rsid w:val="509D1C15"/>
    <w:rsid w:val="509D4A2E"/>
    <w:rsid w:val="50AB7E0E"/>
    <w:rsid w:val="50C54780"/>
    <w:rsid w:val="50E11B2D"/>
    <w:rsid w:val="50E179CC"/>
    <w:rsid w:val="50FB5EC9"/>
    <w:rsid w:val="51002ECA"/>
    <w:rsid w:val="51012CEA"/>
    <w:rsid w:val="51052C66"/>
    <w:rsid w:val="5107796B"/>
    <w:rsid w:val="51330760"/>
    <w:rsid w:val="51351F88"/>
    <w:rsid w:val="514E0E87"/>
    <w:rsid w:val="515E64DA"/>
    <w:rsid w:val="51643BFE"/>
    <w:rsid w:val="51733092"/>
    <w:rsid w:val="51781764"/>
    <w:rsid w:val="519A7713"/>
    <w:rsid w:val="51A14C60"/>
    <w:rsid w:val="51C100C1"/>
    <w:rsid w:val="51C63383"/>
    <w:rsid w:val="51CB016C"/>
    <w:rsid w:val="51DB3F31"/>
    <w:rsid w:val="51E25CE3"/>
    <w:rsid w:val="51EC4896"/>
    <w:rsid w:val="52462715"/>
    <w:rsid w:val="52487199"/>
    <w:rsid w:val="52716521"/>
    <w:rsid w:val="52725B46"/>
    <w:rsid w:val="52770EB1"/>
    <w:rsid w:val="527903F5"/>
    <w:rsid w:val="52E547D6"/>
    <w:rsid w:val="52FC2D47"/>
    <w:rsid w:val="53026DEB"/>
    <w:rsid w:val="5312243F"/>
    <w:rsid w:val="532F30D1"/>
    <w:rsid w:val="53456E71"/>
    <w:rsid w:val="53462C62"/>
    <w:rsid w:val="534C48C6"/>
    <w:rsid w:val="53536FDE"/>
    <w:rsid w:val="536D787F"/>
    <w:rsid w:val="537F7C8D"/>
    <w:rsid w:val="5383124E"/>
    <w:rsid w:val="538A52AD"/>
    <w:rsid w:val="539416CD"/>
    <w:rsid w:val="5398690D"/>
    <w:rsid w:val="53C66250"/>
    <w:rsid w:val="53CE621C"/>
    <w:rsid w:val="53CE651E"/>
    <w:rsid w:val="53D77577"/>
    <w:rsid w:val="53DA40D9"/>
    <w:rsid w:val="53E76315"/>
    <w:rsid w:val="53EB394B"/>
    <w:rsid w:val="53FD6E04"/>
    <w:rsid w:val="540B32CF"/>
    <w:rsid w:val="541E1948"/>
    <w:rsid w:val="54354EE5"/>
    <w:rsid w:val="5444038B"/>
    <w:rsid w:val="545128D7"/>
    <w:rsid w:val="54534C76"/>
    <w:rsid w:val="54582A90"/>
    <w:rsid w:val="54614944"/>
    <w:rsid w:val="5480402F"/>
    <w:rsid w:val="54B1018D"/>
    <w:rsid w:val="54CD661F"/>
    <w:rsid w:val="54CF6FAC"/>
    <w:rsid w:val="54E46CF5"/>
    <w:rsid w:val="54E77426"/>
    <w:rsid w:val="55050D6F"/>
    <w:rsid w:val="550A2B4E"/>
    <w:rsid w:val="550C19B3"/>
    <w:rsid w:val="550F1AD9"/>
    <w:rsid w:val="551012F3"/>
    <w:rsid w:val="551B1EA3"/>
    <w:rsid w:val="552949E5"/>
    <w:rsid w:val="55376345"/>
    <w:rsid w:val="554546DF"/>
    <w:rsid w:val="55806F35"/>
    <w:rsid w:val="55B41EF2"/>
    <w:rsid w:val="55B84783"/>
    <w:rsid w:val="55D63EA4"/>
    <w:rsid w:val="55E53CD6"/>
    <w:rsid w:val="55FA4538"/>
    <w:rsid w:val="55FF25ED"/>
    <w:rsid w:val="56211730"/>
    <w:rsid w:val="56490A60"/>
    <w:rsid w:val="564F6360"/>
    <w:rsid w:val="56535401"/>
    <w:rsid w:val="5654548D"/>
    <w:rsid w:val="566D64C3"/>
    <w:rsid w:val="566E27C7"/>
    <w:rsid w:val="566F3A0D"/>
    <w:rsid w:val="56933A4F"/>
    <w:rsid w:val="56990327"/>
    <w:rsid w:val="56A761D5"/>
    <w:rsid w:val="56AF6939"/>
    <w:rsid w:val="56C1236A"/>
    <w:rsid w:val="56C27360"/>
    <w:rsid w:val="56F23769"/>
    <w:rsid w:val="56F40992"/>
    <w:rsid w:val="56F55837"/>
    <w:rsid w:val="56F641C0"/>
    <w:rsid w:val="570F1328"/>
    <w:rsid w:val="573559A7"/>
    <w:rsid w:val="57472C70"/>
    <w:rsid w:val="575670A1"/>
    <w:rsid w:val="575A0818"/>
    <w:rsid w:val="57636C91"/>
    <w:rsid w:val="576469B4"/>
    <w:rsid w:val="576E5213"/>
    <w:rsid w:val="5778580E"/>
    <w:rsid w:val="57877110"/>
    <w:rsid w:val="5789077C"/>
    <w:rsid w:val="57AD28EF"/>
    <w:rsid w:val="57B819BF"/>
    <w:rsid w:val="57C81D75"/>
    <w:rsid w:val="57CA0C00"/>
    <w:rsid w:val="57CB06B0"/>
    <w:rsid w:val="57DC0885"/>
    <w:rsid w:val="57F535F0"/>
    <w:rsid w:val="57FC187D"/>
    <w:rsid w:val="58095E9E"/>
    <w:rsid w:val="580C7B2F"/>
    <w:rsid w:val="581F15FC"/>
    <w:rsid w:val="583628E4"/>
    <w:rsid w:val="583C0632"/>
    <w:rsid w:val="58402B49"/>
    <w:rsid w:val="584609DE"/>
    <w:rsid w:val="58504FD4"/>
    <w:rsid w:val="586A708D"/>
    <w:rsid w:val="58746EE7"/>
    <w:rsid w:val="58777462"/>
    <w:rsid w:val="587B2287"/>
    <w:rsid w:val="58AF7FE3"/>
    <w:rsid w:val="58BA4EAF"/>
    <w:rsid w:val="58BC54DF"/>
    <w:rsid w:val="58CB149A"/>
    <w:rsid w:val="58CB2C4E"/>
    <w:rsid w:val="58E02BEB"/>
    <w:rsid w:val="58EB2E9D"/>
    <w:rsid w:val="58ED0E26"/>
    <w:rsid w:val="58F67ABF"/>
    <w:rsid w:val="59183D8F"/>
    <w:rsid w:val="59232927"/>
    <w:rsid w:val="593037D7"/>
    <w:rsid w:val="5936717D"/>
    <w:rsid w:val="59567C22"/>
    <w:rsid w:val="595B1A76"/>
    <w:rsid w:val="59614092"/>
    <w:rsid w:val="59622EF1"/>
    <w:rsid w:val="596C0FE2"/>
    <w:rsid w:val="59883A46"/>
    <w:rsid w:val="598853C1"/>
    <w:rsid w:val="598B133D"/>
    <w:rsid w:val="599A7EFB"/>
    <w:rsid w:val="599C5B2C"/>
    <w:rsid w:val="59AB5519"/>
    <w:rsid w:val="59CA3EB9"/>
    <w:rsid w:val="59D7056A"/>
    <w:rsid w:val="5A2351CA"/>
    <w:rsid w:val="5A587D48"/>
    <w:rsid w:val="5A59270B"/>
    <w:rsid w:val="5A5A6939"/>
    <w:rsid w:val="5A81799C"/>
    <w:rsid w:val="5A862551"/>
    <w:rsid w:val="5AAA6616"/>
    <w:rsid w:val="5AAA6E1A"/>
    <w:rsid w:val="5AB70E20"/>
    <w:rsid w:val="5ABA15E6"/>
    <w:rsid w:val="5ABD553F"/>
    <w:rsid w:val="5AED7BD2"/>
    <w:rsid w:val="5B1747A5"/>
    <w:rsid w:val="5B37709F"/>
    <w:rsid w:val="5B395799"/>
    <w:rsid w:val="5B3D6CB3"/>
    <w:rsid w:val="5B586F2D"/>
    <w:rsid w:val="5B620E3C"/>
    <w:rsid w:val="5B6A5D3F"/>
    <w:rsid w:val="5B6A61F5"/>
    <w:rsid w:val="5B8C19FB"/>
    <w:rsid w:val="5B9E2C97"/>
    <w:rsid w:val="5BA11BFA"/>
    <w:rsid w:val="5BAA44A9"/>
    <w:rsid w:val="5BCB763F"/>
    <w:rsid w:val="5BD52D85"/>
    <w:rsid w:val="5BEC71ED"/>
    <w:rsid w:val="5BF705DC"/>
    <w:rsid w:val="5C185EB5"/>
    <w:rsid w:val="5C29179B"/>
    <w:rsid w:val="5C375CDA"/>
    <w:rsid w:val="5C391D2D"/>
    <w:rsid w:val="5C56198B"/>
    <w:rsid w:val="5C5D6807"/>
    <w:rsid w:val="5C784812"/>
    <w:rsid w:val="5C7F5085"/>
    <w:rsid w:val="5C803BB7"/>
    <w:rsid w:val="5C834015"/>
    <w:rsid w:val="5C983B6D"/>
    <w:rsid w:val="5CA14689"/>
    <w:rsid w:val="5CA25359"/>
    <w:rsid w:val="5CB158EA"/>
    <w:rsid w:val="5CBC735C"/>
    <w:rsid w:val="5CC554D7"/>
    <w:rsid w:val="5D011713"/>
    <w:rsid w:val="5D333896"/>
    <w:rsid w:val="5D485594"/>
    <w:rsid w:val="5D486E36"/>
    <w:rsid w:val="5D532A2D"/>
    <w:rsid w:val="5D564B75"/>
    <w:rsid w:val="5D594429"/>
    <w:rsid w:val="5D5E6B65"/>
    <w:rsid w:val="5D730BD1"/>
    <w:rsid w:val="5D8718E4"/>
    <w:rsid w:val="5D952CB0"/>
    <w:rsid w:val="5DA63D97"/>
    <w:rsid w:val="5DA92AD6"/>
    <w:rsid w:val="5DBE641F"/>
    <w:rsid w:val="5DC41E79"/>
    <w:rsid w:val="5DCE6ACF"/>
    <w:rsid w:val="5DD040EF"/>
    <w:rsid w:val="5DD4499D"/>
    <w:rsid w:val="5DDE6C37"/>
    <w:rsid w:val="5E0019CA"/>
    <w:rsid w:val="5E130630"/>
    <w:rsid w:val="5E37430A"/>
    <w:rsid w:val="5E513F9B"/>
    <w:rsid w:val="5E5835B4"/>
    <w:rsid w:val="5E675E31"/>
    <w:rsid w:val="5E6A6718"/>
    <w:rsid w:val="5E6C1747"/>
    <w:rsid w:val="5E847567"/>
    <w:rsid w:val="5E884C04"/>
    <w:rsid w:val="5E9C24F3"/>
    <w:rsid w:val="5EA1718D"/>
    <w:rsid w:val="5EBD76E7"/>
    <w:rsid w:val="5EC7735F"/>
    <w:rsid w:val="5ECC7074"/>
    <w:rsid w:val="5ED83C00"/>
    <w:rsid w:val="5EE12245"/>
    <w:rsid w:val="5EE17CD2"/>
    <w:rsid w:val="5EE21111"/>
    <w:rsid w:val="5EEF3757"/>
    <w:rsid w:val="5EF5174C"/>
    <w:rsid w:val="5EFC2C09"/>
    <w:rsid w:val="5EFE3A45"/>
    <w:rsid w:val="5F013A99"/>
    <w:rsid w:val="5F241B51"/>
    <w:rsid w:val="5F2715C2"/>
    <w:rsid w:val="5F3E225F"/>
    <w:rsid w:val="5F400BC9"/>
    <w:rsid w:val="5F4F2418"/>
    <w:rsid w:val="5F546472"/>
    <w:rsid w:val="5F6B2B03"/>
    <w:rsid w:val="5F8325E0"/>
    <w:rsid w:val="5F8B79B9"/>
    <w:rsid w:val="5F8E2115"/>
    <w:rsid w:val="5FA17AF8"/>
    <w:rsid w:val="5FA62A45"/>
    <w:rsid w:val="5FB76A00"/>
    <w:rsid w:val="5FBC4304"/>
    <w:rsid w:val="5FBF7663"/>
    <w:rsid w:val="5FC37A5B"/>
    <w:rsid w:val="5FCC2DB7"/>
    <w:rsid w:val="5FDD58F7"/>
    <w:rsid w:val="5FE1426D"/>
    <w:rsid w:val="5FE80277"/>
    <w:rsid w:val="5FE90490"/>
    <w:rsid w:val="5FEF06DB"/>
    <w:rsid w:val="5FEF1CF6"/>
    <w:rsid w:val="60142302"/>
    <w:rsid w:val="602C53FE"/>
    <w:rsid w:val="603B3A3A"/>
    <w:rsid w:val="603E4A2C"/>
    <w:rsid w:val="6045756A"/>
    <w:rsid w:val="60521C86"/>
    <w:rsid w:val="60643560"/>
    <w:rsid w:val="60667363"/>
    <w:rsid w:val="60716BAF"/>
    <w:rsid w:val="609A70D6"/>
    <w:rsid w:val="60A856E6"/>
    <w:rsid w:val="60B30CA5"/>
    <w:rsid w:val="60B847DE"/>
    <w:rsid w:val="60BD1DF5"/>
    <w:rsid w:val="60BD63FC"/>
    <w:rsid w:val="60FD2E3F"/>
    <w:rsid w:val="611F660B"/>
    <w:rsid w:val="61265BEC"/>
    <w:rsid w:val="613450E2"/>
    <w:rsid w:val="6140595B"/>
    <w:rsid w:val="61520CF3"/>
    <w:rsid w:val="61571345"/>
    <w:rsid w:val="616C60B5"/>
    <w:rsid w:val="616D096A"/>
    <w:rsid w:val="6183303E"/>
    <w:rsid w:val="618A10AD"/>
    <w:rsid w:val="61930FCD"/>
    <w:rsid w:val="61B01959"/>
    <w:rsid w:val="61B04B98"/>
    <w:rsid w:val="61BC0D56"/>
    <w:rsid w:val="61C84EF5"/>
    <w:rsid w:val="61D15FA6"/>
    <w:rsid w:val="61EC7C82"/>
    <w:rsid w:val="61ED43A7"/>
    <w:rsid w:val="62051CA5"/>
    <w:rsid w:val="62185B72"/>
    <w:rsid w:val="62324EE1"/>
    <w:rsid w:val="62476747"/>
    <w:rsid w:val="624A13D6"/>
    <w:rsid w:val="62724E61"/>
    <w:rsid w:val="627E55B4"/>
    <w:rsid w:val="62832BCA"/>
    <w:rsid w:val="6287563B"/>
    <w:rsid w:val="629628FD"/>
    <w:rsid w:val="62985E91"/>
    <w:rsid w:val="62992F04"/>
    <w:rsid w:val="629E4B36"/>
    <w:rsid w:val="62B02D63"/>
    <w:rsid w:val="62BC29CF"/>
    <w:rsid w:val="62BC477F"/>
    <w:rsid w:val="62CD0FAB"/>
    <w:rsid w:val="62CD53F4"/>
    <w:rsid w:val="62D0104A"/>
    <w:rsid w:val="62D01CEB"/>
    <w:rsid w:val="62DB4DF1"/>
    <w:rsid w:val="62E84686"/>
    <w:rsid w:val="62FB76E3"/>
    <w:rsid w:val="632779F9"/>
    <w:rsid w:val="633B7919"/>
    <w:rsid w:val="63513B80"/>
    <w:rsid w:val="63863493"/>
    <w:rsid w:val="639332E3"/>
    <w:rsid w:val="63957EC5"/>
    <w:rsid w:val="63C234DC"/>
    <w:rsid w:val="63C60FF3"/>
    <w:rsid w:val="63CC375B"/>
    <w:rsid w:val="63CD3E8B"/>
    <w:rsid w:val="63DA4380"/>
    <w:rsid w:val="63ED40C5"/>
    <w:rsid w:val="63EE0D15"/>
    <w:rsid w:val="63F51201"/>
    <w:rsid w:val="63F65E80"/>
    <w:rsid w:val="64027633"/>
    <w:rsid w:val="64336278"/>
    <w:rsid w:val="6444383F"/>
    <w:rsid w:val="64522449"/>
    <w:rsid w:val="645A3195"/>
    <w:rsid w:val="645B5515"/>
    <w:rsid w:val="6469244C"/>
    <w:rsid w:val="648F1F1B"/>
    <w:rsid w:val="648F50D4"/>
    <w:rsid w:val="64C1393C"/>
    <w:rsid w:val="64CC7D82"/>
    <w:rsid w:val="64D5577D"/>
    <w:rsid w:val="64DD2F78"/>
    <w:rsid w:val="64EE5F1D"/>
    <w:rsid w:val="65134DC6"/>
    <w:rsid w:val="65181CEF"/>
    <w:rsid w:val="651C535D"/>
    <w:rsid w:val="65204249"/>
    <w:rsid w:val="65272E71"/>
    <w:rsid w:val="652844A9"/>
    <w:rsid w:val="652A6BA5"/>
    <w:rsid w:val="65377433"/>
    <w:rsid w:val="653803A9"/>
    <w:rsid w:val="6548683C"/>
    <w:rsid w:val="65646CE3"/>
    <w:rsid w:val="6567317D"/>
    <w:rsid w:val="657B5F8E"/>
    <w:rsid w:val="65853F9B"/>
    <w:rsid w:val="65854F40"/>
    <w:rsid w:val="658723F5"/>
    <w:rsid w:val="65C15BA4"/>
    <w:rsid w:val="65D07815"/>
    <w:rsid w:val="65D8322D"/>
    <w:rsid w:val="65D939B7"/>
    <w:rsid w:val="65DC6139"/>
    <w:rsid w:val="65E24914"/>
    <w:rsid w:val="65E52CF3"/>
    <w:rsid w:val="65F8693F"/>
    <w:rsid w:val="6603474E"/>
    <w:rsid w:val="66061AD4"/>
    <w:rsid w:val="660879A0"/>
    <w:rsid w:val="660C0DF5"/>
    <w:rsid w:val="661D6552"/>
    <w:rsid w:val="663F28D8"/>
    <w:rsid w:val="665009BE"/>
    <w:rsid w:val="6656698A"/>
    <w:rsid w:val="66584987"/>
    <w:rsid w:val="666C09C1"/>
    <w:rsid w:val="6673297D"/>
    <w:rsid w:val="66911D59"/>
    <w:rsid w:val="66B54BF5"/>
    <w:rsid w:val="66CB5EA6"/>
    <w:rsid w:val="66DE2AC5"/>
    <w:rsid w:val="66E8749F"/>
    <w:rsid w:val="66EC4669"/>
    <w:rsid w:val="67041286"/>
    <w:rsid w:val="67055CF0"/>
    <w:rsid w:val="67253C4D"/>
    <w:rsid w:val="6744501E"/>
    <w:rsid w:val="67503781"/>
    <w:rsid w:val="67576108"/>
    <w:rsid w:val="67606C70"/>
    <w:rsid w:val="676E7441"/>
    <w:rsid w:val="677D22DE"/>
    <w:rsid w:val="67970A99"/>
    <w:rsid w:val="679C5893"/>
    <w:rsid w:val="679E7E3E"/>
    <w:rsid w:val="67AB0BF9"/>
    <w:rsid w:val="67AC6919"/>
    <w:rsid w:val="67B66967"/>
    <w:rsid w:val="67CE560C"/>
    <w:rsid w:val="67D709D5"/>
    <w:rsid w:val="67F325A0"/>
    <w:rsid w:val="67F65D6D"/>
    <w:rsid w:val="67FA5658"/>
    <w:rsid w:val="67FD2073"/>
    <w:rsid w:val="68067270"/>
    <w:rsid w:val="681115C8"/>
    <w:rsid w:val="684D4FDA"/>
    <w:rsid w:val="686F7E78"/>
    <w:rsid w:val="68817BAC"/>
    <w:rsid w:val="688257FA"/>
    <w:rsid w:val="68B65DAC"/>
    <w:rsid w:val="68B97085"/>
    <w:rsid w:val="68BD4F80"/>
    <w:rsid w:val="68D9688B"/>
    <w:rsid w:val="68DA4DDA"/>
    <w:rsid w:val="68E838C5"/>
    <w:rsid w:val="68F577EF"/>
    <w:rsid w:val="69084FFB"/>
    <w:rsid w:val="69126A56"/>
    <w:rsid w:val="69344241"/>
    <w:rsid w:val="69527D1C"/>
    <w:rsid w:val="6954169C"/>
    <w:rsid w:val="69734D4C"/>
    <w:rsid w:val="697A30B0"/>
    <w:rsid w:val="697D0373"/>
    <w:rsid w:val="69A4491A"/>
    <w:rsid w:val="69AA188D"/>
    <w:rsid w:val="69AB4959"/>
    <w:rsid w:val="69C13FC0"/>
    <w:rsid w:val="69C954EA"/>
    <w:rsid w:val="69D10B66"/>
    <w:rsid w:val="69DD1324"/>
    <w:rsid w:val="69E40EDB"/>
    <w:rsid w:val="6A0D10EB"/>
    <w:rsid w:val="6A1D7B81"/>
    <w:rsid w:val="6A333127"/>
    <w:rsid w:val="6A345460"/>
    <w:rsid w:val="6A4B5513"/>
    <w:rsid w:val="6A570995"/>
    <w:rsid w:val="6A58493C"/>
    <w:rsid w:val="6A694253"/>
    <w:rsid w:val="6A6A6BF8"/>
    <w:rsid w:val="6AA040F0"/>
    <w:rsid w:val="6AB135D4"/>
    <w:rsid w:val="6AB72C8E"/>
    <w:rsid w:val="6ABD016B"/>
    <w:rsid w:val="6ADD769E"/>
    <w:rsid w:val="6AE6266F"/>
    <w:rsid w:val="6AED5247"/>
    <w:rsid w:val="6B130B51"/>
    <w:rsid w:val="6B321631"/>
    <w:rsid w:val="6B325992"/>
    <w:rsid w:val="6B383677"/>
    <w:rsid w:val="6B39476E"/>
    <w:rsid w:val="6B3A7059"/>
    <w:rsid w:val="6B4A1AF3"/>
    <w:rsid w:val="6B5F6511"/>
    <w:rsid w:val="6B7C465A"/>
    <w:rsid w:val="6B836A52"/>
    <w:rsid w:val="6B855C05"/>
    <w:rsid w:val="6BAE2B10"/>
    <w:rsid w:val="6BB84FEC"/>
    <w:rsid w:val="6BBF620C"/>
    <w:rsid w:val="6BC555F5"/>
    <w:rsid w:val="6BE12346"/>
    <w:rsid w:val="6C0A493E"/>
    <w:rsid w:val="6C0E2C17"/>
    <w:rsid w:val="6C3118E9"/>
    <w:rsid w:val="6C416C00"/>
    <w:rsid w:val="6C48035C"/>
    <w:rsid w:val="6C4816FE"/>
    <w:rsid w:val="6C494D06"/>
    <w:rsid w:val="6C534810"/>
    <w:rsid w:val="6C673653"/>
    <w:rsid w:val="6C6F27D8"/>
    <w:rsid w:val="6C6F2B17"/>
    <w:rsid w:val="6C7D2F40"/>
    <w:rsid w:val="6CA7781F"/>
    <w:rsid w:val="6CB25732"/>
    <w:rsid w:val="6CFE341A"/>
    <w:rsid w:val="6CFF2589"/>
    <w:rsid w:val="6D0772D6"/>
    <w:rsid w:val="6D2E1FA8"/>
    <w:rsid w:val="6D3B6503"/>
    <w:rsid w:val="6D487562"/>
    <w:rsid w:val="6D4C1307"/>
    <w:rsid w:val="6D5121C9"/>
    <w:rsid w:val="6D566D33"/>
    <w:rsid w:val="6D5D06DB"/>
    <w:rsid w:val="6DA63E09"/>
    <w:rsid w:val="6DBA4274"/>
    <w:rsid w:val="6DC77328"/>
    <w:rsid w:val="6DCD2C23"/>
    <w:rsid w:val="6DD6415F"/>
    <w:rsid w:val="6DED05AF"/>
    <w:rsid w:val="6DFA4688"/>
    <w:rsid w:val="6E036ABA"/>
    <w:rsid w:val="6E0717EB"/>
    <w:rsid w:val="6E13184C"/>
    <w:rsid w:val="6E24316F"/>
    <w:rsid w:val="6E273A76"/>
    <w:rsid w:val="6E496F01"/>
    <w:rsid w:val="6E4F52D1"/>
    <w:rsid w:val="6E562A96"/>
    <w:rsid w:val="6E570B26"/>
    <w:rsid w:val="6E6619E4"/>
    <w:rsid w:val="6E661D1D"/>
    <w:rsid w:val="6E8E6B7E"/>
    <w:rsid w:val="6E977913"/>
    <w:rsid w:val="6E9E269F"/>
    <w:rsid w:val="6EA904FD"/>
    <w:rsid w:val="6EC870CB"/>
    <w:rsid w:val="6ECB2339"/>
    <w:rsid w:val="6ECC4053"/>
    <w:rsid w:val="6EE01F2C"/>
    <w:rsid w:val="6EE93E3E"/>
    <w:rsid w:val="6EFD47BC"/>
    <w:rsid w:val="6F0C65A8"/>
    <w:rsid w:val="6F147F2D"/>
    <w:rsid w:val="6F3119D1"/>
    <w:rsid w:val="6F3B17C9"/>
    <w:rsid w:val="6F5C6C7D"/>
    <w:rsid w:val="6F62155C"/>
    <w:rsid w:val="6F62357A"/>
    <w:rsid w:val="6F7406BD"/>
    <w:rsid w:val="6F901925"/>
    <w:rsid w:val="6F960880"/>
    <w:rsid w:val="6FAA3E8C"/>
    <w:rsid w:val="6FB02DFF"/>
    <w:rsid w:val="6FB03A05"/>
    <w:rsid w:val="6FB60BB7"/>
    <w:rsid w:val="6FB902D6"/>
    <w:rsid w:val="6FB940CF"/>
    <w:rsid w:val="6FCB0B17"/>
    <w:rsid w:val="6FEB7709"/>
    <w:rsid w:val="6FEC7F7B"/>
    <w:rsid w:val="708B5771"/>
    <w:rsid w:val="708C263B"/>
    <w:rsid w:val="70B84386"/>
    <w:rsid w:val="70BE2F9F"/>
    <w:rsid w:val="70C52989"/>
    <w:rsid w:val="70DF7B65"/>
    <w:rsid w:val="70E46F2A"/>
    <w:rsid w:val="70E653B7"/>
    <w:rsid w:val="70F96E79"/>
    <w:rsid w:val="71105F71"/>
    <w:rsid w:val="711B2FBA"/>
    <w:rsid w:val="711E68DF"/>
    <w:rsid w:val="7128050D"/>
    <w:rsid w:val="71615990"/>
    <w:rsid w:val="7185678A"/>
    <w:rsid w:val="718C1B45"/>
    <w:rsid w:val="718F4EE0"/>
    <w:rsid w:val="718F5FED"/>
    <w:rsid w:val="719E17CE"/>
    <w:rsid w:val="71C130F2"/>
    <w:rsid w:val="71D46F9E"/>
    <w:rsid w:val="71D906A6"/>
    <w:rsid w:val="71DE7DA9"/>
    <w:rsid w:val="71EF3DD8"/>
    <w:rsid w:val="71F5311A"/>
    <w:rsid w:val="72041482"/>
    <w:rsid w:val="72464FAC"/>
    <w:rsid w:val="72633843"/>
    <w:rsid w:val="727442DD"/>
    <w:rsid w:val="7278201F"/>
    <w:rsid w:val="727D13E4"/>
    <w:rsid w:val="72803EE6"/>
    <w:rsid w:val="7280625C"/>
    <w:rsid w:val="72850298"/>
    <w:rsid w:val="729606F7"/>
    <w:rsid w:val="72A27EA1"/>
    <w:rsid w:val="72AA0E4C"/>
    <w:rsid w:val="72AB78C9"/>
    <w:rsid w:val="72C97787"/>
    <w:rsid w:val="72D353D3"/>
    <w:rsid w:val="72DA2256"/>
    <w:rsid w:val="72F614B0"/>
    <w:rsid w:val="72FE0315"/>
    <w:rsid w:val="730344AD"/>
    <w:rsid w:val="73042059"/>
    <w:rsid w:val="73047649"/>
    <w:rsid w:val="7309151C"/>
    <w:rsid w:val="731B5B5E"/>
    <w:rsid w:val="731F249B"/>
    <w:rsid w:val="732B52E4"/>
    <w:rsid w:val="734561F3"/>
    <w:rsid w:val="735A1009"/>
    <w:rsid w:val="736D487B"/>
    <w:rsid w:val="737215F8"/>
    <w:rsid w:val="738A0FF9"/>
    <w:rsid w:val="739473CD"/>
    <w:rsid w:val="739F160F"/>
    <w:rsid w:val="739F5C0B"/>
    <w:rsid w:val="73A30D3E"/>
    <w:rsid w:val="73B72AF6"/>
    <w:rsid w:val="73BD3F63"/>
    <w:rsid w:val="73C44DF0"/>
    <w:rsid w:val="74143FCA"/>
    <w:rsid w:val="74287850"/>
    <w:rsid w:val="742C30C1"/>
    <w:rsid w:val="74715C36"/>
    <w:rsid w:val="748C3B60"/>
    <w:rsid w:val="749B5A83"/>
    <w:rsid w:val="749C0275"/>
    <w:rsid w:val="74BC6591"/>
    <w:rsid w:val="74D24E9E"/>
    <w:rsid w:val="74E67714"/>
    <w:rsid w:val="74E751A2"/>
    <w:rsid w:val="74ED3C25"/>
    <w:rsid w:val="7509304C"/>
    <w:rsid w:val="75282E62"/>
    <w:rsid w:val="752B3379"/>
    <w:rsid w:val="753171A0"/>
    <w:rsid w:val="7544443B"/>
    <w:rsid w:val="754B1FFC"/>
    <w:rsid w:val="754E6B92"/>
    <w:rsid w:val="755273D5"/>
    <w:rsid w:val="75575B74"/>
    <w:rsid w:val="755D4688"/>
    <w:rsid w:val="755F3023"/>
    <w:rsid w:val="75640C7C"/>
    <w:rsid w:val="75696028"/>
    <w:rsid w:val="757271FA"/>
    <w:rsid w:val="757401F5"/>
    <w:rsid w:val="758E22C7"/>
    <w:rsid w:val="758F3F41"/>
    <w:rsid w:val="75944076"/>
    <w:rsid w:val="75A1464A"/>
    <w:rsid w:val="75BA4C77"/>
    <w:rsid w:val="75BE301B"/>
    <w:rsid w:val="75D035E3"/>
    <w:rsid w:val="75D71CB1"/>
    <w:rsid w:val="75E207CF"/>
    <w:rsid w:val="75EB0B95"/>
    <w:rsid w:val="75F031E4"/>
    <w:rsid w:val="760A7432"/>
    <w:rsid w:val="764531E9"/>
    <w:rsid w:val="764F7C52"/>
    <w:rsid w:val="76661134"/>
    <w:rsid w:val="767945B8"/>
    <w:rsid w:val="767D4BCE"/>
    <w:rsid w:val="76880357"/>
    <w:rsid w:val="76AE18E6"/>
    <w:rsid w:val="76BA2A42"/>
    <w:rsid w:val="76D31F1A"/>
    <w:rsid w:val="76D8308D"/>
    <w:rsid w:val="76D85277"/>
    <w:rsid w:val="76E523A1"/>
    <w:rsid w:val="76EE0B64"/>
    <w:rsid w:val="771E1E54"/>
    <w:rsid w:val="7750356B"/>
    <w:rsid w:val="775C1F10"/>
    <w:rsid w:val="775F3555"/>
    <w:rsid w:val="776963DA"/>
    <w:rsid w:val="7780238F"/>
    <w:rsid w:val="778B4D6C"/>
    <w:rsid w:val="77915184"/>
    <w:rsid w:val="7793469B"/>
    <w:rsid w:val="77972F48"/>
    <w:rsid w:val="77A83845"/>
    <w:rsid w:val="77B43AFA"/>
    <w:rsid w:val="77C43611"/>
    <w:rsid w:val="77DD5C3E"/>
    <w:rsid w:val="77E874D8"/>
    <w:rsid w:val="77F439F0"/>
    <w:rsid w:val="77FA34D6"/>
    <w:rsid w:val="780B3D48"/>
    <w:rsid w:val="78237F8F"/>
    <w:rsid w:val="783469E8"/>
    <w:rsid w:val="7835676F"/>
    <w:rsid w:val="78393511"/>
    <w:rsid w:val="786731BB"/>
    <w:rsid w:val="78832831"/>
    <w:rsid w:val="78867A1D"/>
    <w:rsid w:val="78912056"/>
    <w:rsid w:val="789525CE"/>
    <w:rsid w:val="789B3CC7"/>
    <w:rsid w:val="78A21BA4"/>
    <w:rsid w:val="78C37D6C"/>
    <w:rsid w:val="78DA7590"/>
    <w:rsid w:val="78E36009"/>
    <w:rsid w:val="78F16688"/>
    <w:rsid w:val="78F9695D"/>
    <w:rsid w:val="790C7366"/>
    <w:rsid w:val="79201025"/>
    <w:rsid w:val="7928674B"/>
    <w:rsid w:val="794059AB"/>
    <w:rsid w:val="79472C0F"/>
    <w:rsid w:val="794B6F8C"/>
    <w:rsid w:val="7967694A"/>
    <w:rsid w:val="797360E1"/>
    <w:rsid w:val="79820A4B"/>
    <w:rsid w:val="799919E7"/>
    <w:rsid w:val="79A93F59"/>
    <w:rsid w:val="79AE6327"/>
    <w:rsid w:val="79BC3347"/>
    <w:rsid w:val="79BE7242"/>
    <w:rsid w:val="79CE69C9"/>
    <w:rsid w:val="79DF2984"/>
    <w:rsid w:val="79EF02E5"/>
    <w:rsid w:val="79F06032"/>
    <w:rsid w:val="7A000441"/>
    <w:rsid w:val="7A170370"/>
    <w:rsid w:val="7A4E6CFB"/>
    <w:rsid w:val="7A5E0023"/>
    <w:rsid w:val="7A5E1AFB"/>
    <w:rsid w:val="7A792DD8"/>
    <w:rsid w:val="7A886A8A"/>
    <w:rsid w:val="7AA42653"/>
    <w:rsid w:val="7AA65250"/>
    <w:rsid w:val="7AB874D3"/>
    <w:rsid w:val="7ABD553C"/>
    <w:rsid w:val="7ABF612D"/>
    <w:rsid w:val="7ACB1C89"/>
    <w:rsid w:val="7AD34E0C"/>
    <w:rsid w:val="7AD57572"/>
    <w:rsid w:val="7ADA57A0"/>
    <w:rsid w:val="7AE96FDB"/>
    <w:rsid w:val="7AF30D17"/>
    <w:rsid w:val="7B0A382C"/>
    <w:rsid w:val="7B1A0118"/>
    <w:rsid w:val="7B205002"/>
    <w:rsid w:val="7B2F0C84"/>
    <w:rsid w:val="7B33618E"/>
    <w:rsid w:val="7B387ADD"/>
    <w:rsid w:val="7B5D0004"/>
    <w:rsid w:val="7B5E70EA"/>
    <w:rsid w:val="7B652CCA"/>
    <w:rsid w:val="7B88353D"/>
    <w:rsid w:val="7B8958EB"/>
    <w:rsid w:val="7BD30691"/>
    <w:rsid w:val="7BDF0A19"/>
    <w:rsid w:val="7C2D33D5"/>
    <w:rsid w:val="7C3658C0"/>
    <w:rsid w:val="7C4901BE"/>
    <w:rsid w:val="7C596A1E"/>
    <w:rsid w:val="7C645132"/>
    <w:rsid w:val="7C696A41"/>
    <w:rsid w:val="7C6F5DE5"/>
    <w:rsid w:val="7C711266"/>
    <w:rsid w:val="7CA70F0F"/>
    <w:rsid w:val="7CA739FB"/>
    <w:rsid w:val="7CB542DB"/>
    <w:rsid w:val="7CB9570E"/>
    <w:rsid w:val="7CE42AD2"/>
    <w:rsid w:val="7CE528F3"/>
    <w:rsid w:val="7D042897"/>
    <w:rsid w:val="7D0961FB"/>
    <w:rsid w:val="7D114973"/>
    <w:rsid w:val="7D1F286A"/>
    <w:rsid w:val="7D3C5330"/>
    <w:rsid w:val="7D4A46F3"/>
    <w:rsid w:val="7D585C8D"/>
    <w:rsid w:val="7D5D2479"/>
    <w:rsid w:val="7D6E7027"/>
    <w:rsid w:val="7D7134E6"/>
    <w:rsid w:val="7D98166C"/>
    <w:rsid w:val="7D9817C8"/>
    <w:rsid w:val="7DCD663C"/>
    <w:rsid w:val="7DD61E50"/>
    <w:rsid w:val="7DEE5983"/>
    <w:rsid w:val="7E080D31"/>
    <w:rsid w:val="7E0D5890"/>
    <w:rsid w:val="7E0F61B9"/>
    <w:rsid w:val="7E245A9C"/>
    <w:rsid w:val="7E2C0932"/>
    <w:rsid w:val="7E4D115D"/>
    <w:rsid w:val="7E7516B9"/>
    <w:rsid w:val="7E787AF6"/>
    <w:rsid w:val="7E8D6062"/>
    <w:rsid w:val="7EA74C40"/>
    <w:rsid w:val="7EA85A3A"/>
    <w:rsid w:val="7EE12117"/>
    <w:rsid w:val="7EF74757"/>
    <w:rsid w:val="7F0F1615"/>
    <w:rsid w:val="7F1135E0"/>
    <w:rsid w:val="7F134251"/>
    <w:rsid w:val="7F343826"/>
    <w:rsid w:val="7F4242BF"/>
    <w:rsid w:val="7F425AAB"/>
    <w:rsid w:val="7F585D96"/>
    <w:rsid w:val="7F786A5C"/>
    <w:rsid w:val="7F8B5A00"/>
    <w:rsid w:val="7F9D1317"/>
    <w:rsid w:val="7FA90487"/>
    <w:rsid w:val="7FB523F0"/>
    <w:rsid w:val="7FCC7507"/>
    <w:rsid w:val="7FDD08F4"/>
    <w:rsid w:val="7FEA2B91"/>
    <w:rsid w:val="7FF62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宋体" w:hAnsi="宋体" w:eastAsia="宋体" w:cs="宋体"/>
      <w:sz w:val="24"/>
      <w:szCs w:val="24"/>
      <w:lang w:val="en-US" w:eastAsia="zh-CN" w:bidi="ar-SA"/>
    </w:rPr>
  </w:style>
  <w:style w:type="paragraph" w:styleId="2">
    <w:name w:val="heading 1"/>
    <w:basedOn w:val="1"/>
    <w:next w:val="1"/>
    <w:link w:val="39"/>
    <w:autoRedefine/>
    <w:qFormat/>
    <w:uiPriority w:val="0"/>
    <w:pPr>
      <w:autoSpaceDE w:val="0"/>
      <w:autoSpaceDN w:val="0"/>
      <w:adjustRightInd w:val="0"/>
      <w:outlineLvl w:val="0"/>
    </w:pPr>
    <w:rPr>
      <w:sz w:val="30"/>
    </w:rPr>
  </w:style>
  <w:style w:type="paragraph" w:styleId="3">
    <w:name w:val="heading 2"/>
    <w:basedOn w:val="2"/>
    <w:next w:val="1"/>
    <w:link w:val="40"/>
    <w:qFormat/>
    <w:uiPriority w:val="0"/>
    <w:pPr>
      <w:autoSpaceDE w:val="0"/>
      <w:autoSpaceDN w:val="0"/>
      <w:adjustRightInd w:val="0"/>
      <w:outlineLvl w:val="1"/>
    </w:pPr>
    <w:rPr>
      <w:rFonts w:ascii="Tahoma" w:hAnsi="Tahoma"/>
      <w:sz w:val="20"/>
    </w:rPr>
  </w:style>
  <w:style w:type="paragraph" w:styleId="4">
    <w:name w:val="heading 3"/>
    <w:basedOn w:val="1"/>
    <w:next w:val="1"/>
    <w:autoRedefine/>
    <w:qFormat/>
    <w:uiPriority w:val="0"/>
    <w:pPr>
      <w:keepNext/>
      <w:keepLines/>
      <w:spacing w:before="120" w:after="120"/>
      <w:outlineLvl w:val="2"/>
    </w:pPr>
    <w:rPr>
      <w:b/>
    </w:rPr>
  </w:style>
  <w:style w:type="paragraph" w:styleId="5">
    <w:name w:val="heading 4"/>
    <w:basedOn w:val="1"/>
    <w:next w:val="1"/>
    <w:autoRedefine/>
    <w:qFormat/>
    <w:uiPriority w:val="0"/>
    <w:pPr>
      <w:keepNext/>
      <w:keepLines/>
      <w:spacing w:before="280" w:after="290" w:line="374" w:lineRule="auto"/>
      <w:outlineLvl w:val="3"/>
    </w:pPr>
    <w:rPr>
      <w:rFonts w:ascii="Arial" w:hAnsi="Arial"/>
    </w:rPr>
  </w:style>
  <w:style w:type="paragraph" w:styleId="6">
    <w:name w:val="heading 8"/>
    <w:basedOn w:val="1"/>
    <w:next w:val="1"/>
    <w:autoRedefine/>
    <w:qFormat/>
    <w:uiPriority w:val="0"/>
    <w:pPr>
      <w:keepNext/>
      <w:keepLines/>
      <w:spacing w:before="240" w:after="64" w:line="320" w:lineRule="auto"/>
      <w:outlineLvl w:val="7"/>
    </w:pPr>
    <w:rPr>
      <w:rFonts w:ascii="Arial" w:hAnsi="Arial" w:eastAsia="黑体"/>
    </w:rPr>
  </w:style>
  <w:style w:type="paragraph" w:styleId="7">
    <w:name w:val="heading 9"/>
    <w:basedOn w:val="1"/>
    <w:next w:val="1"/>
    <w:autoRedefine/>
    <w:qFormat/>
    <w:uiPriority w:val="0"/>
    <w:pPr>
      <w:keepNext/>
      <w:keepLines/>
      <w:spacing w:before="240" w:after="64" w:line="320" w:lineRule="auto"/>
      <w:outlineLvl w:val="8"/>
    </w:pPr>
    <w:rPr>
      <w:rFonts w:ascii="Cambria" w:hAnsi="Cambria"/>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8">
    <w:name w:val="Normal Indent"/>
    <w:basedOn w:val="1"/>
    <w:autoRedefine/>
    <w:qFormat/>
    <w:uiPriority w:val="0"/>
    <w:pPr>
      <w:ind w:firstLine="420"/>
    </w:pPr>
    <w:rPr>
      <w:sz w:val="20"/>
    </w:rPr>
  </w:style>
  <w:style w:type="paragraph" w:styleId="9">
    <w:name w:val="Document Map"/>
    <w:basedOn w:val="1"/>
    <w:autoRedefine/>
    <w:qFormat/>
    <w:uiPriority w:val="0"/>
    <w:pPr>
      <w:shd w:val="clear" w:color="auto" w:fill="000080"/>
    </w:pPr>
  </w:style>
  <w:style w:type="paragraph" w:styleId="10">
    <w:name w:val="annotation text"/>
    <w:basedOn w:val="1"/>
    <w:next w:val="1"/>
    <w:link w:val="41"/>
    <w:autoRedefine/>
    <w:qFormat/>
    <w:uiPriority w:val="0"/>
  </w:style>
  <w:style w:type="paragraph" w:styleId="11">
    <w:name w:val="Body Text"/>
    <w:basedOn w:val="1"/>
    <w:autoRedefine/>
    <w:qFormat/>
    <w:uiPriority w:val="0"/>
    <w:pPr>
      <w:spacing w:after="120"/>
    </w:pPr>
  </w:style>
  <w:style w:type="paragraph" w:styleId="12">
    <w:name w:val="Body Text Indent"/>
    <w:basedOn w:val="1"/>
    <w:next w:val="13"/>
    <w:autoRedefine/>
    <w:qFormat/>
    <w:uiPriority w:val="0"/>
    <w:pPr>
      <w:ind w:firstLine="560" w:firstLineChars="200"/>
    </w:pPr>
  </w:style>
  <w:style w:type="paragraph" w:styleId="13">
    <w:name w:val="envelope return"/>
    <w:basedOn w:val="1"/>
    <w:autoRedefine/>
    <w:qFormat/>
    <w:uiPriority w:val="99"/>
    <w:pPr>
      <w:snapToGrid w:val="0"/>
    </w:pPr>
    <w:rPr>
      <w:rFonts w:ascii="Arial" w:hAnsi="Arial" w:cs="Arial"/>
    </w:rPr>
  </w:style>
  <w:style w:type="paragraph" w:styleId="14">
    <w:name w:val="toc 3"/>
    <w:basedOn w:val="1"/>
    <w:next w:val="1"/>
    <w:autoRedefine/>
    <w:qFormat/>
    <w:uiPriority w:val="0"/>
    <w:pPr>
      <w:ind w:left="840" w:leftChars="400"/>
    </w:pPr>
  </w:style>
  <w:style w:type="paragraph" w:styleId="15">
    <w:name w:val="Plain Text"/>
    <w:basedOn w:val="1"/>
    <w:autoRedefine/>
    <w:qFormat/>
    <w:uiPriority w:val="0"/>
    <w:rPr>
      <w:rFonts w:hAnsi="Courier New"/>
    </w:rPr>
  </w:style>
  <w:style w:type="paragraph" w:styleId="16">
    <w:name w:val="Date"/>
    <w:basedOn w:val="1"/>
    <w:next w:val="1"/>
    <w:link w:val="42"/>
    <w:autoRedefine/>
    <w:qFormat/>
    <w:uiPriority w:val="0"/>
    <w:pPr>
      <w:ind w:left="100" w:leftChars="2500"/>
    </w:pPr>
  </w:style>
  <w:style w:type="paragraph" w:styleId="17">
    <w:name w:val="Body Text Indent 2"/>
    <w:basedOn w:val="1"/>
    <w:autoRedefine/>
    <w:qFormat/>
    <w:uiPriority w:val="0"/>
    <w:pPr>
      <w:spacing w:line="480" w:lineRule="auto"/>
      <w:ind w:firstLine="561"/>
    </w:pPr>
  </w:style>
  <w:style w:type="paragraph" w:styleId="18">
    <w:name w:val="endnote text"/>
    <w:basedOn w:val="1"/>
    <w:autoRedefine/>
    <w:qFormat/>
    <w:uiPriority w:val="0"/>
    <w:pPr>
      <w:snapToGrid w:val="0"/>
    </w:pPr>
  </w:style>
  <w:style w:type="paragraph" w:styleId="19">
    <w:name w:val="Balloon Text"/>
    <w:basedOn w:val="1"/>
    <w:link w:val="43"/>
    <w:autoRedefine/>
    <w:qFormat/>
    <w:uiPriority w:val="0"/>
    <w:rPr>
      <w:sz w:val="18"/>
      <w:szCs w:val="18"/>
    </w:rPr>
  </w:style>
  <w:style w:type="paragraph" w:styleId="20">
    <w:name w:val="footer"/>
    <w:basedOn w:val="1"/>
    <w:autoRedefine/>
    <w:qFormat/>
    <w:uiPriority w:val="0"/>
    <w:pPr>
      <w:tabs>
        <w:tab w:val="center" w:pos="4153"/>
        <w:tab w:val="right" w:pos="8306"/>
      </w:tabs>
      <w:snapToGrid w:val="0"/>
    </w:pPr>
    <w:rPr>
      <w:sz w:val="18"/>
    </w:rPr>
  </w:style>
  <w:style w:type="paragraph" w:styleId="2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2">
    <w:name w:val="toc 1"/>
    <w:basedOn w:val="1"/>
    <w:next w:val="1"/>
    <w:autoRedefine/>
    <w:qFormat/>
    <w:uiPriority w:val="0"/>
  </w:style>
  <w:style w:type="paragraph" w:styleId="23">
    <w:name w:val="toc 4"/>
    <w:basedOn w:val="1"/>
    <w:next w:val="1"/>
    <w:qFormat/>
    <w:uiPriority w:val="0"/>
    <w:pPr>
      <w:ind w:left="1260" w:leftChars="600"/>
    </w:pPr>
  </w:style>
  <w:style w:type="paragraph" w:styleId="24">
    <w:name w:val="toc 2"/>
    <w:basedOn w:val="1"/>
    <w:next w:val="1"/>
    <w:autoRedefine/>
    <w:qFormat/>
    <w:uiPriority w:val="0"/>
    <w:pPr>
      <w:ind w:left="420" w:leftChars="200"/>
    </w:pPr>
  </w:style>
  <w:style w:type="paragraph" w:styleId="25">
    <w:name w:val="Body Text 2"/>
    <w:basedOn w:val="1"/>
    <w:autoRedefine/>
    <w:qFormat/>
    <w:uiPriority w:val="0"/>
    <w:pPr>
      <w:spacing w:line="500" w:lineRule="exact"/>
    </w:pPr>
  </w:style>
  <w:style w:type="paragraph" w:styleId="26">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rPr>
  </w:style>
  <w:style w:type="paragraph" w:styleId="27">
    <w:name w:val="Normal (Web)"/>
    <w:basedOn w:val="1"/>
    <w:autoRedefine/>
    <w:qFormat/>
    <w:uiPriority w:val="0"/>
    <w:pPr>
      <w:spacing w:before="100" w:beforeAutospacing="1" w:after="100" w:afterAutospacing="1"/>
    </w:pPr>
    <w:rPr>
      <w:color w:val="000000"/>
    </w:rPr>
  </w:style>
  <w:style w:type="paragraph" w:styleId="28">
    <w:name w:val="Title"/>
    <w:basedOn w:val="1"/>
    <w:next w:val="1"/>
    <w:autoRedefine/>
    <w:qFormat/>
    <w:uiPriority w:val="10"/>
    <w:pPr>
      <w:spacing w:before="240" w:after="60"/>
      <w:jc w:val="center"/>
      <w:outlineLvl w:val="0"/>
    </w:pPr>
    <w:rPr>
      <w:rFonts w:ascii="Cambria" w:hAnsi="Cambria"/>
      <w:b/>
      <w:bCs/>
      <w:sz w:val="32"/>
      <w:szCs w:val="32"/>
    </w:rPr>
  </w:style>
  <w:style w:type="paragraph" w:styleId="29">
    <w:name w:val="annotation subject"/>
    <w:basedOn w:val="10"/>
    <w:next w:val="10"/>
    <w:link w:val="44"/>
    <w:autoRedefine/>
    <w:qFormat/>
    <w:uiPriority w:val="0"/>
    <w:rPr>
      <w:b/>
      <w:bCs/>
    </w:rPr>
  </w:style>
  <w:style w:type="paragraph" w:styleId="30">
    <w:name w:val="Body Text First Indent"/>
    <w:basedOn w:val="11"/>
    <w:autoRedefine/>
    <w:qFormat/>
    <w:uiPriority w:val="0"/>
    <w:pPr>
      <w:ind w:firstLine="420" w:firstLineChars="100"/>
    </w:pPr>
  </w:style>
  <w:style w:type="table" w:styleId="32">
    <w:name w:val="Table Grid"/>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endnote reference"/>
    <w:autoRedefine/>
    <w:qFormat/>
    <w:uiPriority w:val="0"/>
    <w:rPr>
      <w:rFonts w:ascii="Tahoma" w:hAnsi="Tahoma"/>
      <w:szCs w:val="24"/>
      <w:vertAlign w:val="superscript"/>
    </w:rPr>
  </w:style>
  <w:style w:type="character" w:styleId="35">
    <w:name w:val="page number"/>
    <w:basedOn w:val="33"/>
    <w:autoRedefine/>
    <w:qFormat/>
    <w:uiPriority w:val="0"/>
  </w:style>
  <w:style w:type="character" w:styleId="36">
    <w:name w:val="Emphasis"/>
    <w:basedOn w:val="33"/>
    <w:qFormat/>
    <w:uiPriority w:val="0"/>
  </w:style>
  <w:style w:type="character" w:styleId="37">
    <w:name w:val="Hyperlink"/>
    <w:autoRedefine/>
    <w:qFormat/>
    <w:uiPriority w:val="0"/>
    <w:rPr>
      <w:color w:val="0000FF"/>
      <w:u w:val="single"/>
    </w:rPr>
  </w:style>
  <w:style w:type="character" w:styleId="38">
    <w:name w:val="annotation reference"/>
    <w:autoRedefine/>
    <w:qFormat/>
    <w:uiPriority w:val="0"/>
    <w:rPr>
      <w:sz w:val="21"/>
      <w:szCs w:val="21"/>
    </w:rPr>
  </w:style>
  <w:style w:type="character" w:customStyle="1" w:styleId="39">
    <w:name w:val="标题 1 字符"/>
    <w:link w:val="2"/>
    <w:autoRedefine/>
    <w:qFormat/>
    <w:uiPriority w:val="0"/>
    <w:rPr>
      <w:kern w:val="0"/>
      <w:sz w:val="30"/>
    </w:rPr>
  </w:style>
  <w:style w:type="character" w:customStyle="1" w:styleId="40">
    <w:name w:val="标题 2 字符"/>
    <w:link w:val="3"/>
    <w:autoRedefine/>
    <w:qFormat/>
    <w:uiPriority w:val="0"/>
    <w:rPr>
      <w:rFonts w:ascii="Tahoma" w:hAnsi="Tahoma"/>
      <w:kern w:val="0"/>
      <w:szCs w:val="24"/>
    </w:rPr>
  </w:style>
  <w:style w:type="character" w:customStyle="1" w:styleId="41">
    <w:name w:val="批注文字 字符"/>
    <w:link w:val="10"/>
    <w:autoRedefine/>
    <w:qFormat/>
    <w:uiPriority w:val="0"/>
    <w:rPr>
      <w:kern w:val="2"/>
      <w:sz w:val="21"/>
    </w:rPr>
  </w:style>
  <w:style w:type="character" w:customStyle="1" w:styleId="42">
    <w:name w:val="日期 字符"/>
    <w:link w:val="16"/>
    <w:autoRedefine/>
    <w:qFormat/>
    <w:uiPriority w:val="0"/>
    <w:rPr>
      <w:kern w:val="2"/>
      <w:sz w:val="21"/>
    </w:rPr>
  </w:style>
  <w:style w:type="character" w:customStyle="1" w:styleId="43">
    <w:name w:val="批注框文本 字符"/>
    <w:link w:val="19"/>
    <w:autoRedefine/>
    <w:qFormat/>
    <w:uiPriority w:val="0"/>
    <w:rPr>
      <w:kern w:val="2"/>
      <w:sz w:val="18"/>
      <w:szCs w:val="18"/>
    </w:rPr>
  </w:style>
  <w:style w:type="character" w:customStyle="1" w:styleId="44">
    <w:name w:val="批注主题 字符"/>
    <w:link w:val="29"/>
    <w:autoRedefine/>
    <w:qFormat/>
    <w:uiPriority w:val="0"/>
    <w:rPr>
      <w:b/>
      <w:bCs/>
      <w:kern w:val="2"/>
      <w:sz w:val="21"/>
    </w:rPr>
  </w:style>
  <w:style w:type="paragraph" w:customStyle="1" w:styleId="45">
    <w:name w:val="正文缩进1"/>
    <w:basedOn w:val="1"/>
    <w:autoRedefine/>
    <w:qFormat/>
    <w:uiPriority w:val="0"/>
    <w:pPr>
      <w:ind w:firstLine="420"/>
    </w:pPr>
    <w:rPr>
      <w:sz w:val="20"/>
    </w:rPr>
  </w:style>
  <w:style w:type="character" w:customStyle="1" w:styleId="46">
    <w:name w:val="页码 New New New New New New New New"/>
    <w:basedOn w:val="33"/>
    <w:autoRedefine/>
    <w:qFormat/>
    <w:uiPriority w:val="0"/>
  </w:style>
  <w:style w:type="character" w:customStyle="1" w:styleId="47">
    <w:name w:val="页码 New New New New New New New New New New New New"/>
    <w:basedOn w:val="33"/>
    <w:autoRedefine/>
    <w:qFormat/>
    <w:uiPriority w:val="0"/>
  </w:style>
  <w:style w:type="character" w:customStyle="1" w:styleId="48">
    <w:name w:val="font11"/>
    <w:autoRedefine/>
    <w:qFormat/>
    <w:uiPriority w:val="0"/>
    <w:rPr>
      <w:rFonts w:ascii="����" w:hAnsi="����" w:eastAsia="����" w:cs="����"/>
      <w:color w:val="000000"/>
      <w:sz w:val="24"/>
      <w:szCs w:val="24"/>
      <w:u w:val="none"/>
    </w:rPr>
  </w:style>
  <w:style w:type="character" w:customStyle="1" w:styleId="49">
    <w:name w:val="超链接 New New"/>
    <w:autoRedefine/>
    <w:qFormat/>
    <w:uiPriority w:val="0"/>
    <w:rPr>
      <w:color w:val="000000"/>
      <w:sz w:val="18"/>
      <w:szCs w:val="18"/>
      <w:u w:val="none"/>
    </w:rPr>
  </w:style>
  <w:style w:type="character" w:customStyle="1" w:styleId="50">
    <w:name w:val="页码 New New New New New New New New New New New"/>
    <w:basedOn w:val="33"/>
    <w:autoRedefine/>
    <w:qFormat/>
    <w:uiPriority w:val="0"/>
  </w:style>
  <w:style w:type="character" w:customStyle="1" w:styleId="51">
    <w:name w:val="页码 New New New New New New"/>
    <w:basedOn w:val="33"/>
    <w:autoRedefine/>
    <w:qFormat/>
    <w:uiPriority w:val="0"/>
  </w:style>
  <w:style w:type="character" w:customStyle="1" w:styleId="52">
    <w:name w:val="页码 New New New New New"/>
    <w:basedOn w:val="33"/>
    <w:autoRedefine/>
    <w:qFormat/>
    <w:uiPriority w:val="0"/>
  </w:style>
  <w:style w:type="character" w:customStyle="1" w:styleId="53">
    <w:name w:val="页码 New"/>
    <w:basedOn w:val="33"/>
    <w:autoRedefine/>
    <w:qFormat/>
    <w:uiPriority w:val="0"/>
  </w:style>
  <w:style w:type="character" w:customStyle="1" w:styleId="54">
    <w:name w:val="标题 2 New New Char Char"/>
    <w:link w:val="55"/>
    <w:autoRedefine/>
    <w:qFormat/>
    <w:uiPriority w:val="0"/>
    <w:rPr>
      <w:kern w:val="0"/>
      <w:sz w:val="24"/>
    </w:rPr>
  </w:style>
  <w:style w:type="paragraph" w:customStyle="1" w:styleId="55">
    <w:name w:val="标题 2 New New"/>
    <w:basedOn w:val="56"/>
    <w:next w:val="56"/>
    <w:link w:val="54"/>
    <w:autoRedefine/>
    <w:qFormat/>
    <w:uiPriority w:val="0"/>
    <w:pPr>
      <w:autoSpaceDE w:val="0"/>
      <w:autoSpaceDN w:val="0"/>
      <w:adjustRightInd w:val="0"/>
      <w:jc w:val="left"/>
      <w:outlineLvl w:val="1"/>
    </w:pPr>
    <w:rPr>
      <w:rFonts w:ascii="Times New Roman"/>
      <w:kern w:val="0"/>
    </w:rPr>
  </w:style>
  <w:style w:type="paragraph" w:customStyle="1" w:styleId="56">
    <w:name w:val="正文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57">
    <w:name w:val="超链接 New"/>
    <w:autoRedefine/>
    <w:qFormat/>
    <w:uiPriority w:val="0"/>
    <w:rPr>
      <w:color w:val="0000FF"/>
      <w:u w:val="single"/>
    </w:rPr>
  </w:style>
  <w:style w:type="character" w:customStyle="1" w:styleId="58">
    <w:name w:val="页码 New New New New New New New"/>
    <w:basedOn w:val="33"/>
    <w:autoRedefine/>
    <w:qFormat/>
    <w:uiPriority w:val="0"/>
  </w:style>
  <w:style w:type="character" w:customStyle="1" w:styleId="59">
    <w:name w:val="正文文本缩进 2 New Char Char"/>
    <w:link w:val="60"/>
    <w:autoRedefine/>
    <w:qFormat/>
    <w:uiPriority w:val="0"/>
    <w:rPr>
      <w:rFonts w:ascii="宋体"/>
    </w:rPr>
  </w:style>
  <w:style w:type="paragraph" w:customStyle="1" w:styleId="60">
    <w:name w:val="正文文本缩进 2 New"/>
    <w:basedOn w:val="56"/>
    <w:link w:val="59"/>
    <w:autoRedefine/>
    <w:qFormat/>
    <w:uiPriority w:val="0"/>
    <w:pPr>
      <w:spacing w:line="480" w:lineRule="auto"/>
      <w:ind w:firstLine="561"/>
    </w:pPr>
    <w:rPr>
      <w:kern w:val="0"/>
      <w:sz w:val="20"/>
    </w:rPr>
  </w:style>
  <w:style w:type="character" w:customStyle="1" w:styleId="61">
    <w:name w:val="font21"/>
    <w:autoRedefine/>
    <w:qFormat/>
    <w:uiPriority w:val="0"/>
    <w:rPr>
      <w:rFonts w:ascii="Calibri" w:hAnsi="Calibri" w:cs="Calibri"/>
      <w:color w:val="000000"/>
      <w:sz w:val="24"/>
      <w:szCs w:val="24"/>
      <w:u w:val="none"/>
    </w:rPr>
  </w:style>
  <w:style w:type="character" w:customStyle="1" w:styleId="62">
    <w:name w:val="页码 New New New"/>
    <w:basedOn w:val="33"/>
    <w:autoRedefine/>
    <w:qFormat/>
    <w:uiPriority w:val="0"/>
  </w:style>
  <w:style w:type="character" w:customStyle="1" w:styleId="63">
    <w:name w:val="页码 New New New New New New New New New"/>
    <w:basedOn w:val="33"/>
    <w:autoRedefine/>
    <w:qFormat/>
    <w:uiPriority w:val="0"/>
  </w:style>
  <w:style w:type="character" w:customStyle="1" w:styleId="64">
    <w:name w:val="font51"/>
    <w:autoRedefine/>
    <w:qFormat/>
    <w:uiPriority w:val="0"/>
    <w:rPr>
      <w:rFonts w:hint="eastAsia" w:ascii="宋体" w:hAnsi="宋体" w:eastAsia="宋体" w:cs="宋体"/>
      <w:color w:val="000000"/>
      <w:sz w:val="24"/>
      <w:szCs w:val="24"/>
      <w:u w:val="none"/>
    </w:rPr>
  </w:style>
  <w:style w:type="character" w:customStyle="1" w:styleId="65">
    <w:name w:val="font41"/>
    <w:autoRedefine/>
    <w:qFormat/>
    <w:uiPriority w:val="0"/>
    <w:rPr>
      <w:rFonts w:hint="eastAsia" w:ascii="宋体" w:hAnsi="宋体" w:eastAsia="宋体" w:cs="宋体"/>
      <w:color w:val="000000"/>
      <w:sz w:val="24"/>
      <w:szCs w:val="24"/>
      <w:u w:val="none"/>
    </w:rPr>
  </w:style>
  <w:style w:type="character" w:customStyle="1" w:styleId="66">
    <w:name w:val="页码 New New"/>
    <w:basedOn w:val="33"/>
    <w:autoRedefine/>
    <w:qFormat/>
    <w:uiPriority w:val="0"/>
  </w:style>
  <w:style w:type="character" w:customStyle="1" w:styleId="67">
    <w:name w:val="页码 New New New New"/>
    <w:basedOn w:val="33"/>
    <w:autoRedefine/>
    <w:qFormat/>
    <w:uiPriority w:val="0"/>
  </w:style>
  <w:style w:type="character" w:customStyle="1" w:styleId="68">
    <w:name w:val="页码 New New New New New New New New New New"/>
    <w:basedOn w:val="33"/>
    <w:autoRedefine/>
    <w:qFormat/>
    <w:uiPriority w:val="0"/>
  </w:style>
  <w:style w:type="paragraph" w:customStyle="1" w:styleId="69">
    <w:name w:val="页眉 New New"/>
    <w:basedOn w:val="1"/>
    <w:autoRedefine/>
    <w:qFormat/>
    <w:uiPriority w:val="0"/>
    <w:pPr>
      <w:pBdr>
        <w:bottom w:val="single" w:color="auto" w:sz="6" w:space="1"/>
      </w:pBdr>
      <w:tabs>
        <w:tab w:val="center" w:pos="4153"/>
        <w:tab w:val="right" w:pos="8306"/>
      </w:tabs>
      <w:snapToGrid w:val="0"/>
      <w:jc w:val="center"/>
    </w:pPr>
    <w:rPr>
      <w:sz w:val="18"/>
    </w:rPr>
  </w:style>
  <w:style w:type="paragraph" w:customStyle="1" w:styleId="70">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Bodoni MT" w:hAnsi="Bodoni MT" w:eastAsia="宋体" w:cs="Bodoni MT"/>
      <w:kern w:val="2"/>
      <w:sz w:val="21"/>
      <w:szCs w:val="24"/>
      <w:lang w:val="en-US" w:eastAsia="zh-CN" w:bidi="ar-SA"/>
    </w:rPr>
  </w:style>
  <w:style w:type="paragraph" w:customStyle="1" w:styleId="71">
    <w:name w:val="页脚 New New New New New New New New New New New New New New New New New New New"/>
    <w:basedOn w:val="70"/>
    <w:autoRedefine/>
    <w:qFormat/>
    <w:uiPriority w:val="0"/>
    <w:pPr>
      <w:tabs>
        <w:tab w:val="center" w:pos="4153"/>
        <w:tab w:val="right" w:pos="8306"/>
      </w:tabs>
      <w:snapToGrid w:val="0"/>
      <w:jc w:val="left"/>
    </w:pPr>
    <w:rPr>
      <w:sz w:val="18"/>
      <w:szCs w:val="18"/>
    </w:rPr>
  </w:style>
  <w:style w:type="paragraph" w:customStyle="1" w:styleId="72">
    <w:name w:val="页脚 New New New New New New New New New New New New New New New New New New"/>
    <w:basedOn w:val="73"/>
    <w:autoRedefine/>
    <w:qFormat/>
    <w:uiPriority w:val="0"/>
    <w:pPr>
      <w:widowControl/>
      <w:tabs>
        <w:tab w:val="center" w:pos="4153"/>
        <w:tab w:val="right" w:pos="8306"/>
      </w:tabs>
      <w:snapToGrid w:val="0"/>
      <w:jc w:val="left"/>
    </w:pPr>
    <w:rPr>
      <w:kern w:val="0"/>
      <w:sz w:val="18"/>
    </w:rPr>
  </w:style>
  <w:style w:type="paragraph" w:customStyle="1" w:styleId="73">
    <w:name w:val="正文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4">
    <w:name w:val="正文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5">
    <w:name w:val="正文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76">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
    <w:name w:val="索引标题 New"/>
    <w:basedOn w:val="1"/>
    <w:next w:val="78"/>
    <w:autoRedefine/>
    <w:qFormat/>
    <w:uiPriority w:val="0"/>
  </w:style>
  <w:style w:type="paragraph" w:customStyle="1" w:styleId="78">
    <w:name w:val="索引 1 New"/>
    <w:basedOn w:val="1"/>
    <w:next w:val="1"/>
    <w:autoRedefine/>
    <w:qFormat/>
    <w:uiPriority w:val="0"/>
  </w:style>
  <w:style w:type="paragraph" w:customStyle="1" w:styleId="79">
    <w:name w:val="文档结构图 New New"/>
    <w:basedOn w:val="80"/>
    <w:autoRedefine/>
    <w:qFormat/>
    <w:uiPriority w:val="0"/>
    <w:pPr>
      <w:shd w:val="clear" w:color="auto" w:fill="000080"/>
    </w:pPr>
  </w:style>
  <w:style w:type="paragraph" w:customStyle="1" w:styleId="80">
    <w:name w:val="正文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1">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2">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83">
    <w:name w:val="正文缩进 New New New"/>
    <w:basedOn w:val="84"/>
    <w:autoRedefine/>
    <w:qFormat/>
    <w:uiPriority w:val="0"/>
    <w:pPr>
      <w:widowControl/>
      <w:ind w:firstLine="420"/>
      <w:jc w:val="left"/>
    </w:pPr>
  </w:style>
  <w:style w:type="paragraph" w:customStyle="1" w:styleId="84">
    <w:name w:val="正文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5">
    <w:name w:val="页脚 New New New New New New New New New New New New New"/>
    <w:basedOn w:val="86"/>
    <w:autoRedefine/>
    <w:qFormat/>
    <w:uiPriority w:val="0"/>
    <w:pPr>
      <w:widowControl/>
      <w:tabs>
        <w:tab w:val="center" w:pos="4153"/>
        <w:tab w:val="right" w:pos="8306"/>
      </w:tabs>
      <w:snapToGrid w:val="0"/>
      <w:jc w:val="left"/>
    </w:pPr>
    <w:rPr>
      <w:sz w:val="18"/>
    </w:rPr>
  </w:style>
  <w:style w:type="paragraph" w:customStyle="1" w:styleId="86">
    <w:name w:val="正文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7">
    <w:name w:val="正文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8">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89">
    <w:name w:val="正文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0">
    <w:name w:val="页脚 New New New New New New New New New New New New New New New"/>
    <w:basedOn w:val="91"/>
    <w:autoRedefine/>
    <w:qFormat/>
    <w:uiPriority w:val="0"/>
    <w:pPr>
      <w:widowControl/>
      <w:tabs>
        <w:tab w:val="center" w:pos="4153"/>
        <w:tab w:val="right" w:pos="8306"/>
      </w:tabs>
      <w:snapToGrid w:val="0"/>
      <w:jc w:val="left"/>
    </w:pPr>
    <w:rPr>
      <w:sz w:val="18"/>
    </w:rPr>
  </w:style>
  <w:style w:type="paragraph" w:customStyle="1" w:styleId="91">
    <w:name w:val="正文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2">
    <w:name w:val="正文文本缩进 New New New New New New New"/>
    <w:basedOn w:val="74"/>
    <w:autoRedefine/>
    <w:qFormat/>
    <w:uiPriority w:val="0"/>
    <w:pPr>
      <w:spacing w:after="120"/>
      <w:ind w:left="420" w:leftChars="200"/>
    </w:pPr>
    <w:rPr>
      <w:szCs w:val="24"/>
    </w:rPr>
  </w:style>
  <w:style w:type="paragraph" w:customStyle="1" w:styleId="93">
    <w:name w:val="正文缩进 New New"/>
    <w:basedOn w:val="89"/>
    <w:autoRedefine/>
    <w:qFormat/>
    <w:uiPriority w:val="0"/>
    <w:pPr>
      <w:widowControl/>
      <w:ind w:firstLine="420"/>
      <w:jc w:val="left"/>
    </w:pPr>
  </w:style>
  <w:style w:type="paragraph" w:customStyle="1" w:styleId="94">
    <w:name w:val="正文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5">
    <w:name w:val="样式 WG标题3 + 行距: 固定值 18 磅"/>
    <w:basedOn w:val="1"/>
    <w:autoRedefine/>
    <w:qFormat/>
    <w:uiPriority w:val="0"/>
    <w:pPr>
      <w:autoSpaceDE w:val="0"/>
      <w:autoSpaceDN w:val="0"/>
      <w:adjustRightInd w:val="0"/>
      <w:spacing w:line="360" w:lineRule="exact"/>
      <w:textAlignment w:val="baseline"/>
      <w:outlineLvl w:val="2"/>
    </w:pPr>
    <w:rPr>
      <w:b/>
      <w:bCs/>
      <w:color w:val="000000"/>
      <w:kern w:val="20"/>
    </w:rPr>
  </w:style>
  <w:style w:type="paragraph" w:customStyle="1" w:styleId="96">
    <w:name w:val="页眉 New New New New"/>
    <w:basedOn w:val="1"/>
    <w:autoRedefine/>
    <w:qFormat/>
    <w:uiPriority w:val="0"/>
    <w:pPr>
      <w:pBdr>
        <w:bottom w:val="single" w:color="auto" w:sz="6" w:space="1"/>
      </w:pBdr>
      <w:tabs>
        <w:tab w:val="center" w:pos="4153"/>
        <w:tab w:val="right" w:pos="8306"/>
      </w:tabs>
      <w:snapToGrid w:val="0"/>
      <w:jc w:val="center"/>
    </w:pPr>
    <w:rPr>
      <w:sz w:val="18"/>
    </w:rPr>
  </w:style>
  <w:style w:type="paragraph" w:customStyle="1" w:styleId="97">
    <w:name w:val="页眉 New"/>
    <w:basedOn w:val="76"/>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98">
    <w:name w:val="页脚 New New New New New New New New"/>
    <w:basedOn w:val="87"/>
    <w:autoRedefine/>
    <w:qFormat/>
    <w:uiPriority w:val="0"/>
    <w:pPr>
      <w:widowControl/>
      <w:tabs>
        <w:tab w:val="center" w:pos="4153"/>
        <w:tab w:val="right" w:pos="8306"/>
      </w:tabs>
      <w:snapToGrid w:val="0"/>
      <w:jc w:val="left"/>
    </w:pPr>
    <w:rPr>
      <w:sz w:val="18"/>
    </w:rPr>
  </w:style>
  <w:style w:type="paragraph" w:customStyle="1" w:styleId="99">
    <w:name w:val="标题 3 New New"/>
    <w:basedOn w:val="100"/>
    <w:next w:val="100"/>
    <w:autoRedefine/>
    <w:qFormat/>
    <w:uiPriority w:val="0"/>
    <w:pPr>
      <w:keepNext/>
      <w:keepLines/>
      <w:spacing w:before="120" w:after="120"/>
      <w:jc w:val="center"/>
      <w:outlineLvl w:val="2"/>
    </w:pPr>
    <w:rPr>
      <w:sz w:val="24"/>
    </w:rPr>
  </w:style>
  <w:style w:type="paragraph" w:customStyle="1" w:styleId="100">
    <w:name w:val="正文缩进 New"/>
    <w:basedOn w:val="101"/>
    <w:autoRedefine/>
    <w:qFormat/>
    <w:uiPriority w:val="0"/>
    <w:pPr>
      <w:widowControl/>
      <w:ind w:firstLine="420"/>
      <w:jc w:val="left"/>
    </w:pPr>
    <w:rPr>
      <w:kern w:val="0"/>
      <w:sz w:val="20"/>
    </w:rPr>
  </w:style>
  <w:style w:type="paragraph" w:customStyle="1" w:styleId="101">
    <w:name w:val="正文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2">
    <w:name w:val="正文文本 New"/>
    <w:basedOn w:val="56"/>
    <w:autoRedefine/>
    <w:qFormat/>
    <w:uiPriority w:val="0"/>
    <w:pPr>
      <w:spacing w:after="120"/>
    </w:pPr>
  </w:style>
  <w:style w:type="paragraph" w:customStyle="1" w:styleId="103">
    <w:name w:val="正文缩进 New New New New"/>
    <w:basedOn w:val="104"/>
    <w:autoRedefine/>
    <w:qFormat/>
    <w:uiPriority w:val="0"/>
    <w:pPr>
      <w:widowControl/>
      <w:ind w:firstLine="420"/>
      <w:jc w:val="left"/>
    </w:pPr>
  </w:style>
  <w:style w:type="paragraph" w:customStyle="1" w:styleId="104">
    <w:name w:val="正文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5">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6">
    <w:name w:val="正文文本缩进 New"/>
    <w:basedOn w:val="101"/>
    <w:autoRedefine/>
    <w:qFormat/>
    <w:uiPriority w:val="0"/>
    <w:pPr>
      <w:ind w:firstLine="560" w:firstLineChars="200"/>
    </w:pPr>
    <w:rPr>
      <w:rFonts w:ascii="宋体"/>
      <w:sz w:val="24"/>
    </w:rPr>
  </w:style>
  <w:style w:type="paragraph" w:customStyle="1" w:styleId="107">
    <w:name w:val="页脚 New New New New New New New New New New New New New New"/>
    <w:basedOn w:val="108"/>
    <w:autoRedefine/>
    <w:qFormat/>
    <w:uiPriority w:val="0"/>
    <w:pPr>
      <w:widowControl/>
      <w:tabs>
        <w:tab w:val="center" w:pos="4153"/>
        <w:tab w:val="right" w:pos="8306"/>
      </w:tabs>
      <w:snapToGrid w:val="0"/>
      <w:jc w:val="left"/>
    </w:pPr>
    <w:rPr>
      <w:sz w:val="18"/>
    </w:rPr>
  </w:style>
  <w:style w:type="paragraph" w:customStyle="1" w:styleId="108">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9">
    <w:name w:val="页脚 New New New New New"/>
    <w:basedOn w:val="1"/>
    <w:autoRedefine/>
    <w:qFormat/>
    <w:uiPriority w:val="0"/>
    <w:pPr>
      <w:tabs>
        <w:tab w:val="center" w:pos="4153"/>
        <w:tab w:val="right" w:pos="8306"/>
      </w:tabs>
      <w:snapToGrid w:val="0"/>
    </w:pPr>
    <w:rPr>
      <w:sz w:val="18"/>
    </w:rPr>
  </w:style>
  <w:style w:type="paragraph" w:customStyle="1" w:styleId="110">
    <w:name w:val="页脚 New New New New New New New New New New New New New New New New New New New New"/>
    <w:basedOn w:val="111"/>
    <w:autoRedefine/>
    <w:qFormat/>
    <w:uiPriority w:val="0"/>
    <w:pPr>
      <w:widowControl/>
      <w:tabs>
        <w:tab w:val="center" w:pos="4153"/>
        <w:tab w:val="right" w:pos="8306"/>
      </w:tabs>
      <w:snapToGrid w:val="0"/>
      <w:jc w:val="left"/>
    </w:pPr>
    <w:rPr>
      <w:kern w:val="0"/>
      <w:sz w:val="18"/>
    </w:rPr>
  </w:style>
  <w:style w:type="paragraph" w:customStyle="1" w:styleId="111">
    <w:name w:val="正文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2">
    <w:name w:val="目录 1 New"/>
    <w:basedOn w:val="56"/>
    <w:next w:val="56"/>
    <w:autoRedefine/>
    <w:qFormat/>
    <w:uiPriority w:val="0"/>
    <w:pPr>
      <w:spacing w:before="120" w:after="120"/>
      <w:jc w:val="left"/>
    </w:pPr>
    <w:rPr>
      <w:caps/>
    </w:rPr>
  </w:style>
  <w:style w:type="paragraph" w:customStyle="1" w:styleId="113">
    <w:name w:val="标题 3 New New New New"/>
    <w:basedOn w:val="93"/>
    <w:next w:val="93"/>
    <w:autoRedefine/>
    <w:qFormat/>
    <w:uiPriority w:val="0"/>
    <w:pPr>
      <w:keepNext/>
      <w:keepLines/>
      <w:spacing w:before="120" w:after="120"/>
      <w:jc w:val="center"/>
      <w:outlineLvl w:val="2"/>
    </w:pPr>
  </w:style>
  <w:style w:type="paragraph" w:customStyle="1" w:styleId="114">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5">
    <w:name w:val="页脚 New New New New New New New New New"/>
    <w:basedOn w:val="116"/>
    <w:autoRedefine/>
    <w:qFormat/>
    <w:uiPriority w:val="0"/>
    <w:pPr>
      <w:widowControl/>
      <w:tabs>
        <w:tab w:val="center" w:pos="4153"/>
        <w:tab w:val="right" w:pos="8306"/>
      </w:tabs>
      <w:snapToGrid w:val="0"/>
      <w:jc w:val="left"/>
    </w:pPr>
    <w:rPr>
      <w:sz w:val="18"/>
    </w:rPr>
  </w:style>
  <w:style w:type="paragraph" w:customStyle="1" w:styleId="116">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7">
    <w:name w:val="页脚 New New New New New New"/>
    <w:basedOn w:val="118"/>
    <w:autoRedefine/>
    <w:qFormat/>
    <w:uiPriority w:val="0"/>
    <w:pPr>
      <w:widowControl/>
      <w:tabs>
        <w:tab w:val="center" w:pos="4153"/>
        <w:tab w:val="right" w:pos="8306"/>
      </w:tabs>
      <w:snapToGrid w:val="0"/>
      <w:jc w:val="left"/>
    </w:pPr>
    <w:rPr>
      <w:sz w:val="18"/>
    </w:rPr>
  </w:style>
  <w:style w:type="paragraph" w:customStyle="1" w:styleId="118">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9">
    <w:name w:val="标题三"/>
    <w:basedOn w:val="3"/>
    <w:autoRedefine/>
    <w:qFormat/>
    <w:uiPriority w:val="0"/>
    <w:pPr>
      <w:spacing w:before="240" w:after="240" w:line="480" w:lineRule="exact"/>
    </w:pPr>
    <w:rPr>
      <w:rFonts w:ascii="Times New Roman" w:hAnsi="Times New Roman"/>
      <w:sz w:val="28"/>
      <w:szCs w:val="20"/>
    </w:rPr>
  </w:style>
  <w:style w:type="paragraph" w:customStyle="1" w:styleId="120">
    <w:name w:val="页眉 New New New"/>
    <w:basedOn w:val="1"/>
    <w:autoRedefine/>
    <w:qFormat/>
    <w:uiPriority w:val="0"/>
    <w:pPr>
      <w:pBdr>
        <w:bottom w:val="single" w:color="auto" w:sz="6" w:space="1"/>
      </w:pBdr>
      <w:tabs>
        <w:tab w:val="center" w:pos="4153"/>
        <w:tab w:val="right" w:pos="8306"/>
      </w:tabs>
      <w:snapToGrid w:val="0"/>
      <w:jc w:val="center"/>
    </w:pPr>
    <w:rPr>
      <w:sz w:val="18"/>
    </w:rPr>
  </w:style>
  <w:style w:type="paragraph" w:customStyle="1" w:styleId="121">
    <w:name w:val="正文1"/>
    <w:autoRedefine/>
    <w:qFormat/>
    <w:uiPriority w:val="0"/>
    <w:pPr>
      <w:widowControl w:val="0"/>
      <w:spacing w:afterLines="50" w:line="360" w:lineRule="auto"/>
      <w:ind w:firstLine="200" w:firstLineChars="200"/>
      <w:jc w:val="both"/>
    </w:pPr>
    <w:rPr>
      <w:rFonts w:ascii="Times New Roman" w:hAnsi="Times New Roman" w:eastAsia="宋体" w:cs="Times New Roman"/>
      <w:sz w:val="24"/>
      <w:szCs w:val="24"/>
      <w:lang w:val="en-US" w:eastAsia="zh-CN" w:bidi="ar-SA"/>
    </w:rPr>
  </w:style>
  <w:style w:type="paragraph" w:customStyle="1" w:styleId="122">
    <w:name w:val="正文文本缩进 New New New New New New New New New"/>
    <w:basedOn w:val="123"/>
    <w:autoRedefine/>
    <w:qFormat/>
    <w:uiPriority w:val="0"/>
    <w:pPr>
      <w:spacing w:after="120"/>
      <w:ind w:left="420" w:leftChars="200"/>
    </w:pPr>
    <w:rPr>
      <w:szCs w:val="24"/>
    </w:rPr>
  </w:style>
  <w:style w:type="paragraph" w:customStyle="1" w:styleId="123">
    <w:name w:val="正文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4">
    <w:name w:val="标题 3 New New New"/>
    <w:basedOn w:val="100"/>
    <w:next w:val="100"/>
    <w:autoRedefine/>
    <w:qFormat/>
    <w:uiPriority w:val="0"/>
    <w:pPr>
      <w:keepNext/>
      <w:keepLines/>
      <w:spacing w:before="120" w:after="120"/>
      <w:jc w:val="center"/>
      <w:outlineLvl w:val="2"/>
    </w:pPr>
    <w:rPr>
      <w:sz w:val="24"/>
    </w:rPr>
  </w:style>
  <w:style w:type="paragraph" w:customStyle="1" w:styleId="125">
    <w:name w:val="TOC 标题1"/>
    <w:basedOn w:val="2"/>
    <w:next w:val="1"/>
    <w:autoRedefine/>
    <w:qFormat/>
    <w:uiPriority w:val="0"/>
    <w:pPr>
      <w:spacing w:before="480" w:line="276" w:lineRule="auto"/>
      <w:outlineLvl w:val="9"/>
    </w:pPr>
    <w:rPr>
      <w:rFonts w:ascii="Cambria" w:hAnsi="Cambria"/>
      <w:color w:val="366091"/>
      <w:sz w:val="28"/>
      <w:szCs w:val="28"/>
    </w:rPr>
  </w:style>
  <w:style w:type="paragraph" w:customStyle="1" w:styleId="126">
    <w:name w:val="页脚 New New New New New New New"/>
    <w:basedOn w:val="127"/>
    <w:autoRedefine/>
    <w:qFormat/>
    <w:uiPriority w:val="0"/>
    <w:pPr>
      <w:widowControl/>
      <w:tabs>
        <w:tab w:val="center" w:pos="4153"/>
        <w:tab w:val="right" w:pos="8306"/>
      </w:tabs>
      <w:snapToGrid w:val="0"/>
      <w:jc w:val="left"/>
    </w:pPr>
    <w:rPr>
      <w:sz w:val="18"/>
    </w:rPr>
  </w:style>
  <w:style w:type="paragraph" w:customStyle="1" w:styleId="127">
    <w:name w:val="正文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8">
    <w:name w:val="正文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9">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0">
    <w:name w:val="正文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1">
    <w:name w:val="目录 2 New"/>
    <w:basedOn w:val="56"/>
    <w:next w:val="56"/>
    <w:autoRedefine/>
    <w:qFormat/>
    <w:uiPriority w:val="0"/>
    <w:pPr>
      <w:ind w:left="278"/>
      <w:jc w:val="left"/>
    </w:pPr>
    <w:rPr>
      <w:smallCaps/>
    </w:rPr>
  </w:style>
  <w:style w:type="paragraph" w:customStyle="1" w:styleId="132">
    <w:name w:val="标题 2 New New New"/>
    <w:basedOn w:val="94"/>
    <w:next w:val="94"/>
    <w:autoRedefine/>
    <w:qFormat/>
    <w:uiPriority w:val="0"/>
    <w:pPr>
      <w:autoSpaceDE w:val="0"/>
      <w:autoSpaceDN w:val="0"/>
      <w:adjustRightInd w:val="0"/>
      <w:jc w:val="left"/>
      <w:outlineLvl w:val="1"/>
    </w:pPr>
  </w:style>
  <w:style w:type="paragraph" w:customStyle="1" w:styleId="133">
    <w:name w:val="正文文本 New New"/>
    <w:basedOn w:val="80"/>
    <w:autoRedefine/>
    <w:qFormat/>
    <w:uiPriority w:val="0"/>
    <w:pPr>
      <w:spacing w:after="120"/>
    </w:pPr>
  </w:style>
  <w:style w:type="paragraph" w:customStyle="1" w:styleId="134">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35">
    <w:name w:val="正文文本缩进 New New New New"/>
    <w:basedOn w:val="81"/>
    <w:autoRedefine/>
    <w:qFormat/>
    <w:uiPriority w:val="0"/>
    <w:pPr>
      <w:ind w:firstLine="560" w:firstLineChars="200"/>
    </w:pPr>
    <w:rPr>
      <w:szCs w:val="28"/>
    </w:rPr>
  </w:style>
  <w:style w:type="paragraph" w:customStyle="1" w:styleId="136">
    <w:name w:val="页脚 New New New New New New New New New New New"/>
    <w:basedOn w:val="137"/>
    <w:autoRedefine/>
    <w:qFormat/>
    <w:uiPriority w:val="0"/>
    <w:pPr>
      <w:widowControl/>
      <w:tabs>
        <w:tab w:val="center" w:pos="4153"/>
        <w:tab w:val="right" w:pos="8306"/>
      </w:tabs>
      <w:snapToGrid w:val="0"/>
      <w:jc w:val="left"/>
    </w:pPr>
    <w:rPr>
      <w:sz w:val="18"/>
    </w:rPr>
  </w:style>
  <w:style w:type="paragraph" w:customStyle="1" w:styleId="137">
    <w:name w:val="正文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8">
    <w:name w:val="页脚 New New New New New New New New New New New New New New New New New New New New New"/>
    <w:basedOn w:val="139"/>
    <w:autoRedefine/>
    <w:qFormat/>
    <w:uiPriority w:val="0"/>
    <w:pPr>
      <w:widowControl/>
      <w:tabs>
        <w:tab w:val="center" w:pos="4153"/>
        <w:tab w:val="right" w:pos="8306"/>
      </w:tabs>
      <w:snapToGrid w:val="0"/>
      <w:jc w:val="left"/>
    </w:pPr>
    <w:rPr>
      <w:kern w:val="0"/>
      <w:sz w:val="18"/>
    </w:rPr>
  </w:style>
  <w:style w:type="paragraph" w:customStyle="1" w:styleId="139">
    <w:name w:val="正文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0">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1">
    <w:name w:val="页脚 New New New New New New New New New New New New"/>
    <w:basedOn w:val="142"/>
    <w:autoRedefine/>
    <w:qFormat/>
    <w:uiPriority w:val="0"/>
    <w:pPr>
      <w:widowControl/>
      <w:tabs>
        <w:tab w:val="center" w:pos="4153"/>
        <w:tab w:val="right" w:pos="8306"/>
      </w:tabs>
      <w:snapToGrid w:val="0"/>
      <w:jc w:val="left"/>
    </w:pPr>
    <w:rPr>
      <w:sz w:val="18"/>
    </w:rPr>
  </w:style>
  <w:style w:type="paragraph" w:customStyle="1" w:styleId="142">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3">
    <w:name w:val="样式 WG标题2 + 行距: 固定值 18 磅"/>
    <w:basedOn w:val="1"/>
    <w:autoRedefine/>
    <w:qFormat/>
    <w:uiPriority w:val="0"/>
    <w:pPr>
      <w:autoSpaceDE w:val="0"/>
      <w:autoSpaceDN w:val="0"/>
      <w:adjustRightInd w:val="0"/>
      <w:spacing w:line="360" w:lineRule="exact"/>
      <w:textAlignment w:val="baseline"/>
      <w:outlineLvl w:val="1"/>
    </w:pPr>
    <w:rPr>
      <w:rFonts w:ascii="仿宋_GB2312"/>
      <w:b/>
      <w:bCs/>
      <w:color w:val="000000"/>
      <w:kern w:val="20"/>
    </w:rPr>
  </w:style>
  <w:style w:type="paragraph" w:customStyle="1" w:styleId="144">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45">
    <w:name w:val="正文文本缩进 3 New"/>
    <w:basedOn w:val="56"/>
    <w:autoRedefine/>
    <w:qFormat/>
    <w:uiPriority w:val="0"/>
    <w:pPr>
      <w:ind w:firstLine="560"/>
    </w:pPr>
    <w:rPr>
      <w:color w:val="FF0000"/>
    </w:rPr>
  </w:style>
  <w:style w:type="paragraph" w:customStyle="1" w:styleId="146">
    <w:name w:val="正文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7">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8">
    <w:name w:val="Char Char2"/>
    <w:basedOn w:val="149"/>
    <w:autoRedefine/>
    <w:qFormat/>
    <w:uiPriority w:val="0"/>
    <w:pPr>
      <w:spacing w:line="240" w:lineRule="auto"/>
    </w:pPr>
  </w:style>
  <w:style w:type="paragraph" w:customStyle="1" w:styleId="149">
    <w:name w:val="文档结构图 New"/>
    <w:basedOn w:val="56"/>
    <w:autoRedefine/>
    <w:qFormat/>
    <w:uiPriority w:val="0"/>
    <w:pPr>
      <w:shd w:val="clear" w:color="auto" w:fill="000080"/>
    </w:pPr>
  </w:style>
  <w:style w:type="paragraph" w:customStyle="1" w:styleId="150">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51">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2">
    <w:name w:val="文档结构图 New New New"/>
    <w:basedOn w:val="73"/>
    <w:autoRedefine/>
    <w:qFormat/>
    <w:uiPriority w:val="0"/>
    <w:pPr>
      <w:shd w:val="clear" w:color="auto" w:fill="000080"/>
    </w:pPr>
  </w:style>
  <w:style w:type="paragraph" w:customStyle="1" w:styleId="153">
    <w:name w:val="页脚 New New New New New New New New New New New New New New New New New"/>
    <w:basedOn w:val="154"/>
    <w:autoRedefine/>
    <w:qFormat/>
    <w:uiPriority w:val="0"/>
    <w:pPr>
      <w:widowControl/>
      <w:tabs>
        <w:tab w:val="center" w:pos="4153"/>
        <w:tab w:val="right" w:pos="8306"/>
      </w:tabs>
      <w:snapToGrid w:val="0"/>
      <w:jc w:val="left"/>
    </w:pPr>
    <w:rPr>
      <w:kern w:val="0"/>
      <w:sz w:val="18"/>
    </w:rPr>
  </w:style>
  <w:style w:type="paragraph" w:customStyle="1" w:styleId="154">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5">
    <w:name w:val="正文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56">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7">
    <w:name w:val="批注文字 New"/>
    <w:basedOn w:val="146"/>
    <w:autoRedefine/>
    <w:qFormat/>
    <w:uiPriority w:val="0"/>
    <w:pPr>
      <w:adjustRightInd w:val="0"/>
      <w:spacing w:line="360" w:lineRule="atLeast"/>
      <w:jc w:val="left"/>
      <w:textAlignment w:val="baseline"/>
    </w:pPr>
  </w:style>
  <w:style w:type="paragraph" w:customStyle="1" w:styleId="158">
    <w:name w:val="正文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9">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0">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1">
    <w:name w:val="目录 3 New"/>
    <w:basedOn w:val="56"/>
    <w:next w:val="56"/>
    <w:autoRedefine/>
    <w:qFormat/>
    <w:uiPriority w:val="0"/>
    <w:pPr>
      <w:ind w:left="561"/>
      <w:jc w:val="left"/>
    </w:pPr>
  </w:style>
  <w:style w:type="paragraph" w:customStyle="1" w:styleId="162">
    <w:name w:val="图"/>
    <w:basedOn w:val="1"/>
    <w:autoRedefine/>
    <w:qFormat/>
    <w:uiPriority w:val="0"/>
    <w:pPr>
      <w:keepNext/>
      <w:adjustRightInd w:val="0"/>
      <w:spacing w:before="60" w:after="60" w:line="300" w:lineRule="auto"/>
      <w:jc w:val="center"/>
      <w:textAlignment w:val="center"/>
    </w:pPr>
    <w:rPr>
      <w:snapToGrid w:val="0"/>
      <w:spacing w:val="20"/>
    </w:rPr>
  </w:style>
  <w:style w:type="paragraph" w:customStyle="1" w:styleId="163">
    <w:name w:val="页脚 New New"/>
    <w:basedOn w:val="1"/>
    <w:autoRedefine/>
    <w:qFormat/>
    <w:uiPriority w:val="0"/>
    <w:pPr>
      <w:tabs>
        <w:tab w:val="center" w:pos="4153"/>
        <w:tab w:val="right" w:pos="8306"/>
      </w:tabs>
      <w:snapToGrid w:val="0"/>
    </w:pPr>
    <w:rPr>
      <w:sz w:val="18"/>
    </w:rPr>
  </w:style>
  <w:style w:type="paragraph" w:customStyle="1" w:styleId="164">
    <w:name w:val="标题 3 New"/>
    <w:basedOn w:val="100"/>
    <w:next w:val="100"/>
    <w:autoRedefine/>
    <w:qFormat/>
    <w:uiPriority w:val="0"/>
    <w:pPr>
      <w:keepNext/>
      <w:keepLines/>
      <w:spacing w:before="120" w:after="120"/>
      <w:jc w:val="center"/>
      <w:outlineLvl w:val="2"/>
    </w:pPr>
    <w:rPr>
      <w:sz w:val="24"/>
    </w:rPr>
  </w:style>
  <w:style w:type="paragraph" w:customStyle="1" w:styleId="165">
    <w:name w:val="页脚 New"/>
    <w:basedOn w:val="56"/>
    <w:autoRedefine/>
    <w:qFormat/>
    <w:uiPriority w:val="0"/>
    <w:pPr>
      <w:widowControl/>
      <w:tabs>
        <w:tab w:val="center" w:pos="4153"/>
        <w:tab w:val="right" w:pos="8306"/>
      </w:tabs>
      <w:snapToGrid w:val="0"/>
      <w:jc w:val="left"/>
    </w:pPr>
    <w:rPr>
      <w:kern w:val="0"/>
      <w:sz w:val="18"/>
    </w:rPr>
  </w:style>
  <w:style w:type="paragraph" w:customStyle="1" w:styleId="166">
    <w:name w:val="文档结构图 New New New New"/>
    <w:basedOn w:val="111"/>
    <w:autoRedefine/>
    <w:qFormat/>
    <w:uiPriority w:val="0"/>
    <w:pPr>
      <w:shd w:val="clear" w:color="auto" w:fill="000080"/>
    </w:pPr>
  </w:style>
  <w:style w:type="paragraph" w:customStyle="1" w:styleId="167">
    <w:name w:val="页脚 New New New New"/>
    <w:basedOn w:val="1"/>
    <w:autoRedefine/>
    <w:qFormat/>
    <w:uiPriority w:val="0"/>
    <w:pPr>
      <w:tabs>
        <w:tab w:val="center" w:pos="4153"/>
        <w:tab w:val="right" w:pos="8306"/>
      </w:tabs>
      <w:snapToGrid w:val="0"/>
    </w:pPr>
    <w:rPr>
      <w:sz w:val="18"/>
    </w:rPr>
  </w:style>
  <w:style w:type="paragraph" w:customStyle="1" w:styleId="168">
    <w:name w:val="页脚 New New New New New New New New New New New New New New New New"/>
    <w:basedOn w:val="80"/>
    <w:autoRedefine/>
    <w:qFormat/>
    <w:uiPriority w:val="0"/>
    <w:pPr>
      <w:widowControl/>
      <w:tabs>
        <w:tab w:val="center" w:pos="4153"/>
        <w:tab w:val="right" w:pos="8306"/>
      </w:tabs>
      <w:snapToGrid w:val="0"/>
      <w:jc w:val="left"/>
    </w:pPr>
    <w:rPr>
      <w:kern w:val="0"/>
      <w:sz w:val="18"/>
    </w:rPr>
  </w:style>
  <w:style w:type="paragraph" w:customStyle="1" w:styleId="169">
    <w:name w:val="正文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70">
    <w:name w:val="公文正文"/>
    <w:basedOn w:val="171"/>
    <w:autoRedefine/>
    <w:qFormat/>
    <w:uiPriority w:val="0"/>
    <w:pPr>
      <w:ind w:firstLine="200" w:firstLineChars="200"/>
      <w:jc w:val="left"/>
    </w:pPr>
    <w:rPr>
      <w:rFonts w:eastAsia="仿宋_GB2312"/>
      <w:sz w:val="32"/>
    </w:rPr>
  </w:style>
  <w:style w:type="paragraph" w:customStyle="1" w:styleId="171">
    <w:name w:val="公文标题"/>
    <w:basedOn w:val="1"/>
    <w:autoRedefine/>
    <w:qFormat/>
    <w:uiPriority w:val="0"/>
    <w:pPr>
      <w:spacing w:line="580" w:lineRule="exact"/>
      <w:jc w:val="center"/>
    </w:pPr>
    <w:rPr>
      <w:rFonts w:eastAsia="方正小标宋简体"/>
      <w:sz w:val="44"/>
    </w:rPr>
  </w:style>
  <w:style w:type="paragraph" w:customStyle="1" w:styleId="172">
    <w:name w:val="列出段落3"/>
    <w:basedOn w:val="1"/>
    <w:autoRedefine/>
    <w:qFormat/>
    <w:uiPriority w:val="0"/>
    <w:pPr>
      <w:ind w:firstLine="420" w:firstLineChars="200"/>
    </w:pPr>
  </w:style>
  <w:style w:type="paragraph" w:customStyle="1" w:styleId="173">
    <w:name w:val="Char"/>
    <w:basedOn w:val="1"/>
    <w:autoRedefine/>
    <w:qFormat/>
    <w:uiPriority w:val="0"/>
    <w:rPr>
      <w:rFonts w:ascii="Tahoma" w:hAnsi="Tahoma"/>
    </w:rPr>
  </w:style>
  <w:style w:type="paragraph" w:customStyle="1" w:styleId="174">
    <w:name w:val="页脚 New New New New New New New New New New"/>
    <w:basedOn w:val="169"/>
    <w:autoRedefine/>
    <w:qFormat/>
    <w:uiPriority w:val="0"/>
    <w:pPr>
      <w:widowControl/>
      <w:tabs>
        <w:tab w:val="center" w:pos="4153"/>
        <w:tab w:val="right" w:pos="8306"/>
      </w:tabs>
      <w:snapToGrid w:val="0"/>
      <w:jc w:val="left"/>
    </w:pPr>
    <w:rPr>
      <w:sz w:val="18"/>
    </w:rPr>
  </w:style>
  <w:style w:type="paragraph" w:customStyle="1" w:styleId="175">
    <w:name w:val="标题 1 New"/>
    <w:basedOn w:val="56"/>
    <w:next w:val="56"/>
    <w:autoRedefine/>
    <w:qFormat/>
    <w:uiPriority w:val="0"/>
    <w:pPr>
      <w:autoSpaceDE w:val="0"/>
      <w:autoSpaceDN w:val="0"/>
      <w:adjustRightInd w:val="0"/>
      <w:jc w:val="left"/>
      <w:outlineLvl w:val="0"/>
    </w:pPr>
    <w:rPr>
      <w:kern w:val="0"/>
      <w:sz w:val="30"/>
    </w:rPr>
  </w:style>
  <w:style w:type="paragraph" w:customStyle="1" w:styleId="176">
    <w:name w:val="样式 宋体 行距: 1.5 倍行距"/>
    <w:basedOn w:val="177"/>
    <w:next w:val="1"/>
    <w:autoRedefine/>
    <w:qFormat/>
    <w:uiPriority w:val="0"/>
    <w:pPr>
      <w:jc w:val="center"/>
    </w:pPr>
    <w:rPr>
      <w:rFonts w:ascii="Times New Roman" w:hAnsi="Times New Roman"/>
      <w:b/>
    </w:rPr>
  </w:style>
  <w:style w:type="paragraph" w:customStyle="1" w:styleId="177">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76"/>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178">
    <w:name w:val="正文缩进2"/>
    <w:basedOn w:val="1"/>
    <w:autoRedefine/>
    <w:qFormat/>
    <w:uiPriority w:val="0"/>
    <w:pPr>
      <w:ind w:firstLine="420"/>
    </w:pPr>
  </w:style>
  <w:style w:type="paragraph" w:customStyle="1" w:styleId="179">
    <w:name w:val="页脚 New New New"/>
    <w:basedOn w:val="1"/>
    <w:autoRedefine/>
    <w:qFormat/>
    <w:uiPriority w:val="0"/>
    <w:pPr>
      <w:tabs>
        <w:tab w:val="center" w:pos="4153"/>
        <w:tab w:val="right" w:pos="8306"/>
      </w:tabs>
      <w:snapToGrid w:val="0"/>
    </w:pPr>
    <w:rPr>
      <w:sz w:val="18"/>
    </w:rPr>
  </w:style>
  <w:style w:type="paragraph" w:customStyle="1" w:styleId="180">
    <w:name w:val="普通(网站) New"/>
    <w:basedOn w:val="181"/>
    <w:autoRedefine/>
    <w:qFormat/>
    <w:uiPriority w:val="0"/>
    <w:rPr>
      <w:sz w:val="24"/>
    </w:rPr>
  </w:style>
  <w:style w:type="paragraph" w:customStyle="1" w:styleId="181">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2">
    <w:name w:val="列出段落1"/>
    <w:basedOn w:val="1"/>
    <w:autoRedefine/>
    <w:qFormat/>
    <w:uiPriority w:val="0"/>
    <w:pPr>
      <w:adjustRightInd w:val="0"/>
      <w:snapToGrid w:val="0"/>
      <w:spacing w:line="312" w:lineRule="auto"/>
      <w:ind w:firstLine="420" w:firstLineChars="200"/>
    </w:pPr>
    <w:rPr>
      <w:sz w:val="20"/>
    </w:rPr>
  </w:style>
  <w:style w:type="paragraph" w:customStyle="1" w:styleId="183">
    <w:name w:val="正文文本缩进 New New New New New New New New"/>
    <w:basedOn w:val="158"/>
    <w:autoRedefine/>
    <w:qFormat/>
    <w:uiPriority w:val="0"/>
    <w:pPr>
      <w:spacing w:after="120"/>
      <w:ind w:left="420" w:leftChars="200"/>
    </w:pPr>
    <w:rPr>
      <w:szCs w:val="24"/>
    </w:rPr>
  </w:style>
  <w:style w:type="paragraph" w:customStyle="1" w:styleId="184">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85">
    <w:name w:val="正文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86">
    <w:name w:val="标题 3 New New New New New New"/>
    <w:basedOn w:val="103"/>
    <w:next w:val="103"/>
    <w:autoRedefine/>
    <w:qFormat/>
    <w:uiPriority w:val="0"/>
    <w:pPr>
      <w:keepNext/>
      <w:keepLines/>
      <w:spacing w:before="120" w:after="120"/>
      <w:jc w:val="center"/>
      <w:outlineLvl w:val="2"/>
    </w:pPr>
  </w:style>
  <w:style w:type="paragraph" w:customStyle="1" w:styleId="187">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88">
    <w:name w:val="正文文本缩进 New New"/>
    <w:basedOn w:val="56"/>
    <w:autoRedefine/>
    <w:qFormat/>
    <w:uiPriority w:val="0"/>
    <w:pPr>
      <w:ind w:firstLine="560" w:firstLineChars="200"/>
    </w:pPr>
  </w:style>
  <w:style w:type="paragraph" w:customStyle="1" w:styleId="189">
    <w:name w:val="文档结构图 New New New New New"/>
    <w:basedOn w:val="139"/>
    <w:autoRedefine/>
    <w:qFormat/>
    <w:uiPriority w:val="0"/>
    <w:pPr>
      <w:shd w:val="clear" w:color="auto" w:fill="000080"/>
    </w:pPr>
  </w:style>
  <w:style w:type="paragraph" w:customStyle="1" w:styleId="190">
    <w:name w:val="样式 样式 四号 首行缩进:  0 厘米 + 首行缩进:  2 字符"/>
    <w:basedOn w:val="1"/>
    <w:autoRedefine/>
    <w:qFormat/>
    <w:uiPriority w:val="0"/>
    <w:pPr>
      <w:spacing w:before="120" w:line="360" w:lineRule="auto"/>
      <w:ind w:firstLine="566" w:firstLineChars="236"/>
    </w:pPr>
    <w:rPr>
      <w:kern w:val="24"/>
      <w:szCs w:val="21"/>
    </w:rPr>
  </w:style>
  <w:style w:type="paragraph" w:customStyle="1" w:styleId="191">
    <w:name w:val="标题 3 New New New New New"/>
    <w:basedOn w:val="83"/>
    <w:next w:val="83"/>
    <w:autoRedefine/>
    <w:qFormat/>
    <w:uiPriority w:val="0"/>
    <w:pPr>
      <w:keepNext/>
      <w:keepLines/>
      <w:spacing w:before="120" w:after="120"/>
      <w:jc w:val="center"/>
      <w:outlineLvl w:val="2"/>
    </w:pPr>
  </w:style>
  <w:style w:type="paragraph" w:customStyle="1" w:styleId="192">
    <w:name w:val="标题 2 New"/>
    <w:basedOn w:val="76"/>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93">
    <w:name w:val="正文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94">
    <w:name w:val="1111111"/>
    <w:basedOn w:val="56"/>
    <w:next w:val="56"/>
    <w:autoRedefine/>
    <w:qFormat/>
    <w:uiPriority w:val="0"/>
    <w:pPr>
      <w:autoSpaceDE w:val="0"/>
      <w:autoSpaceDN w:val="0"/>
      <w:adjustRightInd w:val="0"/>
      <w:jc w:val="left"/>
      <w:outlineLvl w:val="1"/>
    </w:pPr>
    <w:rPr>
      <w:rFonts w:ascii="Times New Roman"/>
      <w:kern w:val="0"/>
    </w:rPr>
  </w:style>
  <w:style w:type="paragraph" w:customStyle="1" w:styleId="195">
    <w:name w:val="AnnotationText"/>
    <w:basedOn w:val="1"/>
    <w:autoRedefine/>
    <w:qFormat/>
    <w:uiPriority w:val="99"/>
    <w:pPr>
      <w:spacing w:line="360" w:lineRule="atLeast"/>
    </w:pPr>
  </w:style>
  <w:style w:type="paragraph" w:customStyle="1" w:styleId="196">
    <w:name w:val="UserStyle_36"/>
    <w:autoRedefine/>
    <w:qFormat/>
    <w:uiPriority w:val="0"/>
    <w:pPr>
      <w:spacing w:line="360" w:lineRule="auto"/>
      <w:jc w:val="both"/>
      <w:textAlignment w:val="baseline"/>
    </w:pPr>
    <w:rPr>
      <w:rFonts w:ascii="宋体" w:hAnsi="Calibri" w:eastAsia="宋体" w:cs="Times New Roman"/>
      <w:kern w:val="2"/>
      <w:sz w:val="24"/>
      <w:szCs w:val="22"/>
      <w:lang w:val="en-US" w:eastAsia="zh-CN" w:bidi="ar-SA"/>
    </w:rPr>
  </w:style>
  <w:style w:type="paragraph" w:customStyle="1" w:styleId="197">
    <w:name w:val="Normal Indent1"/>
    <w:basedOn w:val="1"/>
    <w:autoRedefine/>
    <w:qFormat/>
    <w:uiPriority w:val="0"/>
    <w:pPr>
      <w:spacing w:line="360" w:lineRule="auto"/>
      <w:ind w:firstLine="420"/>
    </w:pPr>
    <w:rPr>
      <w:sz w:val="20"/>
    </w:rPr>
  </w:style>
  <w:style w:type="character" w:customStyle="1" w:styleId="198">
    <w:name w:val="NormalCharacter"/>
    <w:autoRedefine/>
    <w:qFormat/>
    <w:uiPriority w:val="99"/>
  </w:style>
  <w:style w:type="paragraph" w:customStyle="1" w:styleId="199">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00">
    <w:name w:val="fontstyle01"/>
    <w:basedOn w:val="33"/>
    <w:autoRedefine/>
    <w:qFormat/>
    <w:uiPriority w:val="0"/>
    <w:rPr>
      <w:rFonts w:hint="eastAsia" w:ascii="宋体" w:hAnsi="宋体" w:eastAsia="宋体"/>
      <w:color w:val="000000"/>
      <w:sz w:val="28"/>
      <w:szCs w:val="28"/>
    </w:rPr>
  </w:style>
  <w:style w:type="character" w:customStyle="1" w:styleId="201">
    <w:name w:val="fontstyle21"/>
    <w:basedOn w:val="33"/>
    <w:autoRedefine/>
    <w:qFormat/>
    <w:uiPriority w:val="0"/>
    <w:rPr>
      <w:rFonts w:hint="default" w:ascii="TimesNewRomanPSMT" w:hAnsi="TimesNewRomanPSMT"/>
      <w:color w:val="000000"/>
      <w:sz w:val="28"/>
      <w:szCs w:val="28"/>
    </w:rPr>
  </w:style>
  <w:style w:type="character" w:customStyle="1" w:styleId="202">
    <w:name w:val="fontstyle11"/>
    <w:basedOn w:val="33"/>
    <w:autoRedefine/>
    <w:qFormat/>
    <w:uiPriority w:val="0"/>
    <w:rPr>
      <w:rFonts w:hint="default" w:ascii="TimesNewRomanPSMT" w:hAnsi="TimesNewRomanPSMT"/>
      <w:color w:val="000000"/>
      <w:sz w:val="28"/>
      <w:szCs w:val="28"/>
    </w:rPr>
  </w:style>
  <w:style w:type="paragraph" w:customStyle="1" w:styleId="203">
    <w:name w:val="Heading #2|1"/>
    <w:basedOn w:val="1"/>
    <w:autoRedefine/>
    <w:qFormat/>
    <w:uiPriority w:val="0"/>
    <w:pPr>
      <w:spacing w:after="320" w:line="601" w:lineRule="exact"/>
      <w:jc w:val="center"/>
      <w:outlineLvl w:val="1"/>
    </w:pPr>
    <w:rPr>
      <w:sz w:val="42"/>
      <w:szCs w:val="42"/>
      <w:lang w:val="zh-TW" w:eastAsia="zh-TW" w:bidi="zh-TW"/>
    </w:rPr>
  </w:style>
  <w:style w:type="paragraph" w:styleId="204">
    <w:name w:val="List Paragraph"/>
    <w:basedOn w:val="1"/>
    <w:autoRedefine/>
    <w:qFormat/>
    <w:uiPriority w:val="1"/>
    <w:pPr>
      <w:spacing w:before="161"/>
      <w:ind w:left="120" w:firstLine="480"/>
    </w:pPr>
    <w:rPr>
      <w:lang w:val="zh-CN" w:bidi="zh-CN"/>
    </w:rPr>
  </w:style>
  <w:style w:type="paragraph" w:customStyle="1" w:styleId="205">
    <w:name w:val="Table Text"/>
    <w:basedOn w:val="1"/>
    <w:semiHidden/>
    <w:qFormat/>
    <w:uiPriority w:val="0"/>
    <w:rPr>
      <w:lang w:eastAsia="en-US"/>
    </w:rPr>
  </w:style>
  <w:style w:type="table" w:customStyle="1" w:styleId="206">
    <w:name w:val="Table Normal"/>
    <w:unhideWhenUsed/>
    <w:qFormat/>
    <w:uiPriority w:val="0"/>
    <w:tblPr>
      <w:tblCellMar>
        <w:top w:w="0" w:type="dxa"/>
        <w:left w:w="0" w:type="dxa"/>
        <w:bottom w:w="0" w:type="dxa"/>
        <w:right w:w="0" w:type="dxa"/>
      </w:tblCellMar>
    </w:tblPr>
  </w:style>
  <w:style w:type="paragraph" w:customStyle="1" w:styleId="207">
    <w:name w:val="WPSOffice手动目录 1"/>
    <w:qFormat/>
    <w:uiPriority w:val="0"/>
    <w:rPr>
      <w:rFonts w:ascii="Times New Roman" w:hAnsi="Times New Roman" w:eastAsia="宋体" w:cs="Times New Roman"/>
      <w:lang w:val="en-US" w:eastAsia="zh-CN" w:bidi="ar-SA"/>
    </w:rPr>
  </w:style>
  <w:style w:type="paragraph" w:customStyle="1" w:styleId="208">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09">
    <w:name w:val="修订1"/>
    <w:hidden/>
    <w:unhideWhenUsed/>
    <w:qFormat/>
    <w:uiPriority w:val="99"/>
    <w:rPr>
      <w:rFonts w:ascii="Times New Roman" w:hAnsi="Times New Roman" w:eastAsia="宋体" w:cs="Times New Roman"/>
      <w:kern w:val="2"/>
      <w:sz w:val="21"/>
      <w:lang w:val="en-US" w:eastAsia="zh-CN" w:bidi="ar-SA"/>
    </w:rPr>
  </w:style>
  <w:style w:type="paragraph" w:customStyle="1" w:styleId="210">
    <w:name w:val="Revision"/>
    <w:hidden/>
    <w:unhideWhenUsed/>
    <w:qFormat/>
    <w:uiPriority w:val="99"/>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microsoft.com/office/2011/relationships/people" Target="people.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88d2a4de-135c-4d80-91cc-69ced2dbb1d7</errorID>
      <errorWord>保证缴</errorWord>
      <group>L1_Word</group>
      <groupName>字词问题</groupName>
      <ability>L2_Typo</ability>
      <abilityName>字词错误</abilityName>
      <candidateList>
        <item>保证金</item>
      </candidateList>
      <explain/>
      <paraID>60D67F0C</paraID>
      <start>2</start>
      <end>5</end>
      <status>ignored</status>
      <modifiedWord/>
      <trackRevisions>false</trackRevisions>
    </reviewItem>
    <reviewItem>
      <errorID>962435a6-26c5-4a72-bd03-500ca3af4474</errorID>
      <errorWord>纳</errorWord>
      <group>L1_Word</group>
      <groupName>字词问题</groupName>
      <ability>L2_Typo</ability>
      <abilityName>字词错误</abilityName>
      <candidateList>
        <item>的</item>
      </candidateList>
      <explain>“的”常用于连接修饰语与名词性中心语，表示属性、所属或描述。</explain>
      <paraID>1FD4D8B6</paraID>
      <start>0</start>
      <end>1</end>
      <status>ignored</status>
      <modifiedWord/>
      <trackRevisions>false</trackRevisions>
    </reviewItem>
    <reviewItem>
      <errorID>921a5ffc-b307-444f-ae93-ee681afffebf</errorID>
      <errorWord>证</errorWord>
      <group>L1_Word</group>
      <groupName>字词问题</groupName>
      <ability>L2_Typo</ability>
      <abilityName>字词错误</abilityName>
      <candidateList>
        <item>证金</item>
      </candidateList>
      <explain/>
      <paraID> 7EC47AF</paraID>
      <start>32</start>
      <end>33</end>
      <status>ignored</status>
      <modifiedWord/>
      <trackRevisions>false</trackRevisions>
    </reviewItem>
    <reviewItem>
      <errorID>a2feaf4d-2003-4cf0-9182-ded4f7573ca4</errorID>
      <errorWord>证</errorWord>
      <group>L1_Word</group>
      <groupName>字词问题</groupName>
      <ability>L2_Typo</ability>
      <abilityName>字词错误</abilityName>
      <candidateList>
        <item>证金</item>
      </candidateList>
      <explain/>
      <paraID>64B8D39E</paraID>
      <start>36</start>
      <end>37</end>
      <status>ignored</status>
      <modifiedWord/>
      <trackRevisions>false</trackRevisions>
    </reviewItem>
    <reviewItem>
      <errorID>c8254a14-9bb0-4050-a16c-48b84a929aad</errorID>
      <errorWord>至2025年度</errorWord>
      <group>L1_Word</group>
      <groupName>字词问题</groupName>
      <ability>L2_Typo</ability>
      <abilityName>字词错误</abilityName>
      <candidateList>
        <item>至2025年</item>
      </candidateList>
      <explain/>
      <paraID>4E240C44</paraID>
      <start>13</start>
      <end>20</end>
      <status>ignored</status>
      <modifiedWord/>
      <trackRevisions>false</trackRevisions>
    </reviewItem>
    <reviewItem>
      <errorID>0f7846c1-a7f8-4a3f-a966-030507a92a8e</errorID>
      <errorWord>至2025年度</errorWord>
      <group>L1_Word</group>
      <groupName>字词问题</groupName>
      <ability>L2_Typo</ability>
      <abilityName>字词错误</abilityName>
      <candidateList>
        <item>至2025年</item>
      </candidateList>
      <explain/>
      <paraID>5503642E</paraID>
      <start>15</start>
      <end>22</end>
      <status>ignored</status>
      <modifiedWord/>
      <trackRevisions>false</trackRevisions>
    </reviewItem>
    <reviewItem>
      <errorID>a848af42-712e-45a5-ba59-f41a8a8f1e3a</errorID>
      <errorWord>意向</errorWord>
      <group>L1_Word</group>
      <groupName>字词问题</groupName>
      <ability>L2_Typo</ability>
      <abilityName>字词错误</abilityName>
      <candidateList>
        <item>意象</item>
      </candidateList>
      <explain>〈名〉意境：这首民歌～新颖。</explain>
      <paraID> DA8C77C</paraID>
      <start>5</start>
      <end>7</end>
      <status>ignored</status>
      <modifiedWord/>
      <trackRevisions>false</trackRevisions>
    </reviewItem>
    <reviewItem>
      <errorID>f514fe50-4eff-47b6-961a-f21ec48c3727</errorID>
      <errorWord>（</errorWord>
      <group>L1_Punc</group>
      <groupName>标点问题</groupName>
      <ability>L2_Punc_CN</ability>
      <abilityName/>
      <candidateList/>
      <explain>同一形式括号套用。</explain>
      <paraID>1FC7CF87</paraID>
      <start>72</start>
      <end>73</end>
      <status>ignored</status>
      <modifiedWord/>
      <trackRevisions>false</trackRevisions>
    </reviewItem>
    <reviewItem>
      <errorID>6fb5f1a6-5e23-4275-ab6f-ad84cf53a05b</errorID>
      <errorWord>）</errorWord>
      <group>L1_Punc</group>
      <groupName>标点问题</groupName>
      <ability>L2_Punc_CN</ability>
      <abilityName/>
      <candidateList/>
      <explain>同一形式括号套用。</explain>
      <paraID>1FC7CF87</paraID>
      <start>84</start>
      <end>85</end>
      <status>ignored</status>
      <modifiedWord/>
      <trackRevisions>false</trackRevisions>
    </reviewItem>
    <reviewItem>
      <errorID>be1192db-1941-45ce-bf39-bafdfdae9f85</errorID>
      <errorWord>愿以</errorWord>
      <group>L1_Word</group>
      <groupName>字词问题</groupName>
      <ability>L2_Typo</ability>
      <abilityName>字词错误</abilityName>
      <candidateList>
        <item>愿意</item>
      </candidateList>
      <explain>〈动〉❶助动词。认为符合自己心愿而同意（做某事）：他～去吗？｜我不～做太剧烈的动动。❷希望（发生某种情况）：他们～你留在这里。</explain>
      <paraID>6A027F1E</paraID>
      <start>120</start>
      <end>122</end>
      <status>ignored</status>
      <modifiedWord/>
      <trackRevisions>false</trackRevisions>
    </reviewItem>
    <reviewItem>
      <errorID>93d0d9c2-d180-430e-bd62-742212510aa0</errorID>
      <errorWord>返纳</errorWord>
      <group>L1_Word</group>
      <groupName>字词问题</groupName>
      <ability>L2_Typo</ability>
      <abilityName>字词错误</abilityName>
      <candidateList>
        <item>返还</item>
      </candidateList>
      <explain/>
      <paraID> 3502DAB</paraID>
      <start>46</start>
      <end>48</end>
      <status>ignored</status>
      <modifiedWord/>
      <trackRevisions>false</trackRevisions>
    </reviewItem>
    <reviewItem>
      <errorID>727c9024-d6d1-434a-abe3-e97c2828e8e4</errorID>
      <errorWord>、</errorWord>
      <group>L1_Punc</group>
      <groupName>标点问题</groupName>
      <ability>L2_Punc_CN</ability>
      <abilityName/>
      <candidateList/>
      <explain/>
      <paraID>38191CEF</paraID>
      <start>18</start>
      <end>19</end>
      <status>ignored</status>
      <modifiedWord/>
      <trackRevisions>false</trackRevisions>
    </reviewItem>
    <reviewItem>
      <errorID>e3d4dfcc-74f6-4ec7-915d-e46f63f47033</errorID>
      <errorWord>2026年06月</errorWord>
      <group>L1_Knowledge</group>
      <groupName>知识性问题</groupName>
      <ability>L2_Time</ability>
      <abilityName>日期时间</abilityName>
      <candidateList>
        <item>2026年6月</item>
      </candidateList>
      <explain>根据日常书写习惯，月份一般会省略前导零。</explain>
      <paraID>7CDA8FD0</paraID>
      <start>0</start>
      <end>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91d229-80c6-4a98-a5d6-ad07b7a39fa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74</Pages>
  <Words>8658</Words>
  <Characters>9500</Characters>
  <Lines>363</Lines>
  <Paragraphs>102</Paragraphs>
  <TotalTime>138</TotalTime>
  <ScaleCrop>false</ScaleCrop>
  <LinksUpToDate>false</LinksUpToDate>
  <CharactersWithSpaces>9856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2026-06-24T09:10:00Z</dcterms:created>
  <dc:creator>Tian</dc:creator>
  <cp:lastModifiedBy>文公子</cp:lastModifiedBy>
  <cp:lastPrinted>2026-07-06T01:53:00Z</cp:lastPrinted>
  <dcterms:modified xsi:type="dcterms:W3CDTF">2026-07-06T08:43:25Z</dcterms:modified>
  <dc:title>﹝市政﹞ 施工招标公告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074D8E439B1745349FA7497306A9098C_13</vt:lpwstr>
  </property>
  <property fmtid="{D5CDD505-2E9C-101B-9397-08002B2CF9AE}" pid="4" name="ribbonExt">
    <vt:lpwstr>{"WPSExtOfficeTab":{"OnGetEnabled":false,"OnGetVisible":false}}</vt:lpwstr>
  </property>
  <property fmtid="{D5CDD505-2E9C-101B-9397-08002B2CF9AE}" pid="5" name="KSOTemplateDocerSaveRecord">
    <vt:lpwstr>eyJoZGlkIjoiZmIxNGNkM2Q0NjA5NzJlOGY2YzkwMzVjZjMyZDg2MDIiLCJ1c2VySWQiOiI0MjgzMDc2MjUifQ==</vt:lpwstr>
  </property>
</Properties>
</file>