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9BB9">
      <w:pPr>
        <w:rPr>
          <w:rFonts w:hint="eastAsia" w:ascii="宋体" w:hAnsi="宋体" w:cs="宋体"/>
          <w:color w:val="auto"/>
          <w:highlight w:val="none"/>
        </w:rPr>
      </w:pPr>
    </w:p>
    <w:p w14:paraId="3FDBDD1A">
      <w:pPr>
        <w:pStyle w:val="21"/>
        <w:spacing w:line="360" w:lineRule="auto"/>
        <w:jc w:val="center"/>
        <w:rPr>
          <w:rFonts w:hint="eastAsia" w:ascii="宋体" w:hAnsi="宋体" w:eastAsia="宋体" w:cs="宋体"/>
          <w:b/>
          <w:bCs/>
          <w:color w:val="auto"/>
          <w:sz w:val="60"/>
          <w:szCs w:val="60"/>
          <w:highlight w:val="none"/>
        </w:rPr>
      </w:pPr>
      <w:bookmarkStart w:id="0" w:name="OLE_LINK2"/>
      <w:r>
        <w:rPr>
          <w:rFonts w:hint="eastAsia" w:ascii="宋体" w:hAnsi="宋体" w:eastAsia="宋体" w:cs="宋体"/>
          <w:b/>
          <w:bCs/>
          <w:color w:val="auto"/>
          <w:sz w:val="60"/>
          <w:szCs w:val="60"/>
          <w:highlight w:val="none"/>
        </w:rPr>
        <w:t>仁化产业转移工业园区基础建设（二期）-仁化产业园区部分涉环保子项目设计服务</w:t>
      </w:r>
      <w:bookmarkEnd w:id="0"/>
      <w:r>
        <w:rPr>
          <w:rFonts w:hint="eastAsia" w:ascii="宋体" w:hAnsi="宋体" w:eastAsia="宋体" w:cs="宋体"/>
          <w:b/>
          <w:bCs/>
          <w:color w:val="auto"/>
          <w:sz w:val="60"/>
          <w:szCs w:val="60"/>
          <w:highlight w:val="none"/>
        </w:rPr>
        <w:t>招标</w:t>
      </w:r>
    </w:p>
    <w:p w14:paraId="70BE0090">
      <w:pPr>
        <w:rPr>
          <w:rFonts w:hint="eastAsia" w:ascii="宋体" w:hAnsi="宋体" w:cs="宋体"/>
          <w:color w:val="auto"/>
          <w:highlight w:val="none"/>
        </w:rPr>
      </w:pPr>
    </w:p>
    <w:p w14:paraId="44289783">
      <w:pPr>
        <w:rPr>
          <w:rFonts w:hint="eastAsia" w:ascii="宋体" w:hAnsi="宋体" w:cs="宋体"/>
          <w:color w:val="auto"/>
          <w:highlight w:val="none"/>
        </w:rPr>
      </w:pPr>
    </w:p>
    <w:p w14:paraId="64495886">
      <w:pPr>
        <w:rPr>
          <w:rFonts w:hint="eastAsia" w:ascii="宋体" w:hAnsi="宋体" w:cs="宋体"/>
          <w:color w:val="auto"/>
          <w:highlight w:val="none"/>
        </w:rPr>
      </w:pPr>
    </w:p>
    <w:p w14:paraId="6CD60802">
      <w:pPr>
        <w:rPr>
          <w:rFonts w:hint="eastAsia" w:ascii="宋体" w:hAnsi="宋体" w:cs="宋体"/>
          <w:color w:val="auto"/>
          <w:highlight w:val="none"/>
        </w:rPr>
      </w:pPr>
    </w:p>
    <w:p w14:paraId="69FE342D">
      <w:pPr>
        <w:pStyle w:val="21"/>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5824A180">
      <w:pPr>
        <w:rPr>
          <w:rFonts w:hint="eastAsia" w:ascii="宋体" w:hAnsi="宋体" w:cs="宋体"/>
          <w:color w:val="auto"/>
          <w:highlight w:val="none"/>
        </w:rPr>
      </w:pPr>
    </w:p>
    <w:p w14:paraId="10548EB5">
      <w:pPr>
        <w:rPr>
          <w:rFonts w:hint="eastAsia" w:ascii="宋体" w:hAnsi="宋体" w:cs="宋体"/>
          <w:color w:val="auto"/>
          <w:highlight w:val="none"/>
        </w:rPr>
      </w:pPr>
    </w:p>
    <w:p w14:paraId="16F37C1D">
      <w:pPr>
        <w:rPr>
          <w:rFonts w:hint="eastAsia" w:ascii="宋体" w:hAnsi="宋体" w:cs="宋体"/>
          <w:color w:val="auto"/>
          <w:highlight w:val="none"/>
        </w:rPr>
      </w:pPr>
    </w:p>
    <w:tbl>
      <w:tblPr>
        <w:tblStyle w:val="15"/>
        <w:tblW w:w="10119" w:type="dxa"/>
        <w:jc w:val="center"/>
        <w:tblLayout w:type="fixed"/>
        <w:tblCellMar>
          <w:top w:w="0" w:type="dxa"/>
          <w:left w:w="0" w:type="dxa"/>
          <w:bottom w:w="0" w:type="dxa"/>
          <w:right w:w="0" w:type="dxa"/>
        </w:tblCellMar>
      </w:tblPr>
      <w:tblGrid>
        <w:gridCol w:w="4799"/>
        <w:gridCol w:w="5320"/>
      </w:tblGrid>
      <w:tr w14:paraId="31E454DA">
        <w:tblPrEx>
          <w:tblCellMar>
            <w:top w:w="0" w:type="dxa"/>
            <w:left w:w="0" w:type="dxa"/>
            <w:bottom w:w="0" w:type="dxa"/>
            <w:right w:w="0" w:type="dxa"/>
          </w:tblCellMar>
        </w:tblPrEx>
        <w:trPr>
          <w:trHeight w:val="868" w:hRule="atLeast"/>
          <w:jc w:val="center"/>
        </w:trPr>
        <w:tc>
          <w:tcPr>
            <w:tcW w:w="4799" w:type="dxa"/>
            <w:vAlign w:val="center"/>
          </w:tcPr>
          <w:p w14:paraId="15ED2D85">
            <w:pPr>
              <w:pStyle w:val="22"/>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人（盖单位章）：</w:t>
            </w:r>
          </w:p>
        </w:tc>
        <w:tc>
          <w:tcPr>
            <w:tcW w:w="5320" w:type="dxa"/>
            <w:vAlign w:val="center"/>
          </w:tcPr>
          <w:p w14:paraId="46F7F7A5">
            <w:pPr>
              <w:pStyle w:val="22"/>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snapToGrid w:val="0"/>
                <w:color w:val="auto"/>
                <w:kern w:val="0"/>
                <w:sz w:val="28"/>
                <w:szCs w:val="28"/>
                <w:highlight w:val="none"/>
              </w:rPr>
              <w:t>仁化县丹霞旅游经济开发试验区管理委员会</w:t>
            </w:r>
          </w:p>
        </w:tc>
      </w:tr>
      <w:tr w14:paraId="072C65EF">
        <w:tblPrEx>
          <w:tblCellMar>
            <w:top w:w="0" w:type="dxa"/>
            <w:left w:w="0" w:type="dxa"/>
            <w:bottom w:w="0" w:type="dxa"/>
            <w:right w:w="0" w:type="dxa"/>
          </w:tblCellMar>
        </w:tblPrEx>
        <w:trPr>
          <w:trHeight w:val="805" w:hRule="atLeast"/>
          <w:jc w:val="center"/>
        </w:trPr>
        <w:tc>
          <w:tcPr>
            <w:tcW w:w="4799" w:type="dxa"/>
            <w:vAlign w:val="center"/>
          </w:tcPr>
          <w:p w14:paraId="1F97F5DB">
            <w:pPr>
              <w:pStyle w:val="22"/>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招标人工作领导小组负责人（签字）：</w:t>
            </w:r>
          </w:p>
        </w:tc>
        <w:tc>
          <w:tcPr>
            <w:tcW w:w="5320" w:type="dxa"/>
            <w:vAlign w:val="center"/>
          </w:tcPr>
          <w:p w14:paraId="23BF910D">
            <w:pPr>
              <w:pStyle w:val="22"/>
              <w:wordWrap w:val="0"/>
              <w:adjustRightInd w:val="0"/>
              <w:snapToGrid w:val="0"/>
              <w:spacing w:line="240" w:lineRule="auto"/>
              <w:rPr>
                <w:rFonts w:hint="eastAsia" w:hAnsi="宋体" w:cs="宋体"/>
                <w:snapToGrid w:val="0"/>
                <w:color w:val="auto"/>
                <w:kern w:val="0"/>
                <w:sz w:val="28"/>
                <w:szCs w:val="28"/>
                <w:highlight w:val="none"/>
              </w:rPr>
            </w:pPr>
          </w:p>
        </w:tc>
      </w:tr>
      <w:tr w14:paraId="4A9A064A">
        <w:tblPrEx>
          <w:tblCellMar>
            <w:top w:w="0" w:type="dxa"/>
            <w:left w:w="0" w:type="dxa"/>
            <w:bottom w:w="0" w:type="dxa"/>
            <w:right w:w="0" w:type="dxa"/>
          </w:tblCellMar>
        </w:tblPrEx>
        <w:trPr>
          <w:trHeight w:val="906" w:hRule="atLeast"/>
          <w:jc w:val="center"/>
        </w:trPr>
        <w:tc>
          <w:tcPr>
            <w:tcW w:w="4799" w:type="dxa"/>
            <w:vAlign w:val="center"/>
          </w:tcPr>
          <w:p w14:paraId="4D4F3CDE">
            <w:pPr>
              <w:pStyle w:val="22"/>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代 理 机 构 （盖单位章）：</w:t>
            </w:r>
          </w:p>
        </w:tc>
        <w:tc>
          <w:tcPr>
            <w:tcW w:w="5320" w:type="dxa"/>
            <w:vAlign w:val="center"/>
          </w:tcPr>
          <w:p w14:paraId="73DEEF94">
            <w:pPr>
              <w:pStyle w:val="22"/>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color w:val="auto"/>
                <w:sz w:val="28"/>
                <w:szCs w:val="28"/>
                <w:highlight w:val="none"/>
              </w:rPr>
              <w:t>成致项目管理有限公司</w:t>
            </w:r>
          </w:p>
        </w:tc>
      </w:tr>
      <w:tr w14:paraId="4F10129F">
        <w:tblPrEx>
          <w:tblCellMar>
            <w:top w:w="0" w:type="dxa"/>
            <w:left w:w="0" w:type="dxa"/>
            <w:bottom w:w="0" w:type="dxa"/>
            <w:right w:w="0" w:type="dxa"/>
          </w:tblCellMar>
        </w:tblPrEx>
        <w:trPr>
          <w:trHeight w:val="902" w:hRule="atLeast"/>
          <w:jc w:val="center"/>
        </w:trPr>
        <w:tc>
          <w:tcPr>
            <w:tcW w:w="4799" w:type="dxa"/>
            <w:vAlign w:val="center"/>
          </w:tcPr>
          <w:p w14:paraId="11F012BD">
            <w:pPr>
              <w:pStyle w:val="22"/>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招标文件编制人（签字）：</w:t>
            </w:r>
          </w:p>
        </w:tc>
        <w:tc>
          <w:tcPr>
            <w:tcW w:w="5320" w:type="dxa"/>
            <w:vAlign w:val="center"/>
          </w:tcPr>
          <w:p w14:paraId="420B8592">
            <w:pPr>
              <w:pStyle w:val="22"/>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snapToGrid w:val="0"/>
                <w:color w:val="auto"/>
                <w:kern w:val="0"/>
                <w:sz w:val="28"/>
                <w:szCs w:val="28"/>
                <w:highlight w:val="none"/>
              </w:rPr>
              <w:drawing>
                <wp:inline distT="0" distB="0" distL="114300" distR="114300">
                  <wp:extent cx="1174750" cy="608330"/>
                  <wp:effectExtent l="0" t="0" r="6350" b="1270"/>
                  <wp:docPr id="4" name="图片 4" descr="梁景业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梁景业签名"/>
                          <pic:cNvPicPr>
                            <a:picLocks noChangeAspect="1"/>
                          </pic:cNvPicPr>
                        </pic:nvPicPr>
                        <pic:blipFill>
                          <a:blip r:embed="rId8"/>
                          <a:stretch>
                            <a:fillRect/>
                          </a:stretch>
                        </pic:blipFill>
                        <pic:spPr>
                          <a:xfrm>
                            <a:off x="0" y="0"/>
                            <a:ext cx="1174750" cy="608330"/>
                          </a:xfrm>
                          <a:prstGeom prst="rect">
                            <a:avLst/>
                          </a:prstGeom>
                        </pic:spPr>
                      </pic:pic>
                    </a:graphicData>
                  </a:graphic>
                </wp:inline>
              </w:drawing>
            </w:r>
          </w:p>
        </w:tc>
      </w:tr>
      <w:tr w14:paraId="6A0C713E">
        <w:tblPrEx>
          <w:tblCellMar>
            <w:top w:w="0" w:type="dxa"/>
            <w:left w:w="0" w:type="dxa"/>
            <w:bottom w:w="0" w:type="dxa"/>
            <w:right w:w="0" w:type="dxa"/>
          </w:tblCellMar>
        </w:tblPrEx>
        <w:trPr>
          <w:trHeight w:val="831" w:hRule="atLeast"/>
          <w:jc w:val="center"/>
        </w:trPr>
        <w:tc>
          <w:tcPr>
            <w:tcW w:w="4799" w:type="dxa"/>
            <w:vAlign w:val="center"/>
          </w:tcPr>
          <w:p w14:paraId="36A73CC6">
            <w:pPr>
              <w:pStyle w:val="22"/>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招标代理机构项目负责人（签字）：</w:t>
            </w:r>
          </w:p>
        </w:tc>
        <w:tc>
          <w:tcPr>
            <w:tcW w:w="5320" w:type="dxa"/>
            <w:vAlign w:val="center"/>
          </w:tcPr>
          <w:p w14:paraId="48D337B2">
            <w:pPr>
              <w:pStyle w:val="22"/>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snapToGrid w:val="0"/>
                <w:color w:val="auto"/>
                <w:kern w:val="0"/>
                <w:sz w:val="28"/>
                <w:szCs w:val="28"/>
                <w:highlight w:val="none"/>
              </w:rPr>
              <w:drawing>
                <wp:inline distT="0" distB="0" distL="114300" distR="114300">
                  <wp:extent cx="822960" cy="429895"/>
                  <wp:effectExtent l="0" t="0" r="15240" b="8255"/>
                  <wp:docPr id="6" name="图片 6" descr="钟梓铭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钟梓铭签名"/>
                          <pic:cNvPicPr>
                            <a:picLocks noChangeAspect="1"/>
                          </pic:cNvPicPr>
                        </pic:nvPicPr>
                        <pic:blipFill>
                          <a:blip r:embed="rId9"/>
                          <a:stretch>
                            <a:fillRect/>
                          </a:stretch>
                        </pic:blipFill>
                        <pic:spPr>
                          <a:xfrm>
                            <a:off x="0" y="0"/>
                            <a:ext cx="822960" cy="429895"/>
                          </a:xfrm>
                          <a:prstGeom prst="rect">
                            <a:avLst/>
                          </a:prstGeom>
                        </pic:spPr>
                      </pic:pic>
                    </a:graphicData>
                  </a:graphic>
                </wp:inline>
              </w:drawing>
            </w:r>
          </w:p>
        </w:tc>
      </w:tr>
      <w:tr w14:paraId="2B3B8F1F">
        <w:tblPrEx>
          <w:tblCellMar>
            <w:top w:w="0" w:type="dxa"/>
            <w:left w:w="0" w:type="dxa"/>
            <w:bottom w:w="0" w:type="dxa"/>
            <w:right w:w="0" w:type="dxa"/>
          </w:tblCellMar>
        </w:tblPrEx>
        <w:trPr>
          <w:trHeight w:val="1075" w:hRule="atLeast"/>
          <w:jc w:val="center"/>
        </w:trPr>
        <w:tc>
          <w:tcPr>
            <w:tcW w:w="4799" w:type="dxa"/>
            <w:vAlign w:val="center"/>
          </w:tcPr>
          <w:p w14:paraId="7A613F98">
            <w:pPr>
              <w:pStyle w:val="22"/>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招标文件编制日期：</w:t>
            </w:r>
          </w:p>
        </w:tc>
        <w:tc>
          <w:tcPr>
            <w:tcW w:w="5320" w:type="dxa"/>
            <w:vAlign w:val="center"/>
          </w:tcPr>
          <w:p w14:paraId="7FD1B5E2">
            <w:pPr>
              <w:pStyle w:val="22"/>
              <w:wordWrap w:val="0"/>
              <w:adjustRightInd w:val="0"/>
              <w:snapToGrid w:val="0"/>
              <w:spacing w:line="240" w:lineRule="auto"/>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2025年8月</w:t>
            </w:r>
          </w:p>
        </w:tc>
      </w:tr>
    </w:tbl>
    <w:p w14:paraId="26EE6105">
      <w:pPr>
        <w:rPr>
          <w:rFonts w:hint="eastAsia" w:ascii="宋体" w:hAnsi="宋体" w:cs="宋体"/>
          <w:color w:val="auto"/>
          <w:highlight w:val="none"/>
        </w:rPr>
      </w:pPr>
    </w:p>
    <w:p w14:paraId="220CBE9B">
      <w:pPr>
        <w:rPr>
          <w:rFonts w:hint="eastAsia" w:ascii="宋体" w:hAnsi="宋体" w:cs="宋体"/>
          <w:color w:val="auto"/>
          <w:highlight w:val="none"/>
        </w:rPr>
        <w:sectPr>
          <w:headerReference r:id="rId3" w:type="default"/>
          <w:footerReference r:id="rId4" w:type="default"/>
          <w:endnotePr>
            <w:numFmt w:val="decimal"/>
          </w:endnotePr>
          <w:pgSz w:w="11907" w:h="16840"/>
          <w:pgMar w:top="1134" w:right="1134" w:bottom="1134" w:left="1134" w:header="850" w:footer="850" w:gutter="0"/>
          <w:cols w:space="720" w:num="1"/>
          <w:docGrid w:type="lines" w:linePitch="272" w:charSpace="0"/>
        </w:sectPr>
      </w:pPr>
    </w:p>
    <w:p w14:paraId="5DF90637">
      <w:pPr>
        <w:rPr>
          <w:rFonts w:hint="eastAsia" w:ascii="宋体" w:hAnsi="宋体" w:cs="宋体"/>
          <w:color w:val="auto"/>
          <w:highlight w:val="none"/>
        </w:rPr>
      </w:pPr>
    </w:p>
    <w:p w14:paraId="357057E1">
      <w:pPr>
        <w:rPr>
          <w:rFonts w:hint="eastAsia" w:ascii="宋体" w:hAnsi="宋体" w:cs="宋体"/>
          <w:color w:val="auto"/>
          <w:highlight w:val="none"/>
        </w:rPr>
      </w:pPr>
    </w:p>
    <w:p w14:paraId="31E81BCB">
      <w:pPr>
        <w:rPr>
          <w:rFonts w:hint="eastAsia" w:ascii="宋体" w:hAnsi="宋体" w:cs="宋体"/>
          <w:color w:val="auto"/>
          <w:highlight w:val="none"/>
        </w:rPr>
      </w:pPr>
    </w:p>
    <w:p w14:paraId="307F1868">
      <w:pPr>
        <w:rPr>
          <w:rFonts w:hint="eastAsia" w:ascii="宋体" w:hAnsi="宋体" w:cs="宋体"/>
          <w:color w:val="auto"/>
          <w:highlight w:val="none"/>
        </w:rPr>
      </w:pPr>
    </w:p>
    <w:p w14:paraId="16D82992">
      <w:pPr>
        <w:rPr>
          <w:rFonts w:hint="eastAsia" w:ascii="宋体" w:hAnsi="宋体" w:cs="宋体"/>
          <w:color w:val="auto"/>
          <w:highlight w:val="none"/>
        </w:rPr>
      </w:pPr>
    </w:p>
    <w:p w14:paraId="7DBF8D11">
      <w:pPr>
        <w:rPr>
          <w:rFonts w:hint="eastAsia" w:ascii="宋体" w:hAnsi="宋体" w:cs="宋体"/>
          <w:color w:val="auto"/>
          <w:highlight w:val="none"/>
        </w:rPr>
      </w:pPr>
    </w:p>
    <w:p w14:paraId="3893CCDF">
      <w:pPr>
        <w:rPr>
          <w:rFonts w:hint="eastAsia" w:ascii="宋体" w:hAnsi="宋体" w:cs="宋体"/>
          <w:color w:val="auto"/>
          <w:highlight w:val="none"/>
        </w:rPr>
      </w:pPr>
    </w:p>
    <w:p w14:paraId="19275F0E">
      <w:pPr>
        <w:rPr>
          <w:rFonts w:hint="eastAsia" w:ascii="宋体" w:hAnsi="宋体" w:cs="宋体"/>
          <w:color w:val="auto"/>
          <w:highlight w:val="none"/>
        </w:rPr>
      </w:pPr>
    </w:p>
    <w:p w14:paraId="16765FF9">
      <w:pPr>
        <w:rPr>
          <w:rFonts w:hint="eastAsia" w:ascii="宋体" w:hAnsi="宋体" w:cs="宋体"/>
          <w:color w:val="auto"/>
          <w:highlight w:val="none"/>
        </w:rPr>
      </w:pPr>
    </w:p>
    <w:p w14:paraId="564C9CA9">
      <w:pPr>
        <w:rPr>
          <w:rFonts w:hint="eastAsia" w:ascii="宋体" w:hAnsi="宋体" w:cs="宋体"/>
          <w:color w:val="auto"/>
          <w:highlight w:val="none"/>
        </w:rPr>
      </w:pPr>
    </w:p>
    <w:p w14:paraId="5422EAFE">
      <w:pPr>
        <w:rPr>
          <w:rFonts w:hint="eastAsia" w:ascii="宋体" w:hAnsi="宋体" w:cs="宋体"/>
          <w:color w:val="auto"/>
          <w:highlight w:val="none"/>
        </w:rPr>
      </w:pPr>
    </w:p>
    <w:p w14:paraId="5A9DE5D1">
      <w:pPr>
        <w:rPr>
          <w:rFonts w:hint="eastAsia" w:ascii="宋体" w:hAnsi="宋体" w:cs="宋体"/>
          <w:color w:val="auto"/>
          <w:highlight w:val="none"/>
        </w:rPr>
      </w:pPr>
    </w:p>
    <w:p w14:paraId="76867111">
      <w:pPr>
        <w:rPr>
          <w:rFonts w:hint="eastAsia" w:ascii="宋体" w:hAnsi="宋体" w:cs="宋体"/>
          <w:color w:val="auto"/>
          <w:highlight w:val="none"/>
        </w:rPr>
      </w:pPr>
    </w:p>
    <w:p w14:paraId="1EAC99D4">
      <w:pPr>
        <w:rPr>
          <w:rFonts w:hint="eastAsia" w:ascii="宋体" w:hAnsi="宋体" w:cs="宋体"/>
          <w:color w:val="auto"/>
          <w:highlight w:val="none"/>
        </w:rPr>
      </w:pPr>
    </w:p>
    <w:p w14:paraId="5E962F35">
      <w:pPr>
        <w:rPr>
          <w:rFonts w:hint="eastAsia" w:ascii="宋体" w:hAnsi="宋体" w:cs="宋体"/>
          <w:color w:val="auto"/>
          <w:highlight w:val="none"/>
        </w:rPr>
      </w:pPr>
    </w:p>
    <w:p w14:paraId="429DF240">
      <w:pPr>
        <w:rPr>
          <w:rFonts w:hint="eastAsia" w:ascii="宋体" w:hAnsi="宋体" w:cs="宋体"/>
          <w:color w:val="auto"/>
          <w:highlight w:val="none"/>
        </w:rPr>
      </w:pPr>
    </w:p>
    <w:p w14:paraId="40634D9A">
      <w:pPr>
        <w:rPr>
          <w:rFonts w:hint="eastAsia" w:ascii="宋体" w:hAnsi="宋体" w:cs="宋体"/>
          <w:color w:val="auto"/>
          <w:highlight w:val="none"/>
        </w:rPr>
      </w:pPr>
    </w:p>
    <w:p w14:paraId="3CA4EA4E">
      <w:pPr>
        <w:rPr>
          <w:rFonts w:hint="eastAsia" w:ascii="宋体" w:hAnsi="宋体" w:cs="宋体"/>
          <w:color w:val="auto"/>
          <w:highlight w:val="none"/>
        </w:rPr>
      </w:pPr>
    </w:p>
    <w:p w14:paraId="1DBD989E">
      <w:pPr>
        <w:rPr>
          <w:rFonts w:hint="eastAsia" w:ascii="宋体" w:hAnsi="宋体" w:cs="宋体"/>
          <w:color w:val="auto"/>
          <w:highlight w:val="none"/>
        </w:rPr>
      </w:pPr>
    </w:p>
    <w:p w14:paraId="0D94968E">
      <w:pPr>
        <w:rPr>
          <w:rFonts w:hint="eastAsia" w:ascii="宋体" w:hAnsi="宋体" w:cs="宋体"/>
          <w:color w:val="auto"/>
          <w:highlight w:val="none"/>
        </w:rPr>
      </w:pPr>
    </w:p>
    <w:p w14:paraId="18607F0F">
      <w:pPr>
        <w:rPr>
          <w:rFonts w:hint="eastAsia" w:ascii="宋体" w:hAnsi="宋体" w:cs="宋体"/>
          <w:color w:val="auto"/>
          <w:highlight w:val="none"/>
        </w:rPr>
      </w:pPr>
    </w:p>
    <w:p w14:paraId="48F72223">
      <w:pPr>
        <w:rPr>
          <w:rFonts w:hint="eastAsia" w:ascii="宋体" w:hAnsi="宋体" w:cs="宋体"/>
          <w:color w:val="auto"/>
          <w:highlight w:val="none"/>
        </w:rPr>
      </w:pPr>
    </w:p>
    <w:p w14:paraId="4BE581B0">
      <w:pPr>
        <w:rPr>
          <w:rFonts w:hint="eastAsia" w:ascii="宋体" w:hAnsi="宋体" w:cs="宋体"/>
          <w:color w:val="auto"/>
          <w:highlight w:val="none"/>
        </w:rPr>
      </w:pPr>
    </w:p>
    <w:p w14:paraId="3EAD2922">
      <w:pPr>
        <w:rPr>
          <w:rFonts w:hint="eastAsia" w:ascii="宋体" w:hAnsi="宋体" w:cs="宋体"/>
          <w:color w:val="auto"/>
          <w:highlight w:val="none"/>
        </w:rPr>
      </w:pPr>
    </w:p>
    <w:p w14:paraId="140FE248">
      <w:pPr>
        <w:rPr>
          <w:rFonts w:hint="eastAsia" w:ascii="宋体" w:hAnsi="宋体" w:cs="宋体"/>
          <w:color w:val="auto"/>
          <w:highlight w:val="none"/>
        </w:rPr>
      </w:pPr>
    </w:p>
    <w:p w14:paraId="4068B155">
      <w:pPr>
        <w:rPr>
          <w:rFonts w:hint="eastAsia" w:ascii="宋体" w:hAnsi="宋体" w:cs="宋体"/>
          <w:color w:val="auto"/>
          <w:highlight w:val="none"/>
        </w:rPr>
      </w:pPr>
    </w:p>
    <w:p w14:paraId="0B67E72B">
      <w:pPr>
        <w:rPr>
          <w:rFonts w:hint="eastAsia" w:ascii="宋体" w:hAnsi="宋体" w:cs="宋体"/>
          <w:color w:val="auto"/>
          <w:highlight w:val="none"/>
        </w:rPr>
      </w:pPr>
    </w:p>
    <w:p w14:paraId="2C1C1591">
      <w:pPr>
        <w:rPr>
          <w:rFonts w:hint="eastAsia" w:ascii="宋体" w:hAnsi="宋体" w:cs="宋体"/>
          <w:color w:val="auto"/>
          <w:highlight w:val="none"/>
        </w:rPr>
        <w:sectPr>
          <w:footerReference r:id="rId5" w:type="default"/>
          <w:endnotePr>
            <w:numFmt w:val="decimal"/>
          </w:endnotePr>
          <w:pgSz w:w="11907" w:h="16840"/>
          <w:pgMar w:top="1134" w:right="1134" w:bottom="1134" w:left="1134" w:header="850" w:footer="850" w:gutter="0"/>
          <w:pgNumType w:start="1"/>
          <w:cols w:space="720" w:num="1"/>
          <w:docGrid w:type="lines" w:linePitch="272" w:charSpace="0"/>
        </w:sectPr>
      </w:pPr>
      <w:bookmarkStart w:id="1" w:name="_Hlt111690251"/>
    </w:p>
    <w:p w14:paraId="4C743750">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目录</w:t>
      </w:r>
    </w:p>
    <w:p w14:paraId="217AD786">
      <w:pPr>
        <w:pStyle w:val="10"/>
        <w:tabs>
          <w:tab w:val="right" w:leader="dot" w:pos="10467"/>
        </w:tabs>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"_Toc20948" </w:instrText>
      </w:r>
      <w:r>
        <w:rPr>
          <w:color w:val="auto"/>
          <w:highlight w:val="none"/>
        </w:rPr>
        <w:fldChar w:fldCharType="separate"/>
      </w:r>
      <w:r>
        <w:rPr>
          <w:rFonts w:hint="eastAsia" w:ascii="宋体" w:hAnsi="宋体" w:cs="宋体"/>
          <w:snapToGrid w:val="0"/>
          <w:color w:val="auto"/>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_Toc20948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0AAF2E5">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"_Toc4935" </w:instrText>
      </w:r>
      <w:r>
        <w:rPr>
          <w:color w:val="auto"/>
          <w:highlight w:val="none"/>
        </w:rPr>
        <w:fldChar w:fldCharType="separate"/>
      </w:r>
      <w:r>
        <w:rPr>
          <w:rFonts w:hint="eastAsia" w:ascii="宋体" w:hAnsi="宋体" w:cs="宋体"/>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_Toc4935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934EC0C">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"_Toc31823" </w:instrText>
      </w:r>
      <w:r>
        <w:rPr>
          <w:color w:val="auto"/>
          <w:highlight w:val="none"/>
        </w:rPr>
        <w:fldChar w:fldCharType="separate"/>
      </w:r>
      <w:r>
        <w:rPr>
          <w:rFonts w:hint="eastAsia" w:ascii="宋体" w:hAnsi="宋体" w:cs="宋体"/>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_Toc31823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504C52">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"_Toc24003" </w:instrText>
      </w:r>
      <w:r>
        <w:rPr>
          <w:color w:val="auto"/>
          <w:highlight w:val="none"/>
        </w:rPr>
        <w:fldChar w:fldCharType="separate"/>
      </w:r>
      <w:r>
        <w:rPr>
          <w:rFonts w:hint="eastAsia" w:ascii="宋体" w:hAnsi="宋体" w:cs="宋体"/>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_Toc24003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98CC16E">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"_Toc13747" </w:instrText>
      </w:r>
      <w:r>
        <w:rPr>
          <w:color w:val="auto"/>
          <w:highlight w:val="none"/>
        </w:rPr>
        <w:fldChar w:fldCharType="separate"/>
      </w:r>
      <w:r>
        <w:rPr>
          <w:rFonts w:hint="eastAsia" w:ascii="宋体" w:hAnsi="宋体" w:cs="宋体"/>
          <w:snapToGrid w:val="0"/>
          <w:color w:val="auto"/>
          <w:highlight w:val="none"/>
        </w:rPr>
        <w:t>1.工程概况综合说明</w:t>
      </w:r>
      <w:r>
        <w:rPr>
          <w:color w:val="auto"/>
          <w:highlight w:val="none"/>
        </w:rPr>
        <w:tab/>
      </w:r>
      <w:r>
        <w:rPr>
          <w:color w:val="auto"/>
          <w:highlight w:val="none"/>
        </w:rPr>
        <w:fldChar w:fldCharType="begin"/>
      </w:r>
      <w:r>
        <w:rPr>
          <w:color w:val="auto"/>
          <w:highlight w:val="none"/>
        </w:rPr>
        <w:instrText xml:space="preserve"> PAGEREF _Toc13747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7E5520F">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"_Toc812" </w:instrText>
      </w:r>
      <w:r>
        <w:rPr>
          <w:color w:val="auto"/>
          <w:highlight w:val="none"/>
        </w:rPr>
        <w:fldChar w:fldCharType="separate"/>
      </w:r>
      <w:r>
        <w:rPr>
          <w:rFonts w:hint="eastAsia" w:ascii="宋体" w:hAnsi="宋体" w:cs="宋体"/>
          <w:snapToGrid w:val="0"/>
          <w:color w:val="auto"/>
          <w:highlight w:val="none"/>
        </w:rPr>
        <w:t>2.招标范围</w:t>
      </w:r>
      <w:r>
        <w:rPr>
          <w:color w:val="auto"/>
          <w:highlight w:val="none"/>
        </w:rPr>
        <w:tab/>
      </w:r>
      <w:r>
        <w:rPr>
          <w:color w:val="auto"/>
          <w:highlight w:val="none"/>
        </w:rPr>
        <w:fldChar w:fldCharType="begin"/>
      </w:r>
      <w:r>
        <w:rPr>
          <w:color w:val="auto"/>
          <w:highlight w:val="none"/>
        </w:rPr>
        <w:instrText xml:space="preserve"> PAGEREF _Toc812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389CCA9">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"_Toc31828" </w:instrText>
      </w:r>
      <w:r>
        <w:rPr>
          <w:color w:val="auto"/>
          <w:highlight w:val="none"/>
        </w:rPr>
        <w:fldChar w:fldCharType="separate"/>
      </w:r>
      <w:r>
        <w:rPr>
          <w:rFonts w:hint="eastAsia" w:ascii="宋体" w:hAnsi="宋体" w:cs="宋体"/>
          <w:snapToGrid w:val="0"/>
          <w:color w:val="auto"/>
          <w:highlight w:val="none"/>
        </w:rPr>
        <w:t>3.工期要求</w:t>
      </w:r>
      <w:r>
        <w:rPr>
          <w:color w:val="auto"/>
          <w:highlight w:val="none"/>
        </w:rPr>
        <w:tab/>
      </w:r>
      <w:r>
        <w:rPr>
          <w:color w:val="auto"/>
          <w:highlight w:val="none"/>
        </w:rPr>
        <w:fldChar w:fldCharType="begin"/>
      </w:r>
      <w:r>
        <w:rPr>
          <w:color w:val="auto"/>
          <w:highlight w:val="none"/>
        </w:rPr>
        <w:instrText xml:space="preserve"> PAGEREF _Toc31828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87D469C">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"_Toc2003" </w:instrText>
      </w:r>
      <w:r>
        <w:rPr>
          <w:color w:val="auto"/>
          <w:highlight w:val="none"/>
        </w:rPr>
        <w:fldChar w:fldCharType="separate"/>
      </w:r>
      <w:r>
        <w:rPr>
          <w:rFonts w:hint="eastAsia" w:ascii="宋体" w:hAnsi="宋体" w:cs="宋体"/>
          <w:snapToGrid w:val="0"/>
          <w:color w:val="auto"/>
          <w:highlight w:val="none"/>
        </w:rPr>
        <w:t>4.投标人资质等级及人员要求</w:t>
      </w:r>
      <w:r>
        <w:rPr>
          <w:color w:val="auto"/>
          <w:highlight w:val="none"/>
        </w:rPr>
        <w:tab/>
      </w:r>
      <w:r>
        <w:rPr>
          <w:color w:val="auto"/>
          <w:highlight w:val="none"/>
        </w:rPr>
        <w:fldChar w:fldCharType="begin"/>
      </w:r>
      <w:r>
        <w:rPr>
          <w:color w:val="auto"/>
          <w:highlight w:val="none"/>
        </w:rPr>
        <w:instrText xml:space="preserve"> PAGEREF _Toc2003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90AB8FF">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"_Toc28003" </w:instrText>
      </w:r>
      <w:r>
        <w:rPr>
          <w:color w:val="auto"/>
          <w:highlight w:val="none"/>
        </w:rPr>
        <w:fldChar w:fldCharType="separate"/>
      </w:r>
      <w:r>
        <w:rPr>
          <w:rFonts w:hint="eastAsia" w:ascii="宋体" w:hAnsi="宋体" w:cs="宋体"/>
          <w:snapToGrid w:val="0"/>
          <w:color w:val="auto"/>
          <w:highlight w:val="none"/>
        </w:rPr>
        <w:t>5.招标文件获取</w:t>
      </w:r>
      <w:r>
        <w:rPr>
          <w:color w:val="auto"/>
          <w:highlight w:val="none"/>
        </w:rPr>
        <w:tab/>
      </w:r>
      <w:r>
        <w:rPr>
          <w:color w:val="auto"/>
          <w:highlight w:val="none"/>
        </w:rPr>
        <w:fldChar w:fldCharType="begin"/>
      </w:r>
      <w:r>
        <w:rPr>
          <w:color w:val="auto"/>
          <w:highlight w:val="none"/>
        </w:rPr>
        <w:instrText xml:space="preserve"> PAGEREF _Toc28003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B67DED0">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"_Toc7612" </w:instrText>
      </w:r>
      <w:r>
        <w:rPr>
          <w:color w:val="auto"/>
          <w:highlight w:val="none"/>
        </w:rPr>
        <w:fldChar w:fldCharType="separate"/>
      </w:r>
      <w:r>
        <w:rPr>
          <w:rFonts w:hint="eastAsia" w:ascii="宋体" w:hAnsi="宋体" w:cs="宋体"/>
          <w:snapToGrid w:val="0"/>
          <w:color w:val="auto"/>
          <w:highlight w:val="none"/>
        </w:rPr>
        <w:t>6.设计工程内容和质量标准</w:t>
      </w:r>
      <w:r>
        <w:rPr>
          <w:color w:val="auto"/>
          <w:highlight w:val="none"/>
        </w:rPr>
        <w:tab/>
      </w:r>
      <w:r>
        <w:rPr>
          <w:color w:val="auto"/>
          <w:highlight w:val="none"/>
        </w:rPr>
        <w:fldChar w:fldCharType="begin"/>
      </w:r>
      <w:r>
        <w:rPr>
          <w:color w:val="auto"/>
          <w:highlight w:val="none"/>
        </w:rPr>
        <w:instrText xml:space="preserve"> PAGEREF _Toc7612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ADB92AC">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"_Toc15875" </w:instrText>
      </w:r>
      <w:r>
        <w:rPr>
          <w:color w:val="auto"/>
          <w:highlight w:val="none"/>
        </w:rPr>
        <w:fldChar w:fldCharType="separate"/>
      </w:r>
      <w:r>
        <w:rPr>
          <w:rFonts w:hint="eastAsia" w:ascii="宋体" w:hAnsi="宋体" w:cs="宋体"/>
          <w:snapToGrid w:val="0"/>
          <w:color w:val="auto"/>
          <w:highlight w:val="none"/>
        </w:rPr>
        <w:t>7.现场踏勘</w:t>
      </w:r>
      <w:r>
        <w:rPr>
          <w:color w:val="auto"/>
          <w:highlight w:val="none"/>
        </w:rPr>
        <w:tab/>
      </w:r>
      <w:r>
        <w:rPr>
          <w:color w:val="auto"/>
          <w:highlight w:val="none"/>
        </w:rPr>
        <w:fldChar w:fldCharType="begin"/>
      </w:r>
      <w:r>
        <w:rPr>
          <w:color w:val="auto"/>
          <w:highlight w:val="none"/>
        </w:rPr>
        <w:instrText xml:space="preserve"> PAGEREF _Toc15875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496CAC4">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"_Toc3050" </w:instrText>
      </w:r>
      <w:r>
        <w:rPr>
          <w:color w:val="auto"/>
          <w:highlight w:val="none"/>
        </w:rPr>
        <w:fldChar w:fldCharType="separate"/>
      </w:r>
      <w:r>
        <w:rPr>
          <w:rFonts w:hint="eastAsia" w:ascii="宋体" w:hAnsi="宋体" w:cs="宋体"/>
          <w:snapToGrid w:val="0"/>
          <w:color w:val="auto"/>
          <w:highlight w:val="none"/>
        </w:rPr>
        <w:t>8.招标答疑</w:t>
      </w:r>
      <w:r>
        <w:rPr>
          <w:color w:val="auto"/>
          <w:highlight w:val="none"/>
        </w:rPr>
        <w:tab/>
      </w:r>
      <w:r>
        <w:rPr>
          <w:color w:val="auto"/>
          <w:highlight w:val="none"/>
        </w:rPr>
        <w:fldChar w:fldCharType="begin"/>
      </w:r>
      <w:r>
        <w:rPr>
          <w:color w:val="auto"/>
          <w:highlight w:val="none"/>
        </w:rPr>
        <w:instrText xml:space="preserve"> PAGEREF _Toc3050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7EDABD4">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"_Toc3568" </w:instrText>
      </w:r>
      <w:r>
        <w:rPr>
          <w:color w:val="auto"/>
          <w:highlight w:val="none"/>
        </w:rPr>
        <w:fldChar w:fldCharType="separate"/>
      </w:r>
      <w:r>
        <w:rPr>
          <w:rFonts w:hint="eastAsia" w:ascii="宋体" w:hAnsi="宋体" w:cs="宋体"/>
          <w:snapToGrid w:val="0"/>
          <w:color w:val="auto"/>
          <w:highlight w:val="none"/>
        </w:rPr>
        <w:t>9.最高投标限价的确定及投标报价的约定</w:t>
      </w:r>
      <w:r>
        <w:rPr>
          <w:color w:val="auto"/>
          <w:highlight w:val="none"/>
        </w:rPr>
        <w:tab/>
      </w:r>
      <w:r>
        <w:rPr>
          <w:color w:val="auto"/>
          <w:highlight w:val="none"/>
        </w:rPr>
        <w:fldChar w:fldCharType="begin"/>
      </w:r>
      <w:r>
        <w:rPr>
          <w:color w:val="auto"/>
          <w:highlight w:val="none"/>
        </w:rPr>
        <w:instrText xml:space="preserve"> PAGEREF _Toc3568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3E5A9B3">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"_Toc7397" </w:instrText>
      </w:r>
      <w:r>
        <w:rPr>
          <w:color w:val="auto"/>
          <w:highlight w:val="none"/>
        </w:rPr>
        <w:fldChar w:fldCharType="separate"/>
      </w:r>
      <w:r>
        <w:rPr>
          <w:rFonts w:hint="eastAsia" w:ascii="宋体" w:hAnsi="宋体" w:cs="宋体"/>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_Toc7397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CAC0F06">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"_Toc26720" </w:instrText>
      </w:r>
      <w:r>
        <w:rPr>
          <w:color w:val="auto"/>
          <w:highlight w:val="none"/>
        </w:rPr>
        <w:fldChar w:fldCharType="separate"/>
      </w:r>
      <w:r>
        <w:rPr>
          <w:rFonts w:hint="eastAsia" w:ascii="宋体" w:hAnsi="宋体" w:cs="宋体"/>
          <w:snapToGrid w:val="0"/>
          <w:color w:val="auto"/>
          <w:highlight w:val="none"/>
        </w:rPr>
        <w:t>11.投标文件的编制依据</w:t>
      </w:r>
      <w:r>
        <w:rPr>
          <w:color w:val="auto"/>
          <w:highlight w:val="none"/>
        </w:rPr>
        <w:tab/>
      </w:r>
      <w:r>
        <w:rPr>
          <w:color w:val="auto"/>
          <w:highlight w:val="none"/>
        </w:rPr>
        <w:fldChar w:fldCharType="begin"/>
      </w:r>
      <w:r>
        <w:rPr>
          <w:color w:val="auto"/>
          <w:highlight w:val="none"/>
        </w:rPr>
        <w:instrText xml:space="preserve"> PAGEREF _Toc26720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FC9083C">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"_Toc13966" </w:instrText>
      </w:r>
      <w:r>
        <w:rPr>
          <w:color w:val="auto"/>
          <w:highlight w:val="none"/>
        </w:rPr>
        <w:fldChar w:fldCharType="separate"/>
      </w:r>
      <w:r>
        <w:rPr>
          <w:rFonts w:hint="eastAsia" w:ascii="宋体" w:hAnsi="宋体" w:cs="宋体"/>
          <w:snapToGrid w:val="0"/>
          <w:color w:val="auto"/>
          <w:highlight w:val="none"/>
        </w:rPr>
        <w:t>12.电子投标</w:t>
      </w:r>
      <w:r>
        <w:rPr>
          <w:color w:val="auto"/>
          <w:highlight w:val="none"/>
        </w:rPr>
        <w:tab/>
      </w:r>
      <w:r>
        <w:rPr>
          <w:color w:val="auto"/>
          <w:highlight w:val="none"/>
        </w:rPr>
        <w:fldChar w:fldCharType="begin"/>
      </w:r>
      <w:r>
        <w:rPr>
          <w:color w:val="auto"/>
          <w:highlight w:val="none"/>
        </w:rPr>
        <w:instrText xml:space="preserve"> PAGEREF _Toc13966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E4DC256">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"_Toc11540" </w:instrText>
      </w:r>
      <w:r>
        <w:rPr>
          <w:color w:val="auto"/>
          <w:highlight w:val="none"/>
        </w:rPr>
        <w:fldChar w:fldCharType="separate"/>
      </w:r>
      <w:r>
        <w:rPr>
          <w:rFonts w:hint="eastAsia" w:ascii="宋体" w:hAnsi="宋体" w:cs="宋体"/>
          <w:snapToGrid w:val="0"/>
          <w:color w:val="auto"/>
          <w:highlight w:val="none"/>
        </w:rPr>
        <w:t>13.投标文件的提交</w:t>
      </w:r>
      <w:r>
        <w:rPr>
          <w:color w:val="auto"/>
          <w:highlight w:val="none"/>
        </w:rPr>
        <w:tab/>
      </w:r>
      <w:r>
        <w:rPr>
          <w:color w:val="auto"/>
          <w:highlight w:val="none"/>
        </w:rPr>
        <w:fldChar w:fldCharType="begin"/>
      </w:r>
      <w:r>
        <w:rPr>
          <w:color w:val="auto"/>
          <w:highlight w:val="none"/>
        </w:rPr>
        <w:instrText xml:space="preserve"> PAGEREF _Toc11540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8251D3C">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"_Toc3458" </w:instrText>
      </w:r>
      <w:r>
        <w:rPr>
          <w:color w:val="auto"/>
          <w:highlight w:val="none"/>
        </w:rPr>
        <w:fldChar w:fldCharType="separate"/>
      </w:r>
      <w:r>
        <w:rPr>
          <w:rFonts w:hint="eastAsia" w:ascii="宋体" w:hAnsi="宋体" w:cs="宋体"/>
          <w:snapToGrid w:val="0"/>
          <w:color w:val="auto"/>
          <w:highlight w:val="none"/>
        </w:rPr>
        <w:t>14.投标有效期</w:t>
      </w:r>
      <w:r>
        <w:rPr>
          <w:color w:val="auto"/>
          <w:highlight w:val="none"/>
        </w:rPr>
        <w:tab/>
      </w:r>
      <w:r>
        <w:rPr>
          <w:color w:val="auto"/>
          <w:highlight w:val="none"/>
        </w:rPr>
        <w:fldChar w:fldCharType="begin"/>
      </w:r>
      <w:r>
        <w:rPr>
          <w:color w:val="auto"/>
          <w:highlight w:val="none"/>
        </w:rPr>
        <w:instrText xml:space="preserve"> PAGEREF _Toc3458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2DF3EEB">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"_Toc10920" </w:instrText>
      </w:r>
      <w:r>
        <w:rPr>
          <w:color w:val="auto"/>
          <w:highlight w:val="none"/>
        </w:rPr>
        <w:fldChar w:fldCharType="separate"/>
      </w:r>
      <w:r>
        <w:rPr>
          <w:rFonts w:hint="eastAsia" w:ascii="宋体" w:hAnsi="宋体" w:cs="宋体"/>
          <w:snapToGrid w:val="0"/>
          <w:color w:val="auto"/>
          <w:highlight w:val="none"/>
        </w:rPr>
        <w:t>15.开标</w:t>
      </w:r>
      <w:r>
        <w:rPr>
          <w:color w:val="auto"/>
          <w:highlight w:val="none"/>
        </w:rPr>
        <w:tab/>
      </w:r>
      <w:r>
        <w:rPr>
          <w:color w:val="auto"/>
          <w:highlight w:val="none"/>
        </w:rPr>
        <w:fldChar w:fldCharType="begin"/>
      </w:r>
      <w:r>
        <w:rPr>
          <w:color w:val="auto"/>
          <w:highlight w:val="none"/>
        </w:rPr>
        <w:instrText xml:space="preserve"> PAGEREF _Toc10920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97D9916">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"_Toc14485" </w:instrText>
      </w:r>
      <w:r>
        <w:rPr>
          <w:color w:val="auto"/>
          <w:highlight w:val="none"/>
        </w:rPr>
        <w:fldChar w:fldCharType="separate"/>
      </w:r>
      <w:r>
        <w:rPr>
          <w:rFonts w:hint="eastAsia" w:ascii="宋体" w:hAnsi="宋体" w:cs="宋体"/>
          <w:snapToGrid w:val="0"/>
          <w:color w:val="auto"/>
          <w:highlight w:val="none"/>
        </w:rPr>
        <w:t>16.电子投标及评标时突发补救方案</w:t>
      </w:r>
      <w:r>
        <w:rPr>
          <w:color w:val="auto"/>
          <w:highlight w:val="none"/>
        </w:rPr>
        <w:tab/>
      </w:r>
      <w:r>
        <w:rPr>
          <w:color w:val="auto"/>
          <w:highlight w:val="none"/>
        </w:rPr>
        <w:fldChar w:fldCharType="begin"/>
      </w:r>
      <w:r>
        <w:rPr>
          <w:color w:val="auto"/>
          <w:highlight w:val="none"/>
        </w:rPr>
        <w:instrText xml:space="preserve"> PAGEREF _Toc14485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266A10F">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"_Toc15522" </w:instrText>
      </w:r>
      <w:r>
        <w:rPr>
          <w:color w:val="auto"/>
          <w:highlight w:val="none"/>
        </w:rPr>
        <w:fldChar w:fldCharType="separate"/>
      </w:r>
      <w:r>
        <w:rPr>
          <w:rFonts w:hint="eastAsia" w:ascii="宋体" w:hAnsi="宋体" w:cs="宋体"/>
          <w:snapToGrid w:val="0"/>
          <w:color w:val="auto"/>
          <w:highlight w:val="none"/>
        </w:rPr>
        <w:t>17.评标</w:t>
      </w:r>
      <w:r>
        <w:rPr>
          <w:color w:val="auto"/>
          <w:highlight w:val="none"/>
        </w:rPr>
        <w:tab/>
      </w:r>
      <w:r>
        <w:rPr>
          <w:color w:val="auto"/>
          <w:highlight w:val="none"/>
        </w:rPr>
        <w:fldChar w:fldCharType="begin"/>
      </w:r>
      <w:r>
        <w:rPr>
          <w:color w:val="auto"/>
          <w:highlight w:val="none"/>
        </w:rPr>
        <w:instrText xml:space="preserve"> PAGEREF _Toc15522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63D7B8A">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"_Toc19759" </w:instrText>
      </w:r>
      <w:r>
        <w:rPr>
          <w:color w:val="auto"/>
          <w:highlight w:val="none"/>
        </w:rPr>
        <w:fldChar w:fldCharType="separate"/>
      </w:r>
      <w:r>
        <w:rPr>
          <w:rFonts w:hint="eastAsia" w:ascii="宋体" w:hAnsi="宋体" w:cs="宋体"/>
          <w:snapToGrid w:val="0"/>
          <w:color w:val="auto"/>
          <w:highlight w:val="none"/>
        </w:rPr>
        <w:t>18.推荐中标候选人</w:t>
      </w:r>
      <w:r>
        <w:rPr>
          <w:color w:val="auto"/>
          <w:highlight w:val="none"/>
        </w:rPr>
        <w:tab/>
      </w:r>
      <w:r>
        <w:rPr>
          <w:color w:val="auto"/>
          <w:highlight w:val="none"/>
        </w:rPr>
        <w:fldChar w:fldCharType="begin"/>
      </w:r>
      <w:r>
        <w:rPr>
          <w:color w:val="auto"/>
          <w:highlight w:val="none"/>
        </w:rPr>
        <w:instrText xml:space="preserve"> PAGEREF _Toc19759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0FB934BA">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"_Toc4825" </w:instrText>
      </w:r>
      <w:r>
        <w:rPr>
          <w:color w:val="auto"/>
          <w:highlight w:val="none"/>
        </w:rPr>
        <w:fldChar w:fldCharType="separate"/>
      </w:r>
      <w:r>
        <w:rPr>
          <w:rFonts w:hint="eastAsia" w:ascii="宋体" w:hAnsi="宋体" w:cs="宋体"/>
          <w:snapToGrid w:val="0"/>
          <w:color w:val="auto"/>
          <w:highlight w:val="none"/>
        </w:rPr>
        <w:t>19.中标候选人公示</w:t>
      </w:r>
      <w:r>
        <w:rPr>
          <w:color w:val="auto"/>
          <w:highlight w:val="none"/>
        </w:rPr>
        <w:tab/>
      </w:r>
      <w:r>
        <w:rPr>
          <w:color w:val="auto"/>
          <w:highlight w:val="none"/>
        </w:rPr>
        <w:fldChar w:fldCharType="begin"/>
      </w:r>
      <w:r>
        <w:rPr>
          <w:color w:val="auto"/>
          <w:highlight w:val="none"/>
        </w:rPr>
        <w:instrText xml:space="preserve"> PAGEREF _Toc4825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F288402">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"_Toc13205" </w:instrText>
      </w:r>
      <w:r>
        <w:rPr>
          <w:color w:val="auto"/>
          <w:highlight w:val="none"/>
        </w:rPr>
        <w:fldChar w:fldCharType="separate"/>
      </w:r>
      <w:r>
        <w:rPr>
          <w:rFonts w:hint="eastAsia" w:ascii="宋体" w:hAnsi="宋体" w:cs="宋体"/>
          <w:snapToGrid w:val="0"/>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_Toc13205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05D22A8">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"_Toc13604" </w:instrText>
      </w:r>
      <w:r>
        <w:rPr>
          <w:color w:val="auto"/>
          <w:highlight w:val="none"/>
        </w:rPr>
        <w:fldChar w:fldCharType="separate"/>
      </w:r>
      <w:r>
        <w:rPr>
          <w:rFonts w:hint="eastAsia" w:ascii="宋体" w:hAnsi="宋体" w:cs="宋体"/>
          <w:snapToGrid w:val="0"/>
          <w:color w:val="auto"/>
          <w:highlight w:val="none"/>
        </w:rPr>
        <w:t>1.资格评审环节</w:t>
      </w:r>
      <w:r>
        <w:rPr>
          <w:color w:val="auto"/>
          <w:highlight w:val="none"/>
        </w:rPr>
        <w:tab/>
      </w:r>
      <w:r>
        <w:rPr>
          <w:color w:val="auto"/>
          <w:highlight w:val="none"/>
        </w:rPr>
        <w:fldChar w:fldCharType="begin"/>
      </w:r>
      <w:r>
        <w:rPr>
          <w:color w:val="auto"/>
          <w:highlight w:val="none"/>
        </w:rPr>
        <w:instrText xml:space="preserve"> PAGEREF _Toc13604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0077061">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"_Toc6748" </w:instrText>
      </w:r>
      <w:r>
        <w:rPr>
          <w:color w:val="auto"/>
          <w:highlight w:val="none"/>
        </w:rPr>
        <w:fldChar w:fldCharType="separate"/>
      </w:r>
      <w:r>
        <w:rPr>
          <w:rFonts w:hint="eastAsia" w:ascii="宋体" w:hAnsi="宋体" w:cs="宋体"/>
          <w:snapToGrid w:val="0"/>
          <w:color w:val="auto"/>
          <w:highlight w:val="none"/>
        </w:rPr>
        <w:t>2.形式评审环节</w:t>
      </w:r>
      <w:r>
        <w:rPr>
          <w:color w:val="auto"/>
          <w:highlight w:val="none"/>
        </w:rPr>
        <w:tab/>
      </w:r>
      <w:r>
        <w:rPr>
          <w:color w:val="auto"/>
          <w:highlight w:val="none"/>
        </w:rPr>
        <w:fldChar w:fldCharType="begin"/>
      </w:r>
      <w:r>
        <w:rPr>
          <w:color w:val="auto"/>
          <w:highlight w:val="none"/>
        </w:rPr>
        <w:instrText xml:space="preserve"> PAGEREF _Toc6748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86F21E9">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"_Toc11636" </w:instrText>
      </w:r>
      <w:r>
        <w:rPr>
          <w:color w:val="auto"/>
          <w:highlight w:val="none"/>
        </w:rPr>
        <w:fldChar w:fldCharType="separate"/>
      </w:r>
      <w:r>
        <w:rPr>
          <w:rFonts w:hint="eastAsia" w:ascii="宋体" w:hAnsi="宋体" w:cs="宋体"/>
          <w:snapToGrid w:val="0"/>
          <w:color w:val="auto"/>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_Toc11636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A74DE69">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"_Toc27293" </w:instrText>
      </w:r>
      <w:r>
        <w:rPr>
          <w:color w:val="auto"/>
          <w:highlight w:val="none"/>
        </w:rPr>
        <w:fldChar w:fldCharType="separate"/>
      </w:r>
      <w:r>
        <w:rPr>
          <w:rFonts w:hint="eastAsia" w:ascii="宋体" w:hAnsi="宋体" w:cs="宋体"/>
          <w:snapToGrid w:val="0"/>
          <w:color w:val="auto"/>
          <w:highlight w:val="none"/>
        </w:rPr>
        <w:t>4.其他</w:t>
      </w:r>
      <w:r>
        <w:rPr>
          <w:color w:val="auto"/>
          <w:highlight w:val="none"/>
        </w:rPr>
        <w:tab/>
      </w:r>
      <w:r>
        <w:rPr>
          <w:color w:val="auto"/>
          <w:highlight w:val="none"/>
        </w:rPr>
        <w:fldChar w:fldCharType="begin"/>
      </w:r>
      <w:r>
        <w:rPr>
          <w:color w:val="auto"/>
          <w:highlight w:val="none"/>
        </w:rPr>
        <w:instrText xml:space="preserve"> PAGEREF _Toc27293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408511CD">
      <w:pPr>
        <w:pStyle w:val="10"/>
        <w:tabs>
          <w:tab w:val="right" w:leader="dot" w:pos="10467"/>
        </w:tabs>
        <w:rPr>
          <w:color w:val="auto"/>
          <w:highlight w:val="none"/>
        </w:rPr>
      </w:pPr>
      <w:r>
        <w:rPr>
          <w:color w:val="auto"/>
          <w:highlight w:val="none"/>
        </w:rPr>
        <w:fldChar w:fldCharType="begin"/>
      </w:r>
      <w:r>
        <w:rPr>
          <w:color w:val="auto"/>
          <w:highlight w:val="none"/>
        </w:rPr>
        <w:instrText xml:space="preserve"> HYPERLINK \l "_Toc21443" </w:instrText>
      </w:r>
      <w:r>
        <w:rPr>
          <w:color w:val="auto"/>
          <w:highlight w:val="none"/>
        </w:rPr>
        <w:fldChar w:fldCharType="separate"/>
      </w:r>
      <w:r>
        <w:rPr>
          <w:rFonts w:hint="eastAsia" w:ascii="宋体" w:hAnsi="宋体" w:cs="宋体"/>
          <w:snapToGrid w:val="0"/>
          <w:color w:val="auto"/>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_Toc21443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C08AD07">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"_Toc27297" </w:instrText>
      </w:r>
      <w:r>
        <w:rPr>
          <w:color w:val="auto"/>
          <w:highlight w:val="none"/>
        </w:rPr>
        <w:fldChar w:fldCharType="separate"/>
      </w:r>
      <w:r>
        <w:rPr>
          <w:rFonts w:hint="eastAsia" w:ascii="宋体" w:hAnsi="宋体" w:cs="宋体"/>
          <w:snapToGrid w:val="0"/>
          <w:color w:val="auto"/>
          <w:highlight w:val="none"/>
        </w:rPr>
        <w:t>1．工程承包方式</w:t>
      </w:r>
      <w:r>
        <w:rPr>
          <w:color w:val="auto"/>
          <w:highlight w:val="none"/>
        </w:rPr>
        <w:tab/>
      </w:r>
      <w:r>
        <w:rPr>
          <w:color w:val="auto"/>
          <w:highlight w:val="none"/>
        </w:rPr>
        <w:fldChar w:fldCharType="begin"/>
      </w:r>
      <w:r>
        <w:rPr>
          <w:color w:val="auto"/>
          <w:highlight w:val="none"/>
        </w:rPr>
        <w:instrText xml:space="preserve"> PAGEREF _Toc27297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3E2D14B">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"_Toc21122" </w:instrText>
      </w:r>
      <w:r>
        <w:rPr>
          <w:color w:val="auto"/>
          <w:highlight w:val="none"/>
        </w:rPr>
        <w:fldChar w:fldCharType="separate"/>
      </w:r>
      <w:r>
        <w:rPr>
          <w:rFonts w:hint="eastAsia" w:ascii="宋体" w:hAnsi="宋体" w:cs="宋体"/>
          <w:snapToGrid w:val="0"/>
          <w:color w:val="auto"/>
          <w:highlight w:val="none"/>
        </w:rPr>
        <w:t>2．合同价款支付办法</w:t>
      </w:r>
      <w:r>
        <w:rPr>
          <w:color w:val="auto"/>
          <w:highlight w:val="none"/>
        </w:rPr>
        <w:tab/>
      </w:r>
      <w:r>
        <w:rPr>
          <w:color w:val="auto"/>
          <w:highlight w:val="none"/>
        </w:rPr>
        <w:fldChar w:fldCharType="begin"/>
      </w:r>
      <w:r>
        <w:rPr>
          <w:color w:val="auto"/>
          <w:highlight w:val="none"/>
        </w:rPr>
        <w:instrText xml:space="preserve"> PAGEREF _Toc21122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F83E55E">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"_Toc27426" </w:instrText>
      </w:r>
      <w:r>
        <w:rPr>
          <w:color w:val="auto"/>
          <w:highlight w:val="none"/>
        </w:rPr>
        <w:fldChar w:fldCharType="separate"/>
      </w:r>
      <w:r>
        <w:rPr>
          <w:rFonts w:hint="eastAsia" w:ascii="宋体" w:hAnsi="宋体" w:cs="宋体"/>
          <w:snapToGrid w:val="0"/>
          <w:color w:val="auto"/>
          <w:highlight w:val="none"/>
        </w:rPr>
        <w:t>3．结算原则</w:t>
      </w:r>
      <w:r>
        <w:rPr>
          <w:color w:val="auto"/>
          <w:highlight w:val="none"/>
        </w:rPr>
        <w:tab/>
      </w:r>
      <w:r>
        <w:rPr>
          <w:color w:val="auto"/>
          <w:highlight w:val="none"/>
        </w:rPr>
        <w:fldChar w:fldCharType="begin"/>
      </w:r>
      <w:r>
        <w:rPr>
          <w:color w:val="auto"/>
          <w:highlight w:val="none"/>
        </w:rPr>
        <w:instrText xml:space="preserve"> PAGEREF _Toc27426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20306AF">
      <w:pPr>
        <w:pStyle w:val="10"/>
        <w:tabs>
          <w:tab w:val="right" w:leader="dot" w:pos="10467"/>
        </w:tabs>
        <w:rPr>
          <w:color w:val="auto"/>
          <w:highlight w:val="none"/>
        </w:rPr>
      </w:pPr>
      <w:r>
        <w:rPr>
          <w:color w:val="auto"/>
          <w:highlight w:val="none"/>
        </w:rPr>
        <w:fldChar w:fldCharType="begin"/>
      </w:r>
      <w:r>
        <w:rPr>
          <w:color w:val="auto"/>
          <w:highlight w:val="none"/>
        </w:rPr>
        <w:instrText xml:space="preserve"> HYPERLINK \l "_Toc28520" </w:instrText>
      </w:r>
      <w:r>
        <w:rPr>
          <w:color w:val="auto"/>
          <w:highlight w:val="none"/>
        </w:rPr>
        <w:fldChar w:fldCharType="separate"/>
      </w:r>
      <w:r>
        <w:rPr>
          <w:rFonts w:hint="eastAsia" w:ascii="宋体" w:hAnsi="宋体" w:cs="宋体"/>
          <w:snapToGrid w:val="0"/>
          <w:color w:val="auto"/>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_Toc28520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792468F9">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"_Toc31569" </w:instrText>
      </w:r>
      <w:r>
        <w:rPr>
          <w:color w:val="auto"/>
          <w:highlight w:val="none"/>
        </w:rPr>
        <w:fldChar w:fldCharType="separate"/>
      </w:r>
      <w:r>
        <w:rPr>
          <w:rFonts w:hint="eastAsia" w:ascii="宋体" w:hAnsi="宋体" w:cs="宋体"/>
          <w:snapToGrid w:val="0"/>
          <w:color w:val="auto"/>
          <w:highlight w:val="none"/>
        </w:rPr>
        <w:t>1.中标通知书</w:t>
      </w:r>
      <w:r>
        <w:rPr>
          <w:color w:val="auto"/>
          <w:highlight w:val="none"/>
        </w:rPr>
        <w:tab/>
      </w:r>
      <w:r>
        <w:rPr>
          <w:color w:val="auto"/>
          <w:highlight w:val="none"/>
        </w:rPr>
        <w:fldChar w:fldCharType="begin"/>
      </w:r>
      <w:r>
        <w:rPr>
          <w:color w:val="auto"/>
          <w:highlight w:val="none"/>
        </w:rPr>
        <w:instrText xml:space="preserve"> PAGEREF _Toc31569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4DC0CF9">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"_Toc17365" </w:instrText>
      </w:r>
      <w:r>
        <w:rPr>
          <w:color w:val="auto"/>
          <w:highlight w:val="none"/>
        </w:rPr>
        <w:fldChar w:fldCharType="separate"/>
      </w:r>
      <w:r>
        <w:rPr>
          <w:rFonts w:hint="eastAsia" w:ascii="宋体" w:hAnsi="宋体" w:cs="宋体"/>
          <w:snapToGrid w:val="0"/>
          <w:color w:val="auto"/>
          <w:highlight w:val="none"/>
        </w:rPr>
        <w:t>2.中标结果公示</w:t>
      </w:r>
      <w:r>
        <w:rPr>
          <w:color w:val="auto"/>
          <w:highlight w:val="none"/>
        </w:rPr>
        <w:tab/>
      </w:r>
      <w:r>
        <w:rPr>
          <w:color w:val="auto"/>
          <w:highlight w:val="none"/>
        </w:rPr>
        <w:fldChar w:fldCharType="begin"/>
      </w:r>
      <w:r>
        <w:rPr>
          <w:color w:val="auto"/>
          <w:highlight w:val="none"/>
        </w:rPr>
        <w:instrText xml:space="preserve"> PAGEREF _Toc17365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8EA7152">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"_Toc16956" </w:instrText>
      </w:r>
      <w:r>
        <w:rPr>
          <w:color w:val="auto"/>
          <w:highlight w:val="none"/>
        </w:rPr>
        <w:fldChar w:fldCharType="separate"/>
      </w:r>
      <w:r>
        <w:rPr>
          <w:rFonts w:hint="eastAsia" w:ascii="宋体" w:hAnsi="宋体" w:cs="宋体"/>
          <w:snapToGrid w:val="0"/>
          <w:color w:val="auto"/>
          <w:highlight w:val="none"/>
        </w:rPr>
        <w:t>3.履约保证</w:t>
      </w:r>
      <w:r>
        <w:rPr>
          <w:color w:val="auto"/>
          <w:highlight w:val="none"/>
        </w:rPr>
        <w:tab/>
      </w:r>
      <w:r>
        <w:rPr>
          <w:color w:val="auto"/>
          <w:highlight w:val="none"/>
        </w:rPr>
        <w:fldChar w:fldCharType="begin"/>
      </w:r>
      <w:r>
        <w:rPr>
          <w:color w:val="auto"/>
          <w:highlight w:val="none"/>
        </w:rPr>
        <w:instrText xml:space="preserve"> PAGEREF _Toc16956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250A077F">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"_Toc10529" </w:instrText>
      </w:r>
      <w:r>
        <w:rPr>
          <w:color w:val="auto"/>
          <w:highlight w:val="none"/>
        </w:rPr>
        <w:fldChar w:fldCharType="separate"/>
      </w:r>
      <w:r>
        <w:rPr>
          <w:rFonts w:hint="eastAsia" w:ascii="宋体" w:hAnsi="宋体" w:cs="宋体"/>
          <w:snapToGrid w:val="0"/>
          <w:color w:val="auto"/>
          <w:highlight w:val="none"/>
        </w:rPr>
        <w:t>4.合同订立</w:t>
      </w:r>
      <w:r>
        <w:rPr>
          <w:color w:val="auto"/>
          <w:highlight w:val="none"/>
        </w:rPr>
        <w:tab/>
      </w:r>
      <w:r>
        <w:rPr>
          <w:color w:val="auto"/>
          <w:highlight w:val="none"/>
        </w:rPr>
        <w:fldChar w:fldCharType="begin"/>
      </w:r>
      <w:r>
        <w:rPr>
          <w:color w:val="auto"/>
          <w:highlight w:val="none"/>
        </w:rPr>
        <w:instrText xml:space="preserve"> PAGEREF _Toc10529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CCE492A">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"_Toc20562" </w:instrText>
      </w:r>
      <w:r>
        <w:rPr>
          <w:color w:val="auto"/>
          <w:highlight w:val="none"/>
        </w:rPr>
        <w:fldChar w:fldCharType="separate"/>
      </w:r>
      <w:r>
        <w:rPr>
          <w:rFonts w:hint="eastAsia" w:ascii="宋体" w:hAnsi="宋体" w:cs="宋体"/>
          <w:snapToGrid w:val="0"/>
          <w:color w:val="auto"/>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_Toc20562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0D9824F">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"_Toc144" </w:instrText>
      </w:r>
      <w:r>
        <w:rPr>
          <w:color w:val="auto"/>
          <w:highlight w:val="none"/>
        </w:rPr>
        <w:fldChar w:fldCharType="separate"/>
      </w:r>
      <w:r>
        <w:rPr>
          <w:rFonts w:hint="eastAsia" w:ascii="宋体" w:hAnsi="宋体" w:cs="宋体"/>
          <w:snapToGrid w:val="0"/>
          <w:color w:val="auto"/>
          <w:highlight w:val="none"/>
        </w:rPr>
        <w:t>6.诚信登记</w:t>
      </w:r>
      <w:r>
        <w:rPr>
          <w:color w:val="auto"/>
          <w:highlight w:val="none"/>
        </w:rPr>
        <w:tab/>
      </w:r>
      <w:r>
        <w:rPr>
          <w:color w:val="auto"/>
          <w:highlight w:val="none"/>
        </w:rPr>
        <w:fldChar w:fldCharType="begin"/>
      </w:r>
      <w:r>
        <w:rPr>
          <w:color w:val="auto"/>
          <w:highlight w:val="none"/>
        </w:rPr>
        <w:instrText xml:space="preserve"> PAGEREF _Toc144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368F76E">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"_Toc4627" </w:instrText>
      </w:r>
      <w:r>
        <w:rPr>
          <w:color w:val="auto"/>
          <w:highlight w:val="none"/>
        </w:rPr>
        <w:fldChar w:fldCharType="separate"/>
      </w:r>
      <w:r>
        <w:rPr>
          <w:rFonts w:hint="eastAsia" w:ascii="宋体" w:hAnsi="宋体" w:cs="宋体"/>
          <w:snapToGrid w:val="0"/>
          <w:color w:val="auto"/>
          <w:highlight w:val="none"/>
        </w:rPr>
        <w:t>7.项目管理机构</w:t>
      </w:r>
      <w:r>
        <w:rPr>
          <w:color w:val="auto"/>
          <w:highlight w:val="none"/>
        </w:rPr>
        <w:tab/>
      </w:r>
      <w:r>
        <w:rPr>
          <w:color w:val="auto"/>
          <w:highlight w:val="none"/>
        </w:rPr>
        <w:fldChar w:fldCharType="begin"/>
      </w:r>
      <w:r>
        <w:rPr>
          <w:color w:val="auto"/>
          <w:highlight w:val="none"/>
        </w:rPr>
        <w:instrText xml:space="preserve"> PAGEREF _Toc4627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CE8EB90">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"_Toc31686" </w:instrText>
      </w:r>
      <w:r>
        <w:rPr>
          <w:color w:val="auto"/>
          <w:highlight w:val="none"/>
        </w:rPr>
        <w:fldChar w:fldCharType="separate"/>
      </w:r>
      <w:r>
        <w:rPr>
          <w:rFonts w:hint="eastAsia" w:ascii="宋体" w:hAnsi="宋体" w:cs="宋体"/>
          <w:snapToGrid w:val="0"/>
          <w:color w:val="auto"/>
          <w:highlight w:val="none"/>
        </w:rPr>
        <w:t>8.监督实施</w:t>
      </w:r>
      <w:r>
        <w:rPr>
          <w:color w:val="auto"/>
          <w:highlight w:val="none"/>
        </w:rPr>
        <w:tab/>
      </w:r>
      <w:r>
        <w:rPr>
          <w:color w:val="auto"/>
          <w:highlight w:val="none"/>
        </w:rPr>
        <w:fldChar w:fldCharType="begin"/>
      </w:r>
      <w:r>
        <w:rPr>
          <w:color w:val="auto"/>
          <w:highlight w:val="none"/>
        </w:rPr>
        <w:instrText xml:space="preserve"> PAGEREF _Toc31686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EA1BA6B">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"_Toc5420" </w:instrText>
      </w:r>
      <w:r>
        <w:rPr>
          <w:color w:val="auto"/>
          <w:highlight w:val="none"/>
        </w:rPr>
        <w:fldChar w:fldCharType="separate"/>
      </w:r>
      <w:r>
        <w:rPr>
          <w:rFonts w:hint="eastAsia" w:ascii="宋体" w:hAnsi="宋体" w:cs="宋体"/>
          <w:snapToGrid w:val="0"/>
          <w:color w:val="auto"/>
          <w:highlight w:val="none"/>
        </w:rPr>
        <w:t>9.其他事项</w:t>
      </w:r>
      <w:r>
        <w:rPr>
          <w:color w:val="auto"/>
          <w:highlight w:val="none"/>
        </w:rPr>
        <w:tab/>
      </w:r>
      <w:r>
        <w:rPr>
          <w:color w:val="auto"/>
          <w:highlight w:val="none"/>
        </w:rPr>
        <w:fldChar w:fldCharType="begin"/>
      </w:r>
      <w:r>
        <w:rPr>
          <w:color w:val="auto"/>
          <w:highlight w:val="none"/>
        </w:rPr>
        <w:instrText xml:space="preserve"> PAGEREF _Toc5420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2D79832C">
      <w:pPr>
        <w:pStyle w:val="10"/>
        <w:tabs>
          <w:tab w:val="right" w:leader="dot" w:pos="10467"/>
        </w:tabs>
        <w:rPr>
          <w:color w:val="auto"/>
          <w:highlight w:val="none"/>
        </w:rPr>
      </w:pPr>
      <w:r>
        <w:rPr>
          <w:color w:val="auto"/>
          <w:highlight w:val="none"/>
        </w:rPr>
        <w:fldChar w:fldCharType="begin"/>
      </w:r>
      <w:r>
        <w:rPr>
          <w:color w:val="auto"/>
          <w:highlight w:val="none"/>
        </w:rPr>
        <w:instrText xml:space="preserve"> HYPERLINK \l "_Toc29162" </w:instrText>
      </w:r>
      <w:r>
        <w:rPr>
          <w:color w:val="auto"/>
          <w:highlight w:val="none"/>
        </w:rPr>
        <w:fldChar w:fldCharType="separate"/>
      </w:r>
      <w:r>
        <w:rPr>
          <w:rFonts w:hint="eastAsia" w:ascii="宋体" w:hAnsi="宋体" w:cs="宋体"/>
          <w:snapToGrid w:val="0"/>
          <w:color w:val="auto"/>
          <w:kern w:val="0"/>
          <w:highlight w:val="none"/>
        </w:rPr>
        <w:t>第四章   招标项目的设计要求</w:t>
      </w:r>
      <w:r>
        <w:rPr>
          <w:color w:val="auto"/>
          <w:highlight w:val="none"/>
        </w:rPr>
        <w:tab/>
      </w:r>
      <w:r>
        <w:rPr>
          <w:color w:val="auto"/>
          <w:highlight w:val="none"/>
        </w:rPr>
        <w:fldChar w:fldCharType="begin"/>
      </w:r>
      <w:r>
        <w:rPr>
          <w:color w:val="auto"/>
          <w:highlight w:val="none"/>
        </w:rPr>
        <w:instrText xml:space="preserve"> PAGEREF _Toc29162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9AA02D5">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"_Toc7059" </w:instrText>
      </w:r>
      <w:r>
        <w:rPr>
          <w:color w:val="auto"/>
          <w:highlight w:val="none"/>
        </w:rPr>
        <w:fldChar w:fldCharType="separate"/>
      </w:r>
      <w:r>
        <w:rPr>
          <w:rFonts w:hint="eastAsia" w:ascii="宋体" w:hAnsi="宋体" w:cs="宋体"/>
          <w:snapToGrid w:val="0"/>
          <w:color w:val="auto"/>
          <w:highlight w:val="none"/>
        </w:rPr>
        <w:t>1.工程的技术要求</w:t>
      </w:r>
      <w:r>
        <w:rPr>
          <w:color w:val="auto"/>
          <w:highlight w:val="none"/>
        </w:rPr>
        <w:tab/>
      </w:r>
      <w:r>
        <w:rPr>
          <w:color w:val="auto"/>
          <w:highlight w:val="none"/>
        </w:rPr>
        <w:fldChar w:fldCharType="begin"/>
      </w:r>
      <w:r>
        <w:rPr>
          <w:color w:val="auto"/>
          <w:highlight w:val="none"/>
        </w:rPr>
        <w:instrText xml:space="preserve"> PAGEREF _Toc7059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7A3B62AB">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"_Toc5215" </w:instrText>
      </w:r>
      <w:r>
        <w:rPr>
          <w:color w:val="auto"/>
          <w:highlight w:val="none"/>
        </w:rPr>
        <w:fldChar w:fldCharType="separate"/>
      </w:r>
      <w:r>
        <w:rPr>
          <w:rFonts w:hint="eastAsia" w:ascii="宋体" w:hAnsi="宋体" w:cs="宋体"/>
          <w:snapToGrid w:val="0"/>
          <w:color w:val="auto"/>
          <w:highlight w:val="none"/>
        </w:rPr>
        <w:t>2.备查要求</w:t>
      </w:r>
      <w:r>
        <w:rPr>
          <w:color w:val="auto"/>
          <w:highlight w:val="none"/>
        </w:rPr>
        <w:tab/>
      </w:r>
      <w:r>
        <w:rPr>
          <w:color w:val="auto"/>
          <w:highlight w:val="none"/>
        </w:rPr>
        <w:fldChar w:fldCharType="begin"/>
      </w:r>
      <w:r>
        <w:rPr>
          <w:color w:val="auto"/>
          <w:highlight w:val="none"/>
        </w:rPr>
        <w:instrText xml:space="preserve"> PAGEREF _Toc5215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53452A4A">
      <w:pPr>
        <w:pStyle w:val="10"/>
        <w:tabs>
          <w:tab w:val="right" w:leader="dot" w:pos="10467"/>
        </w:tabs>
        <w:rPr>
          <w:color w:val="auto"/>
          <w:highlight w:val="none"/>
        </w:rPr>
      </w:pPr>
      <w:r>
        <w:rPr>
          <w:color w:val="auto"/>
          <w:highlight w:val="none"/>
        </w:rPr>
        <w:fldChar w:fldCharType="begin"/>
      </w:r>
      <w:r>
        <w:rPr>
          <w:color w:val="auto"/>
          <w:highlight w:val="none"/>
        </w:rPr>
        <w:instrText xml:space="preserve"> HYPERLINK \l "_Toc21806" </w:instrText>
      </w:r>
      <w:r>
        <w:rPr>
          <w:color w:val="auto"/>
          <w:highlight w:val="none"/>
        </w:rPr>
        <w:fldChar w:fldCharType="separate"/>
      </w:r>
      <w:r>
        <w:rPr>
          <w:rFonts w:hint="eastAsia" w:ascii="宋体" w:hAnsi="宋体" w:cs="宋体"/>
          <w:snapToGrid w:val="0"/>
          <w:color w:val="auto"/>
          <w:kern w:val="0"/>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_Toc21806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1F742F94">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"_Toc4200" </w:instrText>
      </w:r>
      <w:r>
        <w:rPr>
          <w:color w:val="auto"/>
          <w:highlight w:val="none"/>
        </w:rPr>
        <w:fldChar w:fldCharType="separate"/>
      </w:r>
      <w:r>
        <w:rPr>
          <w:rFonts w:hint="eastAsia" w:ascii="宋体" w:hAnsi="宋体" w:cs="宋体"/>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_Toc4200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751FA4F">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"_Toc28857" </w:instrText>
      </w:r>
      <w:r>
        <w:rPr>
          <w:color w:val="auto"/>
          <w:highlight w:val="none"/>
        </w:rPr>
        <w:fldChar w:fldCharType="separate"/>
      </w:r>
      <w:r>
        <w:rPr>
          <w:rFonts w:hint="eastAsia" w:ascii="宋体" w:hAnsi="宋体" w:cs="宋体"/>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_Toc28857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EFC95B9">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"_Toc14586" </w:instrText>
      </w:r>
      <w:r>
        <w:rPr>
          <w:color w:val="auto"/>
          <w:highlight w:val="none"/>
        </w:rPr>
        <w:fldChar w:fldCharType="separate"/>
      </w:r>
      <w:r>
        <w:rPr>
          <w:rFonts w:hint="eastAsia" w:ascii="宋体"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_Toc14586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B0898B3">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"_Toc1798" </w:instrText>
      </w:r>
      <w:r>
        <w:rPr>
          <w:color w:val="auto"/>
          <w:highlight w:val="none"/>
        </w:rPr>
        <w:fldChar w:fldCharType="separate"/>
      </w:r>
      <w:r>
        <w:rPr>
          <w:rFonts w:hint="eastAsia" w:ascii="宋体" w:hAnsi="宋体" w:cs="宋体"/>
          <w:snapToGrid w:val="0"/>
          <w:color w:val="auto"/>
          <w:highlight w:val="none"/>
        </w:rPr>
        <w:t>格式四   投标人基本情况表</w:t>
      </w:r>
      <w:r>
        <w:rPr>
          <w:color w:val="auto"/>
          <w:highlight w:val="none"/>
        </w:rPr>
        <w:tab/>
      </w:r>
      <w:r>
        <w:rPr>
          <w:color w:val="auto"/>
          <w:highlight w:val="none"/>
        </w:rPr>
        <w:fldChar w:fldCharType="begin"/>
      </w:r>
      <w:r>
        <w:rPr>
          <w:color w:val="auto"/>
          <w:highlight w:val="none"/>
        </w:rPr>
        <w:instrText xml:space="preserve"> PAGEREF _Toc1798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03D6D13D">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"_Toc16678" </w:instrText>
      </w:r>
      <w:r>
        <w:rPr>
          <w:color w:val="auto"/>
          <w:highlight w:val="none"/>
        </w:rPr>
        <w:fldChar w:fldCharType="separate"/>
      </w:r>
      <w:r>
        <w:rPr>
          <w:rFonts w:hint="eastAsia" w:ascii="宋体" w:hAnsi="宋体" w:cs="宋体"/>
          <w:snapToGrid w:val="0"/>
          <w:color w:val="auto"/>
          <w:highlight w:val="none"/>
        </w:rPr>
        <w:t>格式五  设计负责人简历表</w:t>
      </w:r>
      <w:r>
        <w:rPr>
          <w:color w:val="auto"/>
          <w:highlight w:val="none"/>
        </w:rPr>
        <w:tab/>
      </w:r>
      <w:r>
        <w:rPr>
          <w:color w:val="auto"/>
          <w:highlight w:val="none"/>
        </w:rPr>
        <w:fldChar w:fldCharType="begin"/>
      </w:r>
      <w:r>
        <w:rPr>
          <w:color w:val="auto"/>
          <w:highlight w:val="none"/>
        </w:rPr>
        <w:instrText xml:space="preserve"> PAGEREF _Toc16678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325CC34">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"_Toc7145" </w:instrText>
      </w:r>
      <w:r>
        <w:rPr>
          <w:color w:val="auto"/>
          <w:highlight w:val="none"/>
        </w:rPr>
        <w:fldChar w:fldCharType="separate"/>
      </w:r>
      <w:r>
        <w:rPr>
          <w:rFonts w:hint="eastAsia" w:ascii="宋体" w:hAnsi="宋体" w:cs="宋体"/>
          <w:snapToGrid w:val="0"/>
          <w:color w:val="auto"/>
          <w:highlight w:val="none"/>
        </w:rPr>
        <w:t>格式六   本项目拟投入的人员基本情况表</w:t>
      </w:r>
      <w:r>
        <w:rPr>
          <w:color w:val="auto"/>
          <w:highlight w:val="none"/>
        </w:rPr>
        <w:tab/>
      </w:r>
      <w:r>
        <w:rPr>
          <w:color w:val="auto"/>
          <w:highlight w:val="none"/>
        </w:rPr>
        <w:fldChar w:fldCharType="begin"/>
      </w:r>
      <w:r>
        <w:rPr>
          <w:color w:val="auto"/>
          <w:highlight w:val="none"/>
        </w:rPr>
        <w:instrText xml:space="preserve"> PAGEREF _Toc7145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C17C5D3">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"_Toc20073" </w:instrText>
      </w:r>
      <w:r>
        <w:rPr>
          <w:color w:val="auto"/>
          <w:highlight w:val="none"/>
        </w:rPr>
        <w:fldChar w:fldCharType="separate"/>
      </w:r>
      <w:r>
        <w:rPr>
          <w:rFonts w:hint="eastAsia" w:ascii="宋体" w:hAnsi="宋体" w:cs="宋体"/>
          <w:snapToGrid w:val="0"/>
          <w:color w:val="auto"/>
          <w:highlight w:val="none"/>
        </w:rPr>
        <w:t>格式七   法定代表人身份证明书</w:t>
      </w:r>
      <w:r>
        <w:rPr>
          <w:color w:val="auto"/>
          <w:highlight w:val="none"/>
        </w:rPr>
        <w:tab/>
      </w:r>
      <w:r>
        <w:rPr>
          <w:color w:val="auto"/>
          <w:highlight w:val="none"/>
        </w:rPr>
        <w:fldChar w:fldCharType="begin"/>
      </w:r>
      <w:r>
        <w:rPr>
          <w:color w:val="auto"/>
          <w:highlight w:val="none"/>
        </w:rPr>
        <w:instrText xml:space="preserve"> PAGEREF _Toc20073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70D0ECF">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"_Toc5114" </w:instrText>
      </w:r>
      <w:r>
        <w:rPr>
          <w:color w:val="auto"/>
          <w:highlight w:val="none"/>
        </w:rPr>
        <w:fldChar w:fldCharType="separate"/>
      </w:r>
      <w:r>
        <w:rPr>
          <w:rFonts w:hint="eastAsia" w:ascii="宋体" w:hAnsi="宋体" w:cs="宋体"/>
          <w:snapToGrid w:val="0"/>
          <w:color w:val="auto"/>
          <w:highlight w:val="none"/>
        </w:rPr>
        <w:t>格式八   法定代表人授权委托书</w:t>
      </w:r>
      <w:r>
        <w:rPr>
          <w:color w:val="auto"/>
          <w:highlight w:val="none"/>
        </w:rPr>
        <w:tab/>
      </w:r>
      <w:r>
        <w:rPr>
          <w:color w:val="auto"/>
          <w:highlight w:val="none"/>
        </w:rPr>
        <w:fldChar w:fldCharType="begin"/>
      </w:r>
      <w:r>
        <w:rPr>
          <w:color w:val="auto"/>
          <w:highlight w:val="none"/>
        </w:rPr>
        <w:instrText xml:space="preserve"> PAGEREF _Toc5114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AFE0F43">
      <w:pPr>
        <w:pStyle w:val="11"/>
        <w:tabs>
          <w:tab w:val="right" w:leader="dot" w:pos="10467"/>
        </w:tabs>
        <w:rPr>
          <w:color w:val="auto"/>
          <w:highlight w:val="none"/>
        </w:rPr>
      </w:pPr>
      <w:r>
        <w:rPr>
          <w:color w:val="auto"/>
          <w:highlight w:val="none"/>
        </w:rPr>
        <w:fldChar w:fldCharType="begin"/>
      </w:r>
      <w:r>
        <w:rPr>
          <w:color w:val="auto"/>
          <w:highlight w:val="none"/>
        </w:rPr>
        <w:instrText xml:space="preserve"> HYPERLINK \l "_Toc31687" </w:instrText>
      </w:r>
      <w:r>
        <w:rPr>
          <w:color w:val="auto"/>
          <w:highlight w:val="none"/>
        </w:rPr>
        <w:fldChar w:fldCharType="separate"/>
      </w:r>
      <w:r>
        <w:rPr>
          <w:rFonts w:hint="eastAsia" w:ascii="宋体" w:hAnsi="宋体" w:cs="宋体"/>
          <w:snapToGrid w:val="0"/>
          <w:color w:val="auto"/>
          <w:highlight w:val="none"/>
        </w:rPr>
        <w:t>格式九   联合体协议书</w:t>
      </w:r>
      <w:r>
        <w:rPr>
          <w:color w:val="auto"/>
          <w:highlight w:val="none"/>
        </w:rPr>
        <w:tab/>
      </w:r>
      <w:r>
        <w:rPr>
          <w:color w:val="auto"/>
          <w:highlight w:val="none"/>
        </w:rPr>
        <w:fldChar w:fldCharType="begin"/>
      </w:r>
      <w:r>
        <w:rPr>
          <w:color w:val="auto"/>
          <w:highlight w:val="none"/>
        </w:rPr>
        <w:instrText xml:space="preserve"> PAGEREF _Toc31687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F9C651E">
      <w:pPr>
        <w:rPr>
          <w:rFonts w:hint="eastAsia" w:ascii="宋体" w:hAnsi="宋体" w:cs="宋体"/>
          <w:color w:val="auto"/>
          <w:highlight w:val="none"/>
        </w:rPr>
      </w:pPr>
      <w:r>
        <w:rPr>
          <w:rFonts w:hint="eastAsia" w:ascii="宋体" w:hAnsi="宋体" w:cs="宋体"/>
          <w:color w:val="auto"/>
          <w:szCs w:val="24"/>
          <w:highlight w:val="none"/>
        </w:rPr>
        <w:fldChar w:fldCharType="end"/>
      </w:r>
    </w:p>
    <w:p w14:paraId="7DDFF953">
      <w:pPr>
        <w:rPr>
          <w:rFonts w:hint="eastAsia" w:ascii="宋体" w:hAnsi="宋体" w:cs="宋体"/>
          <w:color w:val="auto"/>
          <w:highlight w:val="none"/>
        </w:rPr>
      </w:pPr>
    </w:p>
    <w:p w14:paraId="146CE5A8">
      <w:pPr>
        <w:rPr>
          <w:rFonts w:hint="eastAsia" w:ascii="宋体" w:hAnsi="宋体" w:cs="宋体"/>
          <w:color w:val="auto"/>
          <w:highlight w:val="none"/>
        </w:rPr>
      </w:pPr>
    </w:p>
    <w:p w14:paraId="30B3254A">
      <w:pPr>
        <w:rPr>
          <w:rFonts w:hint="eastAsia" w:ascii="宋体" w:hAnsi="宋体" w:cs="宋体"/>
          <w:color w:val="auto"/>
          <w:highlight w:val="none"/>
        </w:rPr>
      </w:pPr>
    </w:p>
    <w:p w14:paraId="63AA57C1">
      <w:pPr>
        <w:rPr>
          <w:rFonts w:hint="eastAsia" w:ascii="宋体" w:hAnsi="宋体" w:cs="宋体"/>
          <w:color w:val="auto"/>
          <w:highlight w:val="none"/>
        </w:rPr>
      </w:pPr>
    </w:p>
    <w:p w14:paraId="18F57915">
      <w:pPr>
        <w:rPr>
          <w:rFonts w:hint="eastAsia" w:ascii="宋体" w:hAnsi="宋体" w:cs="宋体"/>
          <w:color w:val="auto"/>
          <w:highlight w:val="none"/>
        </w:rPr>
      </w:pPr>
    </w:p>
    <w:p w14:paraId="1C32D8AC">
      <w:pPr>
        <w:rPr>
          <w:rFonts w:hint="eastAsia" w:ascii="宋体" w:hAnsi="宋体" w:cs="宋体"/>
          <w:color w:val="auto"/>
          <w:highlight w:val="none"/>
        </w:rPr>
      </w:pPr>
    </w:p>
    <w:p w14:paraId="65AF013E">
      <w:pPr>
        <w:rPr>
          <w:rFonts w:hint="eastAsia" w:ascii="宋体" w:hAnsi="宋体" w:cs="宋体"/>
          <w:color w:val="auto"/>
          <w:highlight w:val="none"/>
        </w:rPr>
      </w:pPr>
    </w:p>
    <w:p w14:paraId="05CFA1A9">
      <w:pPr>
        <w:rPr>
          <w:rFonts w:hint="eastAsia" w:ascii="宋体" w:hAnsi="宋体" w:cs="宋体"/>
          <w:color w:val="auto"/>
          <w:highlight w:val="none"/>
        </w:rPr>
      </w:pPr>
    </w:p>
    <w:p w14:paraId="097986B9">
      <w:pPr>
        <w:rPr>
          <w:rFonts w:hint="eastAsia" w:ascii="宋体" w:hAnsi="宋体" w:cs="宋体"/>
          <w:color w:val="auto"/>
          <w:highlight w:val="none"/>
        </w:rPr>
      </w:pPr>
    </w:p>
    <w:p w14:paraId="16320EC6">
      <w:pPr>
        <w:rPr>
          <w:rFonts w:hint="eastAsia" w:ascii="宋体" w:hAnsi="宋体" w:cs="宋体"/>
          <w:color w:val="auto"/>
          <w:highlight w:val="none"/>
        </w:rPr>
      </w:pPr>
    </w:p>
    <w:p w14:paraId="196D71D0">
      <w:pPr>
        <w:rPr>
          <w:rFonts w:hint="eastAsia" w:ascii="宋体" w:hAnsi="宋体" w:cs="宋体"/>
          <w:color w:val="auto"/>
          <w:highlight w:val="none"/>
        </w:rPr>
      </w:pPr>
    </w:p>
    <w:p w14:paraId="16B3EEAA">
      <w:pPr>
        <w:rPr>
          <w:rFonts w:hint="eastAsia" w:ascii="宋体" w:hAnsi="宋体" w:cs="宋体"/>
          <w:color w:val="auto"/>
          <w:highlight w:val="none"/>
        </w:rPr>
      </w:pPr>
    </w:p>
    <w:p w14:paraId="0FD7A8C8">
      <w:pPr>
        <w:rPr>
          <w:rFonts w:hint="eastAsia" w:ascii="宋体" w:hAnsi="宋体" w:cs="宋体"/>
          <w:color w:val="auto"/>
          <w:highlight w:val="none"/>
        </w:rPr>
      </w:pPr>
    </w:p>
    <w:p w14:paraId="5F72BCE6">
      <w:pPr>
        <w:rPr>
          <w:rFonts w:hint="eastAsia" w:ascii="宋体" w:hAnsi="宋体" w:cs="宋体"/>
          <w:color w:val="auto"/>
          <w:highlight w:val="none"/>
        </w:rPr>
      </w:pPr>
    </w:p>
    <w:p w14:paraId="4FC59EE4">
      <w:pPr>
        <w:rPr>
          <w:rFonts w:hint="eastAsia" w:ascii="宋体" w:hAnsi="宋体" w:cs="宋体"/>
          <w:color w:val="auto"/>
          <w:highlight w:val="none"/>
        </w:rPr>
      </w:pPr>
    </w:p>
    <w:p w14:paraId="6B6D7AC6">
      <w:pPr>
        <w:rPr>
          <w:rFonts w:hint="eastAsia" w:ascii="宋体" w:hAnsi="宋体" w:cs="宋体"/>
          <w:color w:val="auto"/>
          <w:highlight w:val="none"/>
        </w:rPr>
      </w:pPr>
    </w:p>
    <w:p w14:paraId="620BF7FC">
      <w:pPr>
        <w:rPr>
          <w:rFonts w:hint="eastAsia" w:ascii="宋体" w:hAnsi="宋体" w:cs="宋体"/>
          <w:color w:val="auto"/>
          <w:highlight w:val="none"/>
        </w:rPr>
      </w:pPr>
    </w:p>
    <w:p w14:paraId="00357AB5">
      <w:pPr>
        <w:rPr>
          <w:rFonts w:hint="eastAsia" w:ascii="宋体" w:hAnsi="宋体" w:cs="宋体"/>
          <w:color w:val="auto"/>
          <w:highlight w:val="none"/>
        </w:rPr>
      </w:pPr>
    </w:p>
    <w:p w14:paraId="1EB12468">
      <w:pPr>
        <w:rPr>
          <w:rFonts w:hint="eastAsia" w:ascii="宋体" w:hAnsi="宋体" w:cs="宋体"/>
          <w:color w:val="auto"/>
          <w:highlight w:val="none"/>
        </w:rPr>
      </w:pPr>
    </w:p>
    <w:p w14:paraId="0CCE7B88">
      <w:pPr>
        <w:rPr>
          <w:rFonts w:hint="eastAsia" w:ascii="宋体" w:hAnsi="宋体" w:cs="宋体"/>
          <w:color w:val="auto"/>
          <w:highlight w:val="none"/>
        </w:rPr>
      </w:pPr>
    </w:p>
    <w:p w14:paraId="6865D8C9">
      <w:pPr>
        <w:rPr>
          <w:rFonts w:hint="eastAsia" w:ascii="宋体" w:hAnsi="宋体" w:cs="宋体"/>
          <w:color w:val="auto"/>
          <w:highlight w:val="none"/>
        </w:rPr>
      </w:pPr>
    </w:p>
    <w:p w14:paraId="263A82B2">
      <w:pPr>
        <w:rPr>
          <w:rFonts w:hint="eastAsia" w:ascii="宋体" w:hAnsi="宋体" w:cs="宋体"/>
          <w:color w:val="auto"/>
          <w:highlight w:val="none"/>
        </w:rPr>
      </w:pPr>
    </w:p>
    <w:p w14:paraId="2DB49AD1">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04A40797">
      <w:pPr>
        <w:pStyle w:val="2"/>
        <w:wordWrap w:val="0"/>
        <w:autoSpaceDE/>
        <w:autoSpaceDN/>
        <w:snapToGrid w:val="0"/>
        <w:spacing w:line="440" w:lineRule="exact"/>
        <w:jc w:val="center"/>
        <w:rPr>
          <w:rFonts w:hint="eastAsia" w:ascii="宋体" w:hAnsi="宋体" w:cs="宋体"/>
          <w:b/>
          <w:snapToGrid w:val="0"/>
          <w:color w:val="auto"/>
          <w:sz w:val="24"/>
          <w:highlight w:val="none"/>
        </w:rPr>
      </w:pPr>
      <w:bookmarkStart w:id="2" w:name="_Toc20948"/>
      <w:r>
        <w:rPr>
          <w:rFonts w:hint="eastAsia" w:ascii="宋体" w:hAnsi="宋体" w:cs="宋体"/>
          <w:b/>
          <w:snapToGrid w:val="0"/>
          <w:color w:val="auto"/>
          <w:sz w:val="24"/>
          <w:highlight w:val="none"/>
        </w:rPr>
        <w:t>第一章   投标人须知</w:t>
      </w:r>
      <w:bookmarkEnd w:id="2"/>
    </w:p>
    <w:p w14:paraId="23C3E028">
      <w:pPr>
        <w:pStyle w:val="3"/>
        <w:wordWrap w:val="0"/>
        <w:autoSpaceDE/>
        <w:autoSpaceDN/>
        <w:snapToGrid w:val="0"/>
        <w:spacing w:before="260" w:after="260"/>
        <w:jc w:val="both"/>
        <w:rPr>
          <w:rFonts w:hint="eastAsia" w:ascii="宋体" w:hAnsi="宋体" w:cs="宋体"/>
          <w:b/>
          <w:snapToGrid w:val="0"/>
          <w:color w:val="auto"/>
          <w:sz w:val="24"/>
          <w:highlight w:val="none"/>
        </w:rPr>
      </w:pPr>
      <w:bookmarkStart w:id="3" w:name="_Hlt127175444"/>
      <w:bookmarkEnd w:id="3"/>
      <w:bookmarkStart w:id="4" w:name="_Toc4935"/>
      <w:bookmarkStart w:id="5" w:name="_Toc2102"/>
      <w:bookmarkStart w:id="6" w:name="_Toc13792"/>
      <w:bookmarkStart w:id="7" w:name="_Toc7880"/>
      <w:bookmarkStart w:id="8" w:name="_Toc12674"/>
      <w:bookmarkStart w:id="9" w:name="_Hlt120077520"/>
      <w:r>
        <w:rPr>
          <w:rFonts w:hint="eastAsia" w:ascii="宋体" w:hAnsi="宋体" w:cs="宋体"/>
          <w:b/>
          <w:snapToGrid w:val="0"/>
          <w:color w:val="auto"/>
          <w:sz w:val="24"/>
          <w:highlight w:val="none"/>
        </w:rPr>
        <w:t>第一节   投标人须知前附表</w:t>
      </w:r>
      <w:bookmarkEnd w:id="4"/>
      <w:bookmarkEnd w:id="5"/>
      <w:bookmarkEnd w:id="6"/>
      <w:bookmarkEnd w:id="7"/>
      <w:bookmarkEnd w:id="8"/>
    </w:p>
    <w:tbl>
      <w:tblPr>
        <w:tblStyle w:val="16"/>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542"/>
        <w:gridCol w:w="8124"/>
      </w:tblGrid>
      <w:tr w14:paraId="7822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C7B3021">
            <w:pPr>
              <w:pStyle w:val="23"/>
              <w:jc w:val="center"/>
              <w:rPr>
                <w:rFonts w:hint="eastAsia" w:hAnsi="宋体" w:cs="宋体"/>
                <w:b/>
                <w:bCs/>
                <w:color w:val="auto"/>
                <w:sz w:val="22"/>
                <w:szCs w:val="22"/>
                <w:highlight w:val="none"/>
              </w:rPr>
            </w:pPr>
            <w:r>
              <w:rPr>
                <w:rFonts w:hint="eastAsia" w:hAnsi="宋体" w:cs="宋体"/>
                <w:b/>
                <w:bCs/>
                <w:color w:val="auto"/>
                <w:sz w:val="22"/>
                <w:szCs w:val="22"/>
                <w:highlight w:val="none"/>
              </w:rPr>
              <w:t>序号</w:t>
            </w:r>
          </w:p>
        </w:tc>
        <w:tc>
          <w:tcPr>
            <w:tcW w:w="1699" w:type="dxa"/>
            <w:vAlign w:val="center"/>
          </w:tcPr>
          <w:p w14:paraId="0CF2346A">
            <w:pPr>
              <w:pStyle w:val="23"/>
              <w:jc w:val="center"/>
              <w:rPr>
                <w:rFonts w:hint="eastAsia" w:hAnsi="宋体" w:cs="宋体"/>
                <w:b/>
                <w:bCs/>
                <w:color w:val="auto"/>
                <w:sz w:val="22"/>
                <w:szCs w:val="22"/>
                <w:highlight w:val="none"/>
              </w:rPr>
            </w:pPr>
            <w:r>
              <w:rPr>
                <w:rFonts w:hint="eastAsia" w:hAnsi="宋体" w:cs="宋体"/>
                <w:b/>
                <w:bCs/>
                <w:color w:val="auto"/>
                <w:sz w:val="22"/>
                <w:szCs w:val="22"/>
                <w:highlight w:val="none"/>
              </w:rPr>
              <w:t>内容</w:t>
            </w:r>
          </w:p>
        </w:tc>
        <w:tc>
          <w:tcPr>
            <w:tcW w:w="7922" w:type="dxa"/>
            <w:vAlign w:val="center"/>
          </w:tcPr>
          <w:p w14:paraId="42D1727E">
            <w:pPr>
              <w:pStyle w:val="23"/>
              <w:tabs>
                <w:tab w:val="left" w:pos="1180"/>
              </w:tabs>
              <w:jc w:val="center"/>
              <w:rPr>
                <w:rFonts w:hint="eastAsia" w:hAnsi="宋体" w:cs="宋体"/>
                <w:b/>
                <w:bCs/>
                <w:color w:val="auto"/>
                <w:sz w:val="22"/>
                <w:szCs w:val="22"/>
                <w:highlight w:val="none"/>
              </w:rPr>
            </w:pPr>
            <w:r>
              <w:rPr>
                <w:rFonts w:hint="eastAsia" w:hAnsi="宋体" w:cs="宋体"/>
                <w:b/>
                <w:bCs/>
                <w:color w:val="auto"/>
                <w:sz w:val="22"/>
                <w:szCs w:val="22"/>
                <w:highlight w:val="none"/>
              </w:rPr>
              <w:t>说明与要求</w:t>
            </w:r>
          </w:p>
        </w:tc>
      </w:tr>
      <w:tr w14:paraId="1A7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EDF02AB">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699" w:type="dxa"/>
            <w:vAlign w:val="center"/>
          </w:tcPr>
          <w:p w14:paraId="5C762952">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项目名称</w:t>
            </w:r>
          </w:p>
        </w:tc>
        <w:tc>
          <w:tcPr>
            <w:tcW w:w="7922" w:type="dxa"/>
            <w:vAlign w:val="center"/>
          </w:tcPr>
          <w:p w14:paraId="3C1C0867">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仁化产业转移工业园区基础建设（二期）-仁化产业园区部分涉环保子项目设计服务</w:t>
            </w:r>
          </w:p>
        </w:tc>
      </w:tr>
      <w:tr w14:paraId="7EE1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481F29E">
            <w:pPr>
              <w:widowControl/>
              <w:snapToGrid w:val="0"/>
              <w:spacing w:line="360" w:lineRule="auto"/>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w:t>
            </w:r>
          </w:p>
        </w:tc>
        <w:tc>
          <w:tcPr>
            <w:tcW w:w="1699" w:type="dxa"/>
            <w:vAlign w:val="center"/>
          </w:tcPr>
          <w:p w14:paraId="08453E24">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项目业主</w:t>
            </w:r>
          </w:p>
        </w:tc>
        <w:tc>
          <w:tcPr>
            <w:tcW w:w="7922" w:type="dxa"/>
            <w:vAlign w:val="center"/>
          </w:tcPr>
          <w:p w14:paraId="636D9B08">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仁化县丹霞旅游经济开发试验区管理委员会</w:t>
            </w:r>
          </w:p>
        </w:tc>
      </w:tr>
      <w:tr w14:paraId="4E92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7F96F82">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699" w:type="dxa"/>
            <w:vAlign w:val="center"/>
          </w:tcPr>
          <w:p w14:paraId="27378AFF">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项目批准部门</w:t>
            </w:r>
          </w:p>
        </w:tc>
        <w:tc>
          <w:tcPr>
            <w:tcW w:w="7922" w:type="dxa"/>
            <w:vAlign w:val="center"/>
          </w:tcPr>
          <w:p w14:paraId="18DC1807">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仁化县发展和改革局</w:t>
            </w:r>
          </w:p>
        </w:tc>
      </w:tr>
      <w:tr w14:paraId="0A32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7EA3D42">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699" w:type="dxa"/>
            <w:vAlign w:val="center"/>
          </w:tcPr>
          <w:p w14:paraId="203CF069">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项目批准文号</w:t>
            </w:r>
          </w:p>
        </w:tc>
        <w:tc>
          <w:tcPr>
            <w:tcW w:w="7922" w:type="dxa"/>
            <w:vAlign w:val="center"/>
          </w:tcPr>
          <w:p w14:paraId="5CDFA10B">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仁发改投审〔2022〕108号</w:t>
            </w:r>
          </w:p>
        </w:tc>
      </w:tr>
      <w:tr w14:paraId="4E44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C1C1FA3">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699" w:type="dxa"/>
            <w:vAlign w:val="center"/>
          </w:tcPr>
          <w:p w14:paraId="1DF68590">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项目代码</w:t>
            </w:r>
          </w:p>
        </w:tc>
        <w:tc>
          <w:tcPr>
            <w:tcW w:w="7922" w:type="dxa"/>
            <w:vAlign w:val="center"/>
          </w:tcPr>
          <w:p w14:paraId="156E9485">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2208-440224-04-01-823973</w:t>
            </w:r>
          </w:p>
        </w:tc>
      </w:tr>
      <w:tr w14:paraId="717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38011B5">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699" w:type="dxa"/>
            <w:vAlign w:val="center"/>
          </w:tcPr>
          <w:p w14:paraId="53342BFD">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项目总投资</w:t>
            </w:r>
          </w:p>
        </w:tc>
        <w:tc>
          <w:tcPr>
            <w:tcW w:w="7922" w:type="dxa"/>
            <w:vAlign w:val="center"/>
          </w:tcPr>
          <w:p w14:paraId="13885D95">
            <w:pPr>
              <w:tabs>
                <w:tab w:val="left" w:pos="1180"/>
              </w:tabs>
              <w:wordWrap w:val="0"/>
              <w:adjustRightInd w:val="0"/>
              <w:snapToGrid w:val="0"/>
              <w:spacing w:line="360" w:lineRule="auto"/>
              <w:ind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仁化产业转移工业园区基础建设（二期）项目估算总投资450952.34万元，其中：工程费363754.11万元、工程建设其他费用53794.35万元、预备费33403.88万元。本次招</w:t>
            </w:r>
            <w:r>
              <w:rPr>
                <w:rFonts w:hint="eastAsia" w:ascii="宋体" w:hAnsi="宋体" w:cs="宋体"/>
                <w:snapToGrid w:val="0"/>
                <w:color w:val="auto"/>
                <w:kern w:val="0"/>
                <w:sz w:val="22"/>
                <w:szCs w:val="22"/>
                <w:highlight w:val="none"/>
                <w:lang w:eastAsia="zh-CN"/>
              </w:rPr>
              <w:t>标实施范围为</w:t>
            </w:r>
            <w:r>
              <w:rPr>
                <w:rFonts w:hint="eastAsia" w:ascii="宋体" w:hAnsi="宋体" w:cs="宋体"/>
                <w:snapToGrid w:val="0"/>
                <w:color w:val="auto"/>
                <w:kern w:val="0"/>
                <w:sz w:val="22"/>
                <w:szCs w:val="22"/>
                <w:highlight w:val="none"/>
              </w:rPr>
              <w:t>仁化产业园区部分涉环保子项目</w:t>
            </w:r>
            <w:r>
              <w:rPr>
                <w:rFonts w:hint="eastAsia" w:ascii="宋体" w:hAnsi="宋体" w:cs="宋体"/>
                <w:snapToGrid w:val="0"/>
                <w:color w:val="auto"/>
                <w:kern w:val="0"/>
                <w:sz w:val="22"/>
                <w:szCs w:val="22"/>
                <w:highlight w:val="none"/>
                <w:lang w:eastAsia="zh-CN"/>
              </w:rPr>
              <w:t>，招标</w:t>
            </w:r>
            <w:r>
              <w:rPr>
                <w:rFonts w:hint="eastAsia" w:ascii="宋体" w:hAnsi="宋体" w:cs="宋体"/>
                <w:snapToGrid w:val="0"/>
                <w:color w:val="auto"/>
                <w:kern w:val="0"/>
                <w:sz w:val="22"/>
                <w:szCs w:val="22"/>
                <w:highlight w:val="none"/>
              </w:rPr>
              <w:t>设计费约为150万元。</w:t>
            </w:r>
          </w:p>
        </w:tc>
      </w:tr>
      <w:tr w14:paraId="0588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1174B2C">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699" w:type="dxa"/>
            <w:vAlign w:val="center"/>
          </w:tcPr>
          <w:p w14:paraId="45AB8B5C">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资金来源</w:t>
            </w:r>
          </w:p>
          <w:p w14:paraId="610E20FC">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及出资比例</w:t>
            </w:r>
          </w:p>
        </w:tc>
        <w:tc>
          <w:tcPr>
            <w:tcW w:w="7922" w:type="dxa"/>
            <w:vAlign w:val="center"/>
          </w:tcPr>
          <w:p w14:paraId="76145835">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上级资金和县财政资金安排解决，100%</w:t>
            </w:r>
          </w:p>
        </w:tc>
      </w:tr>
      <w:tr w14:paraId="267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8" w:type="dxa"/>
            <w:vAlign w:val="center"/>
          </w:tcPr>
          <w:p w14:paraId="6F5FEB76">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699" w:type="dxa"/>
            <w:vAlign w:val="center"/>
          </w:tcPr>
          <w:p w14:paraId="4DD8EF20">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招标人</w:t>
            </w:r>
          </w:p>
        </w:tc>
        <w:tc>
          <w:tcPr>
            <w:tcW w:w="7922" w:type="dxa"/>
            <w:vAlign w:val="center"/>
          </w:tcPr>
          <w:p w14:paraId="165A6FC6">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仁化县丹霞旅游经济开发试验区管理委员会</w:t>
            </w:r>
          </w:p>
        </w:tc>
      </w:tr>
      <w:tr w14:paraId="4920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9AE01FD">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699" w:type="dxa"/>
            <w:vAlign w:val="center"/>
          </w:tcPr>
          <w:p w14:paraId="538F3667">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招标代理机构</w:t>
            </w:r>
          </w:p>
        </w:tc>
        <w:tc>
          <w:tcPr>
            <w:tcW w:w="7922" w:type="dxa"/>
            <w:vAlign w:val="center"/>
          </w:tcPr>
          <w:p w14:paraId="3826F20C">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成致项目管理有限公司</w:t>
            </w:r>
          </w:p>
        </w:tc>
      </w:tr>
      <w:tr w14:paraId="1596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0F569F4">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699" w:type="dxa"/>
            <w:vAlign w:val="center"/>
          </w:tcPr>
          <w:p w14:paraId="61EE6D16">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建设地点</w:t>
            </w:r>
          </w:p>
        </w:tc>
        <w:tc>
          <w:tcPr>
            <w:tcW w:w="7922" w:type="dxa"/>
            <w:vAlign w:val="center"/>
          </w:tcPr>
          <w:p w14:paraId="12DBCEB8">
            <w:pPr>
              <w:tabs>
                <w:tab w:val="left" w:pos="1180"/>
              </w:tabs>
              <w:wordWrap w:val="0"/>
              <w:adjustRightInd w:val="0"/>
              <w:snapToGrid w:val="0"/>
              <w:spacing w:line="360" w:lineRule="auto"/>
              <w:ind w:left="36" w:leftChars="17" w:right="48" w:rightChars="23"/>
              <w:jc w:val="both"/>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韶关市仁化县周田镇仁化产业转移工业园</w:t>
            </w:r>
          </w:p>
        </w:tc>
      </w:tr>
      <w:tr w14:paraId="6786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E332025">
            <w:pPr>
              <w:widowControl/>
              <w:snapToGrid w:val="0"/>
              <w:spacing w:line="360" w:lineRule="auto"/>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699" w:type="dxa"/>
            <w:vAlign w:val="center"/>
          </w:tcPr>
          <w:p w14:paraId="4A651205">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标段划分</w:t>
            </w:r>
          </w:p>
        </w:tc>
        <w:tc>
          <w:tcPr>
            <w:tcW w:w="7922" w:type="dxa"/>
            <w:vAlign w:val="center"/>
          </w:tcPr>
          <w:p w14:paraId="227116D8">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本项目不划分标段。</w:t>
            </w:r>
          </w:p>
        </w:tc>
      </w:tr>
      <w:tr w14:paraId="5E2A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14BD87B">
            <w:pPr>
              <w:pStyle w:val="23"/>
              <w:rPr>
                <w:rFonts w:hint="eastAsia" w:hAnsi="宋体" w:cs="宋体"/>
                <w:color w:val="auto"/>
                <w:sz w:val="22"/>
                <w:szCs w:val="22"/>
                <w:highlight w:val="none"/>
              </w:rPr>
            </w:pPr>
            <w:r>
              <w:rPr>
                <w:rFonts w:hint="eastAsia" w:hAnsi="宋体" w:cs="宋体"/>
                <w:color w:val="auto"/>
                <w:sz w:val="22"/>
                <w:szCs w:val="22"/>
                <w:highlight w:val="none"/>
              </w:rPr>
              <w:t>12</w:t>
            </w:r>
          </w:p>
        </w:tc>
        <w:tc>
          <w:tcPr>
            <w:tcW w:w="1699" w:type="dxa"/>
            <w:vAlign w:val="center"/>
          </w:tcPr>
          <w:p w14:paraId="75BC9B35">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建设内容和规模</w:t>
            </w:r>
          </w:p>
        </w:tc>
        <w:tc>
          <w:tcPr>
            <w:tcW w:w="7922" w:type="dxa"/>
            <w:vAlign w:val="center"/>
          </w:tcPr>
          <w:p w14:paraId="5F9B26C1">
            <w:pPr>
              <w:spacing w:line="360" w:lineRule="auto"/>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本次招标为部分涉环保子项目设计服务，以实际实施内容为准。</w:t>
            </w:r>
          </w:p>
        </w:tc>
      </w:tr>
      <w:tr w14:paraId="297D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543A93E">
            <w:pPr>
              <w:pStyle w:val="23"/>
              <w:rPr>
                <w:rFonts w:hint="eastAsia" w:hAnsi="宋体" w:cs="宋体"/>
                <w:color w:val="auto"/>
                <w:sz w:val="22"/>
                <w:szCs w:val="22"/>
                <w:highlight w:val="none"/>
              </w:rPr>
            </w:pPr>
            <w:r>
              <w:rPr>
                <w:rFonts w:hint="eastAsia" w:hAnsi="宋体" w:cs="宋体"/>
                <w:color w:val="auto"/>
                <w:sz w:val="22"/>
                <w:szCs w:val="22"/>
                <w:highlight w:val="none"/>
              </w:rPr>
              <w:t>13</w:t>
            </w:r>
          </w:p>
        </w:tc>
        <w:tc>
          <w:tcPr>
            <w:tcW w:w="1699" w:type="dxa"/>
            <w:vAlign w:val="center"/>
          </w:tcPr>
          <w:p w14:paraId="2FC07056">
            <w:pPr>
              <w:pStyle w:val="23"/>
              <w:jc w:val="center"/>
              <w:rPr>
                <w:rFonts w:hint="eastAsia" w:hAnsi="宋体" w:cs="宋体"/>
                <w:strike/>
                <w:color w:val="auto"/>
                <w:sz w:val="22"/>
                <w:szCs w:val="22"/>
                <w:highlight w:val="none"/>
              </w:rPr>
            </w:pPr>
            <w:r>
              <w:rPr>
                <w:rFonts w:hint="eastAsia" w:hAnsi="宋体" w:cs="宋体"/>
                <w:color w:val="auto"/>
                <w:sz w:val="22"/>
                <w:szCs w:val="22"/>
                <w:highlight w:val="none"/>
              </w:rPr>
              <w:t>招标范围</w:t>
            </w:r>
          </w:p>
        </w:tc>
        <w:tc>
          <w:tcPr>
            <w:tcW w:w="7922" w:type="dxa"/>
            <w:vAlign w:val="center"/>
          </w:tcPr>
          <w:p w14:paraId="04A271A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为确保项目顺利实施的报建、施工等所需的设计文件，本工程设计服务所涉及的内容包括但不限于以下：</w:t>
            </w:r>
          </w:p>
          <w:p w14:paraId="66EEE869">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①设计方案（含效果图）、初步设计（含概算）；</w:t>
            </w:r>
          </w:p>
          <w:p w14:paraId="7656EEB1">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②施工图设计（施工图设计范围为本次招标设计范围的所有内容，施工图送审并确保审查合格）；</w:t>
            </w:r>
          </w:p>
          <w:p w14:paraId="000FE16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③调整并优化设计和在工程施工期间指导和解决施工难题；</w:t>
            </w:r>
          </w:p>
          <w:p w14:paraId="7C46216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④完成招标人提出的与项目相关并确保项目顺利实施的其他要求。</w:t>
            </w:r>
          </w:p>
        </w:tc>
      </w:tr>
      <w:tr w14:paraId="5BFC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2720065">
            <w:pPr>
              <w:pStyle w:val="23"/>
              <w:rPr>
                <w:rFonts w:hint="eastAsia" w:hAnsi="宋体" w:cs="宋体"/>
                <w:color w:val="auto"/>
                <w:sz w:val="22"/>
                <w:szCs w:val="22"/>
                <w:highlight w:val="none"/>
              </w:rPr>
            </w:pPr>
            <w:r>
              <w:rPr>
                <w:rFonts w:hint="eastAsia" w:hAnsi="宋体" w:cs="宋体"/>
                <w:color w:val="auto"/>
                <w:sz w:val="22"/>
                <w:szCs w:val="22"/>
                <w:highlight w:val="none"/>
              </w:rPr>
              <w:t>14</w:t>
            </w:r>
          </w:p>
        </w:tc>
        <w:tc>
          <w:tcPr>
            <w:tcW w:w="1699" w:type="dxa"/>
            <w:vAlign w:val="center"/>
          </w:tcPr>
          <w:p w14:paraId="2A8607D9">
            <w:pPr>
              <w:pStyle w:val="23"/>
              <w:jc w:val="center"/>
              <w:rPr>
                <w:rFonts w:hint="eastAsia" w:hAnsi="宋体" w:cs="宋体"/>
                <w:color w:val="auto"/>
                <w:sz w:val="22"/>
                <w:szCs w:val="22"/>
                <w:highlight w:val="none"/>
              </w:rPr>
            </w:pPr>
            <w:r>
              <w:rPr>
                <w:rFonts w:hint="eastAsia" w:hAnsi="宋体" w:cs="宋体"/>
                <w:color w:val="auto"/>
                <w:sz w:val="22"/>
                <w:szCs w:val="22"/>
                <w:highlight w:val="none"/>
              </w:rPr>
              <w:t>工期要求</w:t>
            </w:r>
          </w:p>
        </w:tc>
        <w:tc>
          <w:tcPr>
            <w:tcW w:w="7922" w:type="dxa"/>
            <w:vAlign w:val="center"/>
          </w:tcPr>
          <w:p w14:paraId="72E7CB8C">
            <w:pPr>
              <w:pStyle w:val="24"/>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本招标项目设计服务期为整个子项目实施期，服务期内招标人每次下达设计任务书后设计工期要求为：90个日历天。</w:t>
            </w:r>
          </w:p>
          <w:p w14:paraId="4178B125">
            <w:pPr>
              <w:pStyle w:val="24"/>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（1）初步设计阶段：自中标通知书发出之日起45个日历天内完成初步设计并提交成果文件。</w:t>
            </w:r>
          </w:p>
          <w:p w14:paraId="4E30B8E0">
            <w:pPr>
              <w:pStyle w:val="24"/>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（2）施工图设计阶段：从初步设计评审完成之日起35个日历天完成施工图设计；</w:t>
            </w:r>
          </w:p>
          <w:p w14:paraId="3E313A73">
            <w:pPr>
              <w:pStyle w:val="24"/>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（3）施工图修编：出具施工图审查初步意见后10个日历天内完成施工图修编；</w:t>
            </w:r>
          </w:p>
          <w:p w14:paraId="019C15CA">
            <w:pPr>
              <w:pStyle w:val="24"/>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（4）施工现场配合服务：项目施工及缺陷责任期内。</w:t>
            </w:r>
          </w:p>
        </w:tc>
      </w:tr>
      <w:tr w14:paraId="401D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21ADBF5">
            <w:pPr>
              <w:pStyle w:val="23"/>
              <w:rPr>
                <w:rFonts w:hint="eastAsia" w:hAnsi="宋体" w:cs="宋体"/>
                <w:color w:val="auto"/>
                <w:sz w:val="22"/>
                <w:szCs w:val="22"/>
                <w:highlight w:val="none"/>
              </w:rPr>
            </w:pPr>
            <w:r>
              <w:rPr>
                <w:rFonts w:hint="eastAsia" w:hAnsi="宋体" w:cs="宋体"/>
                <w:color w:val="auto"/>
                <w:sz w:val="22"/>
                <w:szCs w:val="22"/>
                <w:highlight w:val="none"/>
              </w:rPr>
              <w:t>15</w:t>
            </w:r>
          </w:p>
        </w:tc>
        <w:tc>
          <w:tcPr>
            <w:tcW w:w="1699" w:type="dxa"/>
            <w:vAlign w:val="center"/>
          </w:tcPr>
          <w:p w14:paraId="5B74ECE4">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房屋建筑工程</w:t>
            </w:r>
          </w:p>
          <w:p w14:paraId="2FB0CB16">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绿色建筑标准</w:t>
            </w:r>
          </w:p>
        </w:tc>
        <w:tc>
          <w:tcPr>
            <w:tcW w:w="7922" w:type="dxa"/>
            <w:vAlign w:val="center"/>
          </w:tcPr>
          <w:p w14:paraId="2C6BD6D2">
            <w:pPr>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本招标项目不纳入绿色建筑实施范围。</w:t>
            </w:r>
          </w:p>
        </w:tc>
      </w:tr>
      <w:tr w14:paraId="62CA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4F81F8F">
            <w:pPr>
              <w:pStyle w:val="23"/>
              <w:rPr>
                <w:rFonts w:hint="eastAsia" w:hAnsi="宋体" w:cs="宋体"/>
                <w:color w:val="auto"/>
                <w:sz w:val="22"/>
                <w:szCs w:val="22"/>
                <w:highlight w:val="none"/>
              </w:rPr>
            </w:pPr>
            <w:r>
              <w:rPr>
                <w:rFonts w:hint="eastAsia" w:hAnsi="宋体" w:cs="宋体"/>
                <w:color w:val="auto"/>
                <w:sz w:val="22"/>
                <w:szCs w:val="22"/>
                <w:highlight w:val="none"/>
              </w:rPr>
              <w:t>16</w:t>
            </w:r>
          </w:p>
        </w:tc>
        <w:tc>
          <w:tcPr>
            <w:tcW w:w="1699" w:type="dxa"/>
            <w:vAlign w:val="center"/>
          </w:tcPr>
          <w:p w14:paraId="2DDF85D8">
            <w:pPr>
              <w:wordWrap w:val="0"/>
              <w:adjustRightInd w:val="0"/>
              <w:snapToGrid w:val="0"/>
              <w:spacing w:line="360" w:lineRule="auto"/>
              <w:jc w:val="center"/>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装配式建筑</w:t>
            </w:r>
          </w:p>
          <w:p w14:paraId="731E8196">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bCs/>
                <w:color w:val="auto"/>
                <w:kern w:val="0"/>
                <w:sz w:val="22"/>
                <w:szCs w:val="22"/>
                <w:highlight w:val="none"/>
              </w:rPr>
              <w:t>标准</w:t>
            </w:r>
          </w:p>
        </w:tc>
        <w:tc>
          <w:tcPr>
            <w:tcW w:w="7922" w:type="dxa"/>
            <w:vAlign w:val="center"/>
          </w:tcPr>
          <w:p w14:paraId="745E5AB0">
            <w:pPr>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bCs/>
                <w:color w:val="auto"/>
                <w:sz w:val="22"/>
                <w:szCs w:val="22"/>
                <w:highlight w:val="none"/>
              </w:rPr>
              <w:t>本招标项目不纳入装配式建造建设实施范围。</w:t>
            </w:r>
          </w:p>
        </w:tc>
      </w:tr>
      <w:tr w14:paraId="0803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7D773D33">
            <w:pPr>
              <w:pStyle w:val="23"/>
              <w:rPr>
                <w:rFonts w:hint="eastAsia" w:hAnsi="宋体" w:cs="宋体"/>
                <w:color w:val="auto"/>
                <w:sz w:val="22"/>
                <w:szCs w:val="22"/>
                <w:highlight w:val="none"/>
              </w:rPr>
            </w:pPr>
            <w:r>
              <w:rPr>
                <w:rFonts w:hint="eastAsia" w:hAnsi="宋体" w:cs="宋体"/>
                <w:color w:val="auto"/>
                <w:sz w:val="22"/>
                <w:szCs w:val="22"/>
                <w:highlight w:val="none"/>
              </w:rPr>
              <w:t>17</w:t>
            </w:r>
          </w:p>
        </w:tc>
        <w:tc>
          <w:tcPr>
            <w:tcW w:w="1699" w:type="dxa"/>
            <w:vAlign w:val="center"/>
          </w:tcPr>
          <w:p w14:paraId="6273D3F2">
            <w:pPr>
              <w:pStyle w:val="23"/>
              <w:jc w:val="center"/>
              <w:rPr>
                <w:rFonts w:hint="eastAsia" w:hAnsi="宋体" w:cs="宋体"/>
                <w:color w:val="auto"/>
                <w:sz w:val="22"/>
                <w:szCs w:val="22"/>
                <w:highlight w:val="none"/>
              </w:rPr>
            </w:pPr>
            <w:r>
              <w:rPr>
                <w:rFonts w:hint="eastAsia" w:hAnsi="宋体" w:cs="宋体"/>
                <w:color w:val="auto"/>
                <w:sz w:val="22"/>
                <w:szCs w:val="22"/>
                <w:highlight w:val="none"/>
              </w:rPr>
              <w:t>最高投标限价</w:t>
            </w:r>
          </w:p>
        </w:tc>
        <w:tc>
          <w:tcPr>
            <w:tcW w:w="7922" w:type="dxa"/>
            <w:vAlign w:val="center"/>
          </w:tcPr>
          <w:p w14:paraId="1096E606">
            <w:pPr>
              <w:pStyle w:val="23"/>
              <w:rPr>
                <w:rFonts w:hint="eastAsia" w:hAnsi="宋体" w:cs="宋体"/>
                <w:color w:val="auto"/>
                <w:sz w:val="22"/>
                <w:szCs w:val="22"/>
                <w:highlight w:val="none"/>
              </w:rPr>
            </w:pPr>
            <w:r>
              <w:rPr>
                <w:rFonts w:hint="eastAsia" w:hAnsi="宋体" w:cs="宋体"/>
                <w:color w:val="auto"/>
                <w:sz w:val="22"/>
                <w:szCs w:val="22"/>
                <w:highlight w:val="none"/>
              </w:rPr>
              <w:t>本项目设计招标最高投标限价为：人民币</w:t>
            </w:r>
            <w:r>
              <w:rPr>
                <w:rFonts w:hint="eastAsia" w:hAnsi="宋体" w:cs="宋体"/>
                <w:color w:val="auto"/>
                <w:kern w:val="0"/>
                <w:sz w:val="22"/>
                <w:szCs w:val="22"/>
                <w:highlight w:val="none"/>
                <w:u w:val="single"/>
              </w:rPr>
              <w:t xml:space="preserve">壹佰伍拾万元整 </w:t>
            </w:r>
            <w:r>
              <w:rPr>
                <w:rFonts w:hint="eastAsia" w:hAnsi="宋体" w:cs="宋体"/>
                <w:color w:val="auto"/>
                <w:sz w:val="22"/>
                <w:szCs w:val="22"/>
                <w:highlight w:val="none"/>
              </w:rPr>
              <w:t>（¥</w:t>
            </w:r>
            <w:r>
              <w:rPr>
                <w:rFonts w:hint="eastAsia" w:hAnsi="宋体" w:cs="宋体"/>
                <w:color w:val="auto"/>
                <w:kern w:val="0"/>
                <w:sz w:val="22"/>
                <w:szCs w:val="22"/>
                <w:highlight w:val="none"/>
                <w:u w:val="single"/>
              </w:rPr>
              <w:t xml:space="preserve"> 1500000.00</w:t>
            </w:r>
            <w:r>
              <w:rPr>
                <w:rFonts w:hint="eastAsia" w:hAnsi="宋体" w:cs="宋体"/>
                <w:color w:val="auto"/>
                <w:sz w:val="22"/>
                <w:szCs w:val="22"/>
                <w:highlight w:val="none"/>
                <w:u w:val="single"/>
              </w:rPr>
              <w:t>元</w:t>
            </w:r>
            <w:r>
              <w:rPr>
                <w:rFonts w:hint="eastAsia" w:hAnsi="宋体" w:cs="宋体"/>
                <w:color w:val="auto"/>
                <w:sz w:val="22"/>
                <w:szCs w:val="22"/>
                <w:highlight w:val="none"/>
              </w:rPr>
              <w:t>）</w:t>
            </w:r>
            <w:r>
              <w:rPr>
                <w:rFonts w:hint="eastAsia" w:hAnsi="宋体" w:cs="宋体"/>
                <w:snapToGrid w:val="0"/>
                <w:color w:val="auto"/>
                <w:kern w:val="0"/>
                <w:sz w:val="22"/>
                <w:szCs w:val="22"/>
                <w:highlight w:val="none"/>
              </w:rPr>
              <w:t>。</w:t>
            </w:r>
          </w:p>
        </w:tc>
      </w:tr>
      <w:tr w14:paraId="3EF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7E962CDC">
            <w:pPr>
              <w:pStyle w:val="23"/>
              <w:rPr>
                <w:rFonts w:hint="eastAsia" w:hAnsi="宋体" w:cs="宋体"/>
                <w:color w:val="auto"/>
                <w:sz w:val="22"/>
                <w:szCs w:val="22"/>
                <w:highlight w:val="none"/>
              </w:rPr>
            </w:pPr>
            <w:r>
              <w:rPr>
                <w:rFonts w:hint="eastAsia" w:hAnsi="宋体" w:cs="宋体"/>
                <w:color w:val="auto"/>
                <w:sz w:val="22"/>
                <w:szCs w:val="22"/>
                <w:highlight w:val="none"/>
              </w:rPr>
              <w:t>18</w:t>
            </w:r>
          </w:p>
        </w:tc>
        <w:tc>
          <w:tcPr>
            <w:tcW w:w="1699" w:type="dxa"/>
            <w:vAlign w:val="center"/>
          </w:tcPr>
          <w:p w14:paraId="6243F565">
            <w:pPr>
              <w:pStyle w:val="23"/>
              <w:jc w:val="center"/>
              <w:rPr>
                <w:rFonts w:hint="eastAsia" w:hAnsi="宋体" w:cs="宋体"/>
                <w:color w:val="auto"/>
                <w:sz w:val="22"/>
                <w:szCs w:val="22"/>
                <w:highlight w:val="none"/>
              </w:rPr>
            </w:pPr>
            <w:r>
              <w:rPr>
                <w:rFonts w:hint="eastAsia" w:hAnsi="宋体" w:cs="宋体"/>
                <w:color w:val="auto"/>
                <w:sz w:val="22"/>
                <w:szCs w:val="22"/>
                <w:highlight w:val="none"/>
              </w:rPr>
              <w:t>质量标准</w:t>
            </w:r>
          </w:p>
        </w:tc>
        <w:tc>
          <w:tcPr>
            <w:tcW w:w="7922" w:type="dxa"/>
            <w:vAlign w:val="center"/>
          </w:tcPr>
          <w:p w14:paraId="642A1F19">
            <w:pPr>
              <w:pStyle w:val="23"/>
              <w:rPr>
                <w:rFonts w:hint="eastAsia" w:hAnsi="宋体" w:cs="宋体"/>
                <w:color w:val="auto"/>
                <w:sz w:val="22"/>
                <w:szCs w:val="22"/>
                <w:highlight w:val="none"/>
              </w:rPr>
            </w:pPr>
            <w:r>
              <w:rPr>
                <w:rFonts w:hint="eastAsia" w:hAnsi="宋体" w:cs="宋体"/>
                <w:color w:val="auto"/>
                <w:kern w:val="0"/>
                <w:sz w:val="22"/>
                <w:szCs w:val="22"/>
                <w:highlight w:val="none"/>
              </w:rPr>
              <w:t>符合现行的国家及地方的有关规划、设计的规范要求，并通过有关部门的审查，若需进行审图则必须经有资质的审图公司审图合格。</w:t>
            </w:r>
          </w:p>
        </w:tc>
      </w:tr>
      <w:tr w14:paraId="075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6AB53AC">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19</w:t>
            </w:r>
          </w:p>
        </w:tc>
        <w:tc>
          <w:tcPr>
            <w:tcW w:w="1699" w:type="dxa"/>
            <w:vAlign w:val="center"/>
          </w:tcPr>
          <w:p w14:paraId="35B5CA19">
            <w:pPr>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投标人资质</w:t>
            </w:r>
          </w:p>
          <w:p w14:paraId="1A16E80B">
            <w:pPr>
              <w:pStyle w:val="23"/>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及条件要求</w:t>
            </w:r>
          </w:p>
        </w:tc>
        <w:tc>
          <w:tcPr>
            <w:tcW w:w="7922" w:type="dxa"/>
            <w:vAlign w:val="center"/>
          </w:tcPr>
          <w:p w14:paraId="7BD0A1FE">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1.本工程</w:t>
            </w:r>
            <w:r>
              <w:rPr>
                <w:rFonts w:hint="eastAsia" w:ascii="宋体" w:hAnsi="宋体" w:cs="宋体"/>
                <w:b/>
                <w:bCs/>
                <w:color w:val="auto"/>
                <w:sz w:val="22"/>
                <w:szCs w:val="22"/>
                <w:highlight w:val="none"/>
              </w:rPr>
              <w:t>接受</w:t>
            </w:r>
            <w:r>
              <w:rPr>
                <w:rFonts w:hint="eastAsia" w:ascii="宋体" w:hAnsi="宋体" w:cs="宋体"/>
                <w:color w:val="auto"/>
                <w:sz w:val="22"/>
                <w:szCs w:val="22"/>
                <w:highlight w:val="none"/>
              </w:rPr>
              <w:t>联合体投标，联合体以一个投标人的身份共同投标。</w:t>
            </w:r>
          </w:p>
          <w:p w14:paraId="0DE38FBA">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1.1联合体成员数量不超过3个。</w:t>
            </w:r>
          </w:p>
          <w:p w14:paraId="6E0D8F2F">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1.2联合体各方应按招标文件提供的格式签订联合体协议书，明确联合体牵头人和各方权利义务，并承诺就中标项目向招标人承担连带责任。《联合体协议书》作为投标文件的组成部分向招标人提交。</w:t>
            </w:r>
          </w:p>
          <w:p w14:paraId="193AFC42">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06EC1EF6">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1.4联合体各方不得再以自己名义单独或参加其他联合体在本招标项目中投标，否则各相关投标均无效。</w:t>
            </w:r>
          </w:p>
          <w:p w14:paraId="2B6C7293">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2.资质要求</w:t>
            </w:r>
          </w:p>
          <w:p w14:paraId="7A743582">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2.1投标人须持有市场监督管理部门（或原工商管理部门）核发的营业执照，按国家法律经营的独立法人。</w:t>
            </w:r>
          </w:p>
          <w:p w14:paraId="5735C0B3">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2.2工程设计单位须持有建设行政主管部门核发的资质证书。</w:t>
            </w:r>
          </w:p>
          <w:p w14:paraId="442E7243">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参加投标的投标人可以是单一独立法人或由不超过三家独立法人组成的联合体（必须注明其中一家为牵头人），联合体各方不得再以自己的名义单独申请，也不得同时参加两个或两个以上的联合体进行本项目的投标。单一独立法人必须具备①-③资质；组成联合体投标的，联合后必须具备①-③资质：</w:t>
            </w:r>
          </w:p>
          <w:p w14:paraId="44E24902">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工程设计综合甲级资质，或工程设计建筑行业乙级或以上资质，或工程设计建筑行业(建筑工程)乙级或以上资质，或工程设计建筑工程设计事务所资质;(注:若为建筑工程设计事务所资质参加投标的则按“住房城乡建设部关于促进建筑工程设计事务所发展有关事项的通知”建市【2016】261号文的相关规定执行)；</w:t>
            </w:r>
          </w:p>
          <w:p w14:paraId="3817B54F">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②工程设计综合甲级资质，或工程设计市政行业乙级或以上资质，或工程设计市政行业(燃气工程、轨道交通工程除外)乙级或以上资质，或工程设计市政行业排水工程专业乙级或以上资质。</w:t>
            </w:r>
          </w:p>
          <w:p w14:paraId="00935A8A">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③工程设计环境工程专项(固体废物处理处置工程)</w:t>
            </w:r>
            <w:bookmarkStart w:id="10" w:name="OLE_LINK3"/>
            <w:r>
              <w:rPr>
                <w:rFonts w:hint="eastAsia" w:ascii="宋体" w:hAnsi="宋体" w:cs="宋体"/>
                <w:color w:val="auto"/>
                <w:sz w:val="22"/>
                <w:szCs w:val="22"/>
                <w:highlight w:val="none"/>
              </w:rPr>
              <w:t>乙级</w:t>
            </w:r>
            <w:bookmarkEnd w:id="10"/>
            <w:r>
              <w:rPr>
                <w:rFonts w:ascii="宋体" w:hAnsi="宋体" w:cs="宋体"/>
                <w:color w:val="auto"/>
                <w:sz w:val="22"/>
                <w:szCs w:val="22"/>
                <w:highlight w:val="none"/>
              </w:rPr>
              <w:t>或</w:t>
            </w:r>
            <w:r>
              <w:rPr>
                <w:rFonts w:hint="eastAsia" w:ascii="宋体" w:hAnsi="宋体" w:cs="宋体"/>
                <w:color w:val="auto"/>
                <w:sz w:val="22"/>
                <w:szCs w:val="22"/>
                <w:highlight w:val="none"/>
                <w:lang w:val="en-US" w:eastAsia="zh-CN"/>
              </w:rPr>
              <w:t>以上资质或</w:t>
            </w:r>
            <w:r>
              <w:rPr>
                <w:rFonts w:hint="eastAsia" w:ascii="宋体" w:hAnsi="宋体" w:cs="宋体"/>
                <w:color w:val="auto"/>
                <w:sz w:val="22"/>
                <w:szCs w:val="22"/>
                <w:highlight w:val="none"/>
              </w:rPr>
              <w:t>工程设计环境工程专项（水污染防治工程）乙级或以上资质。</w:t>
            </w:r>
          </w:p>
          <w:p w14:paraId="30051482">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4DF097CB">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3.相关人员要求</w:t>
            </w:r>
          </w:p>
          <w:p w14:paraId="21FC208D">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3.1拟委派担任本招标项目的项目负责人（即设计负责人）须具备环境工程相关高级或以上职称。</w:t>
            </w:r>
          </w:p>
          <w:p w14:paraId="60797C44">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3.2投标人（包括组成联合体的所有成员单位）与其拟派往本项目所有人员之间必须具备合法、唯一的劳动聘用关系。拟派人员中具备注册执业资格的，其注册单位须与投标人保持一致。</w:t>
            </w:r>
          </w:p>
          <w:p w14:paraId="2FA11BA3">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4.禁止投标条款</w:t>
            </w:r>
          </w:p>
          <w:p w14:paraId="52AE1B5F">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4.1投标人不得存在下列情形之一：</w:t>
            </w:r>
          </w:p>
          <w:p w14:paraId="7C5CFF93">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（1）为招标人不具有独立法人资格的附属机构（单位）；</w:t>
            </w:r>
          </w:p>
          <w:p w14:paraId="16C5921B">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（2）与招标人存在利害关系且可能影响招标公正性；</w:t>
            </w:r>
          </w:p>
          <w:p w14:paraId="3482D845">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（3）与本招标项目的其他投标人为同一个单位负责人；</w:t>
            </w:r>
          </w:p>
          <w:p w14:paraId="1AAFAD54">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（4）与本招标项目的其他投标人存在控股、管理关系；</w:t>
            </w:r>
          </w:p>
          <w:p w14:paraId="60993652">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（5）为本招标项目的代建人；</w:t>
            </w:r>
          </w:p>
          <w:p w14:paraId="70C5DA94">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（6）为本招标项目的招标代理机构；</w:t>
            </w:r>
          </w:p>
          <w:p w14:paraId="715F4418">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（7）与本招标项目的代建人或招标代理机构同为一个法定代表人；</w:t>
            </w:r>
          </w:p>
          <w:p w14:paraId="6EC42EF2">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（8）与本招标项目的代建人或招标代理机构存在控股或参股关系；</w:t>
            </w:r>
          </w:p>
          <w:p w14:paraId="7749FF35">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（9）被依法暂停或者取消投标资格；</w:t>
            </w:r>
          </w:p>
          <w:p w14:paraId="6CD099D9">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（10）被责令停产停业、暂扣或者吊销许可证、暂扣或者吊销执照；</w:t>
            </w:r>
          </w:p>
          <w:p w14:paraId="19AB14F1">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（11）进入清算程序，或被宣告破产，或其他丧失履约能力的情形；</w:t>
            </w:r>
          </w:p>
          <w:p w14:paraId="534F25CF">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（12）在最近三年内发生重大质量问题（以相关行业主管部门的行政处罚决定或司法机关出具的有关法律文书为准）；</w:t>
            </w:r>
          </w:p>
          <w:p w14:paraId="1E6A6240">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（13）被“信用中国”网站（https://www.creditchina.gov.cn）发布的《法人和非法人组织公共信用信息报告》列为严重失信主体名单的。</w:t>
            </w:r>
          </w:p>
          <w:p w14:paraId="7247E1E0">
            <w:pPr>
              <w:pStyle w:val="24"/>
              <w:widowControl/>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4.2招标人拒绝以下名单中的单位参加本次投标：</w:t>
            </w:r>
          </w:p>
          <w:tbl>
            <w:tblPr>
              <w:tblStyle w:val="15"/>
              <w:tblW w:w="7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3826"/>
              <w:gridCol w:w="3297"/>
            </w:tblGrid>
            <w:tr w14:paraId="426C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 w:type="dxa"/>
                  <w:vAlign w:val="center"/>
                </w:tcPr>
                <w:p w14:paraId="4AB14A28">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序号</w:t>
                  </w:r>
                </w:p>
              </w:tc>
              <w:tc>
                <w:tcPr>
                  <w:tcW w:w="3826" w:type="dxa"/>
                  <w:vAlign w:val="center"/>
                </w:tcPr>
                <w:p w14:paraId="0E76BD12">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单位名称</w:t>
                  </w:r>
                </w:p>
              </w:tc>
              <w:tc>
                <w:tcPr>
                  <w:tcW w:w="3297" w:type="dxa"/>
                  <w:vAlign w:val="center"/>
                </w:tcPr>
                <w:p w14:paraId="7C401B86">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拒绝原因</w:t>
                  </w:r>
                </w:p>
              </w:tc>
            </w:tr>
            <w:tr w14:paraId="666A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75" w:type="dxa"/>
                  <w:vAlign w:val="center"/>
                </w:tcPr>
                <w:p w14:paraId="67215ED4">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3826" w:type="dxa"/>
                  <w:vAlign w:val="center"/>
                </w:tcPr>
                <w:p w14:paraId="063FD86A">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仁化县丹霞旅游经济开发试验区管理委员会</w:t>
                  </w:r>
                </w:p>
              </w:tc>
              <w:tc>
                <w:tcPr>
                  <w:tcW w:w="3297" w:type="dxa"/>
                  <w:vAlign w:val="center"/>
                </w:tcPr>
                <w:p w14:paraId="5A5E157A">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为本招标项目的业主单位和招标人</w:t>
                  </w:r>
                </w:p>
              </w:tc>
            </w:tr>
            <w:tr w14:paraId="5DE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75" w:type="dxa"/>
                  <w:vAlign w:val="center"/>
                </w:tcPr>
                <w:p w14:paraId="2885F0CD">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3826" w:type="dxa"/>
                  <w:vAlign w:val="center"/>
                </w:tcPr>
                <w:p w14:paraId="3573B5CD">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成致项目管理有限公司</w:t>
                  </w:r>
                </w:p>
              </w:tc>
              <w:tc>
                <w:tcPr>
                  <w:tcW w:w="3297" w:type="dxa"/>
                  <w:vAlign w:val="center"/>
                </w:tcPr>
                <w:p w14:paraId="33123E55">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为本招标项目的招标代理机构</w:t>
                  </w:r>
                </w:p>
              </w:tc>
            </w:tr>
            <w:tr w14:paraId="5B08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75" w:type="dxa"/>
                  <w:vAlign w:val="center"/>
                </w:tcPr>
                <w:p w14:paraId="1266354E">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3826" w:type="dxa"/>
                  <w:vAlign w:val="center"/>
                </w:tcPr>
                <w:p w14:paraId="7617A363">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广东伟达工程咨询顾问有限公司</w:t>
                  </w:r>
                </w:p>
              </w:tc>
              <w:tc>
                <w:tcPr>
                  <w:tcW w:w="3297" w:type="dxa"/>
                  <w:vAlign w:val="center"/>
                </w:tcPr>
                <w:p w14:paraId="03E3F3B2">
                  <w:pPr>
                    <w:pStyle w:val="24"/>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为本招标项目的可研编制单位</w:t>
                  </w:r>
                </w:p>
              </w:tc>
            </w:tr>
          </w:tbl>
          <w:p w14:paraId="762EDFAE">
            <w:pPr>
              <w:pStyle w:val="24"/>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5.其他要求</w:t>
            </w:r>
          </w:p>
          <w:p w14:paraId="7F47FA63">
            <w:pPr>
              <w:pStyle w:val="24"/>
              <w:widowControl/>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0E21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E3494F0">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20</w:t>
            </w:r>
          </w:p>
        </w:tc>
        <w:tc>
          <w:tcPr>
            <w:tcW w:w="1699" w:type="dxa"/>
            <w:vAlign w:val="center"/>
          </w:tcPr>
          <w:p w14:paraId="32429999">
            <w:pPr>
              <w:pStyle w:val="23"/>
              <w:jc w:val="center"/>
              <w:rPr>
                <w:rFonts w:hint="eastAsia" w:hAnsi="宋体" w:cs="宋体"/>
                <w:color w:val="auto"/>
                <w:sz w:val="22"/>
                <w:szCs w:val="22"/>
                <w:highlight w:val="none"/>
              </w:rPr>
            </w:pPr>
            <w:r>
              <w:rPr>
                <w:rFonts w:hint="eastAsia" w:hAnsi="宋体" w:cs="宋体"/>
                <w:color w:val="auto"/>
                <w:sz w:val="22"/>
                <w:szCs w:val="22"/>
                <w:highlight w:val="none"/>
              </w:rPr>
              <w:t>评标定标方法</w:t>
            </w:r>
          </w:p>
        </w:tc>
        <w:tc>
          <w:tcPr>
            <w:tcW w:w="7922" w:type="dxa"/>
            <w:vAlign w:val="center"/>
          </w:tcPr>
          <w:p w14:paraId="400B5754">
            <w:pPr>
              <w:pStyle w:val="23"/>
              <w:ind w:firstLine="220" w:firstLineChars="100"/>
              <w:rPr>
                <w:rFonts w:hint="eastAsia" w:hAnsi="宋体" w:cs="宋体"/>
                <w:color w:val="auto"/>
                <w:sz w:val="22"/>
                <w:szCs w:val="22"/>
                <w:highlight w:val="none"/>
              </w:rPr>
            </w:pPr>
            <w:r>
              <w:rPr>
                <w:rFonts w:hint="eastAsia" w:hAnsi="宋体" w:cs="宋体"/>
                <w:color w:val="auto"/>
                <w:sz w:val="22"/>
                <w:szCs w:val="22"/>
                <w:highlight w:val="none"/>
              </w:rPr>
              <w:t>综合评估法</w:t>
            </w:r>
          </w:p>
        </w:tc>
      </w:tr>
      <w:tr w14:paraId="0A9F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7DBB91B">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21</w:t>
            </w:r>
          </w:p>
        </w:tc>
        <w:tc>
          <w:tcPr>
            <w:tcW w:w="1699" w:type="dxa"/>
            <w:vAlign w:val="center"/>
          </w:tcPr>
          <w:p w14:paraId="53591BEC">
            <w:pPr>
              <w:pStyle w:val="23"/>
              <w:jc w:val="center"/>
              <w:rPr>
                <w:rFonts w:hint="eastAsia" w:hAnsi="宋体" w:cs="宋体"/>
                <w:color w:val="auto"/>
                <w:sz w:val="22"/>
                <w:szCs w:val="22"/>
                <w:highlight w:val="none"/>
              </w:rPr>
            </w:pPr>
            <w:r>
              <w:rPr>
                <w:rFonts w:hint="eastAsia" w:hAnsi="宋体" w:cs="宋体"/>
                <w:color w:val="auto"/>
                <w:sz w:val="22"/>
                <w:szCs w:val="22"/>
                <w:highlight w:val="none"/>
              </w:rPr>
              <w:t>评标委员会</w:t>
            </w:r>
          </w:p>
          <w:p w14:paraId="1C9101C8">
            <w:pPr>
              <w:pStyle w:val="23"/>
              <w:jc w:val="center"/>
              <w:rPr>
                <w:rFonts w:hint="eastAsia" w:hAnsi="宋体" w:cs="宋体"/>
                <w:color w:val="auto"/>
                <w:sz w:val="22"/>
                <w:szCs w:val="22"/>
                <w:highlight w:val="none"/>
              </w:rPr>
            </w:pPr>
            <w:r>
              <w:rPr>
                <w:rFonts w:hint="eastAsia" w:hAnsi="宋体" w:cs="宋体"/>
                <w:color w:val="auto"/>
                <w:sz w:val="22"/>
                <w:szCs w:val="22"/>
                <w:highlight w:val="none"/>
              </w:rPr>
              <w:t>组成</w:t>
            </w:r>
          </w:p>
        </w:tc>
        <w:tc>
          <w:tcPr>
            <w:tcW w:w="7922" w:type="dxa"/>
            <w:vAlign w:val="center"/>
          </w:tcPr>
          <w:p w14:paraId="01FE0F5B">
            <w:pPr>
              <w:pStyle w:val="23"/>
              <w:ind w:firstLine="440" w:firstLineChars="200"/>
              <w:rPr>
                <w:rFonts w:hint="eastAsia" w:hAnsi="宋体" w:cs="宋体"/>
                <w:bCs/>
                <w:color w:val="auto"/>
                <w:sz w:val="22"/>
                <w:szCs w:val="22"/>
                <w:highlight w:val="none"/>
              </w:rPr>
            </w:pPr>
            <w:r>
              <w:rPr>
                <w:rFonts w:hint="eastAsia" w:hAnsi="宋体" w:cs="宋体"/>
                <w:color w:val="auto"/>
                <w:kern w:val="0"/>
                <w:sz w:val="22"/>
                <w:szCs w:val="22"/>
                <w:highlight w:val="none"/>
              </w:rPr>
              <w:t>评标委员会由</w:t>
            </w:r>
            <w:r>
              <w:rPr>
                <w:rFonts w:hint="eastAsia" w:hAnsi="宋体" w:cs="宋体"/>
                <w:color w:val="auto"/>
                <w:kern w:val="0"/>
                <w:sz w:val="22"/>
                <w:szCs w:val="22"/>
                <w:highlight w:val="none"/>
                <w:u w:val="single"/>
              </w:rPr>
              <w:t>5</w:t>
            </w:r>
            <w:r>
              <w:rPr>
                <w:rFonts w:hint="eastAsia" w:hAnsi="宋体" w:cs="宋体"/>
                <w:color w:val="auto"/>
                <w:kern w:val="0"/>
                <w:sz w:val="22"/>
                <w:szCs w:val="22"/>
                <w:highlight w:val="none"/>
              </w:rPr>
              <w:t>人组成，其中招标人代表</w:t>
            </w:r>
            <w:r>
              <w:rPr>
                <w:rFonts w:hint="eastAsia" w:hAnsi="宋体" w:cs="宋体"/>
                <w:color w:val="auto"/>
                <w:kern w:val="0"/>
                <w:sz w:val="22"/>
                <w:szCs w:val="22"/>
                <w:highlight w:val="none"/>
                <w:u w:val="single"/>
              </w:rPr>
              <w:t>0</w:t>
            </w:r>
            <w:r>
              <w:rPr>
                <w:rFonts w:hint="eastAsia" w:hAnsi="宋体" w:cs="宋体"/>
                <w:color w:val="auto"/>
                <w:kern w:val="0"/>
                <w:sz w:val="22"/>
                <w:szCs w:val="22"/>
                <w:highlight w:val="none"/>
              </w:rPr>
              <w:t>人，专家</w:t>
            </w:r>
            <w:r>
              <w:rPr>
                <w:rFonts w:hint="eastAsia" w:hAnsi="宋体" w:cs="宋体"/>
                <w:color w:val="auto"/>
                <w:kern w:val="0"/>
                <w:sz w:val="22"/>
                <w:szCs w:val="22"/>
                <w:highlight w:val="none"/>
                <w:u w:val="single"/>
              </w:rPr>
              <w:t>5</w:t>
            </w:r>
            <w:r>
              <w:rPr>
                <w:rFonts w:hint="eastAsia" w:hAnsi="宋体" w:cs="宋体"/>
                <w:color w:val="auto"/>
                <w:kern w:val="0"/>
                <w:sz w:val="22"/>
                <w:szCs w:val="22"/>
                <w:highlight w:val="none"/>
              </w:rPr>
              <w:t>人。专家从</w:t>
            </w:r>
            <w:r>
              <w:rPr>
                <w:rFonts w:hint="eastAsia" w:hAnsi="宋体" w:cs="宋体"/>
                <w:color w:val="auto"/>
                <w:kern w:val="0"/>
                <w:sz w:val="22"/>
                <w:szCs w:val="22"/>
                <w:highlight w:val="none"/>
                <w:u w:val="single"/>
              </w:rPr>
              <w:t>广东省综合评标评审专家库（韶关区域）中</w:t>
            </w:r>
            <w:r>
              <w:rPr>
                <w:rFonts w:hint="eastAsia" w:hAnsi="宋体" w:cs="宋体"/>
                <w:color w:val="auto"/>
                <w:kern w:val="0"/>
                <w:sz w:val="22"/>
                <w:szCs w:val="22"/>
                <w:highlight w:val="none"/>
              </w:rPr>
              <w:t>随机抽取，其中技术类专家</w:t>
            </w:r>
            <w:r>
              <w:rPr>
                <w:rFonts w:hint="eastAsia" w:hAnsi="宋体" w:cs="宋体"/>
                <w:color w:val="auto"/>
                <w:kern w:val="0"/>
                <w:sz w:val="22"/>
                <w:szCs w:val="22"/>
                <w:highlight w:val="none"/>
                <w:u w:val="single"/>
              </w:rPr>
              <w:t>3</w:t>
            </w:r>
            <w:r>
              <w:rPr>
                <w:rFonts w:hint="eastAsia" w:hAnsi="宋体" w:cs="宋体"/>
                <w:color w:val="auto"/>
                <w:kern w:val="0"/>
                <w:sz w:val="22"/>
                <w:szCs w:val="22"/>
                <w:highlight w:val="none"/>
              </w:rPr>
              <w:t>人，经济类专家</w:t>
            </w:r>
            <w:r>
              <w:rPr>
                <w:rFonts w:hint="eastAsia" w:hAnsi="宋体" w:cs="宋体"/>
                <w:color w:val="auto"/>
                <w:kern w:val="0"/>
                <w:sz w:val="22"/>
                <w:szCs w:val="22"/>
                <w:highlight w:val="none"/>
                <w:u w:val="single"/>
              </w:rPr>
              <w:t>2</w:t>
            </w:r>
            <w:r>
              <w:rPr>
                <w:rFonts w:hint="eastAsia" w:hAnsi="宋体" w:cs="宋体"/>
                <w:color w:val="auto"/>
                <w:kern w:val="0"/>
                <w:sz w:val="22"/>
                <w:szCs w:val="22"/>
                <w:highlight w:val="none"/>
              </w:rPr>
              <w:t>人。</w:t>
            </w:r>
          </w:p>
        </w:tc>
      </w:tr>
      <w:tr w14:paraId="452B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E3A277F">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22</w:t>
            </w:r>
          </w:p>
        </w:tc>
        <w:tc>
          <w:tcPr>
            <w:tcW w:w="1699" w:type="dxa"/>
            <w:vAlign w:val="center"/>
          </w:tcPr>
          <w:p w14:paraId="080A1117">
            <w:pPr>
              <w:pStyle w:val="23"/>
              <w:jc w:val="center"/>
              <w:rPr>
                <w:rFonts w:hint="eastAsia" w:hAnsi="宋体" w:cs="宋体"/>
                <w:color w:val="auto"/>
                <w:sz w:val="22"/>
                <w:szCs w:val="22"/>
                <w:highlight w:val="none"/>
              </w:rPr>
            </w:pPr>
            <w:r>
              <w:rPr>
                <w:rFonts w:hint="eastAsia" w:hAnsi="宋体" w:cs="宋体"/>
                <w:color w:val="auto"/>
                <w:sz w:val="22"/>
                <w:szCs w:val="22"/>
                <w:highlight w:val="none"/>
              </w:rPr>
              <w:t>投标文件组成</w:t>
            </w:r>
          </w:p>
        </w:tc>
        <w:tc>
          <w:tcPr>
            <w:tcW w:w="7922" w:type="dxa"/>
            <w:vAlign w:val="center"/>
          </w:tcPr>
          <w:p w14:paraId="053E6169">
            <w:pPr>
              <w:pStyle w:val="23"/>
              <w:ind w:firstLine="220" w:firstLineChars="100"/>
              <w:rPr>
                <w:rFonts w:hint="eastAsia" w:hAnsi="宋体" w:cs="宋体"/>
                <w:color w:val="auto"/>
                <w:sz w:val="22"/>
                <w:szCs w:val="22"/>
                <w:highlight w:val="none"/>
              </w:rPr>
            </w:pPr>
            <w:r>
              <w:rPr>
                <w:rFonts w:hint="eastAsia" w:hAnsi="宋体" w:cs="宋体"/>
                <w:color w:val="auto"/>
                <w:sz w:val="22"/>
                <w:szCs w:val="22"/>
                <w:highlight w:val="none"/>
              </w:rPr>
              <w:t>投标文件包括商务经济标书、技术标书</w:t>
            </w:r>
            <w:r>
              <w:rPr>
                <w:rFonts w:hint="eastAsia" w:hAnsi="宋体" w:cs="宋体"/>
                <w:snapToGrid w:val="0"/>
                <w:color w:val="auto"/>
                <w:kern w:val="0"/>
                <w:sz w:val="22"/>
                <w:szCs w:val="22"/>
                <w:highlight w:val="none"/>
              </w:rPr>
              <w:t>两个分册</w:t>
            </w:r>
            <w:r>
              <w:rPr>
                <w:rFonts w:hint="eastAsia" w:hAnsi="宋体" w:cs="宋体"/>
                <w:color w:val="auto"/>
                <w:sz w:val="22"/>
                <w:szCs w:val="22"/>
                <w:highlight w:val="none"/>
              </w:rPr>
              <w:t>。</w:t>
            </w:r>
          </w:p>
        </w:tc>
      </w:tr>
      <w:tr w14:paraId="587D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5554AD9">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23</w:t>
            </w:r>
          </w:p>
        </w:tc>
        <w:tc>
          <w:tcPr>
            <w:tcW w:w="1699" w:type="dxa"/>
            <w:vAlign w:val="center"/>
          </w:tcPr>
          <w:p w14:paraId="2425312A">
            <w:pPr>
              <w:pStyle w:val="23"/>
              <w:spacing w:line="240" w:lineRule="auto"/>
              <w:jc w:val="center"/>
              <w:rPr>
                <w:rFonts w:hint="eastAsia" w:hAnsi="宋体" w:cs="宋体"/>
                <w:color w:val="auto"/>
                <w:sz w:val="22"/>
                <w:szCs w:val="22"/>
                <w:highlight w:val="none"/>
              </w:rPr>
            </w:pPr>
            <w:r>
              <w:rPr>
                <w:rFonts w:hint="eastAsia" w:hAnsi="宋体" w:cs="宋体"/>
                <w:color w:val="auto"/>
                <w:sz w:val="22"/>
                <w:szCs w:val="22"/>
                <w:highlight w:val="none"/>
              </w:rPr>
              <w:t>技术标书</w:t>
            </w:r>
          </w:p>
          <w:p w14:paraId="41DBD2ED">
            <w:pPr>
              <w:pStyle w:val="23"/>
              <w:spacing w:line="240" w:lineRule="auto"/>
              <w:jc w:val="center"/>
              <w:rPr>
                <w:rFonts w:hint="eastAsia" w:hAnsi="宋体" w:cs="宋体"/>
                <w:color w:val="auto"/>
                <w:sz w:val="22"/>
                <w:szCs w:val="22"/>
                <w:highlight w:val="none"/>
              </w:rPr>
            </w:pPr>
            <w:r>
              <w:rPr>
                <w:rFonts w:hint="eastAsia" w:hAnsi="宋体" w:cs="宋体"/>
                <w:color w:val="auto"/>
                <w:sz w:val="22"/>
                <w:szCs w:val="22"/>
                <w:highlight w:val="none"/>
              </w:rPr>
              <w:t>评审方式</w:t>
            </w:r>
          </w:p>
        </w:tc>
        <w:tc>
          <w:tcPr>
            <w:tcW w:w="7922" w:type="dxa"/>
            <w:vAlign w:val="center"/>
          </w:tcPr>
          <w:p w14:paraId="2937B08E">
            <w:pPr>
              <w:pStyle w:val="23"/>
              <w:ind w:firstLine="220" w:firstLineChars="100"/>
              <w:rPr>
                <w:rFonts w:hint="eastAsia" w:hAnsi="宋体" w:cs="宋体"/>
                <w:color w:val="auto"/>
                <w:sz w:val="22"/>
                <w:szCs w:val="22"/>
                <w:highlight w:val="none"/>
              </w:rPr>
            </w:pPr>
            <w:r>
              <w:rPr>
                <w:rFonts w:hint="eastAsia" w:hAnsi="宋体" w:cs="宋体"/>
                <w:color w:val="auto"/>
                <w:sz w:val="22"/>
                <w:szCs w:val="22"/>
                <w:highlight w:val="none"/>
              </w:rPr>
              <w:t>本次招标技术标书</w:t>
            </w:r>
            <w:r>
              <w:rPr>
                <w:rFonts w:hint="eastAsia" w:hAnsi="宋体" w:cs="宋体"/>
                <w:color w:val="auto"/>
                <w:sz w:val="22"/>
                <w:szCs w:val="22"/>
                <w:highlight w:val="none"/>
                <w:u w:val="single"/>
              </w:rPr>
              <w:t>不采用</w:t>
            </w:r>
            <w:r>
              <w:rPr>
                <w:rFonts w:hint="eastAsia" w:hAnsi="宋体" w:cs="宋体"/>
                <w:color w:val="auto"/>
                <w:sz w:val="22"/>
                <w:szCs w:val="22"/>
                <w:highlight w:val="none"/>
              </w:rPr>
              <w:t>“暗标”方式进行评审。</w:t>
            </w:r>
          </w:p>
        </w:tc>
      </w:tr>
      <w:tr w14:paraId="3040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F3529BD">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24</w:t>
            </w:r>
          </w:p>
        </w:tc>
        <w:tc>
          <w:tcPr>
            <w:tcW w:w="1699" w:type="dxa"/>
            <w:vAlign w:val="center"/>
          </w:tcPr>
          <w:p w14:paraId="458F0A9B">
            <w:pPr>
              <w:pStyle w:val="23"/>
              <w:jc w:val="center"/>
              <w:rPr>
                <w:rFonts w:hint="eastAsia" w:hAnsi="宋体" w:cs="宋体"/>
                <w:color w:val="auto"/>
                <w:sz w:val="22"/>
                <w:szCs w:val="22"/>
                <w:highlight w:val="none"/>
              </w:rPr>
            </w:pPr>
            <w:r>
              <w:rPr>
                <w:rFonts w:hint="eastAsia" w:hAnsi="宋体" w:cs="宋体"/>
                <w:color w:val="auto"/>
                <w:sz w:val="22"/>
                <w:szCs w:val="22"/>
                <w:highlight w:val="none"/>
              </w:rPr>
              <w:t>投标保证金</w:t>
            </w:r>
          </w:p>
        </w:tc>
        <w:tc>
          <w:tcPr>
            <w:tcW w:w="7922" w:type="dxa"/>
            <w:vAlign w:val="center"/>
          </w:tcPr>
          <w:p w14:paraId="1B96B913">
            <w:pPr>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1.投标人须缴纳金额为人民币</w:t>
            </w:r>
            <w:r>
              <w:rPr>
                <w:rFonts w:hint="eastAsia" w:ascii="宋体" w:hAnsi="宋体" w:cs="宋体"/>
                <w:color w:val="auto"/>
                <w:kern w:val="0"/>
                <w:sz w:val="22"/>
                <w:szCs w:val="22"/>
                <w:highlight w:val="none"/>
                <w:u w:val="single"/>
              </w:rPr>
              <w:t>贰万元整（¥20000.00元）</w:t>
            </w:r>
            <w:r>
              <w:rPr>
                <w:rFonts w:hint="eastAsia" w:ascii="宋体" w:hAnsi="宋体" w:cs="宋体"/>
                <w:color w:val="auto"/>
                <w:kern w:val="0"/>
                <w:sz w:val="22"/>
                <w:szCs w:val="22"/>
                <w:highlight w:val="none"/>
              </w:rPr>
              <w:t>的投标保证。联合体投标的，由联合体牵头人缴纳。</w:t>
            </w:r>
          </w:p>
          <w:p w14:paraId="0046BC70">
            <w:pPr>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2.投标保证的形式包括投标保证金、投标保证担保、投标保证保险三种，由投标人自主选择。</w:t>
            </w:r>
          </w:p>
          <w:p w14:paraId="34B7C072">
            <w:pPr>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085EB241">
            <w:pPr>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33E92B80">
            <w:pPr>
              <w:wordWrap w:val="0"/>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133696B5">
            <w:pPr>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55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1225775">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25</w:t>
            </w:r>
          </w:p>
        </w:tc>
        <w:tc>
          <w:tcPr>
            <w:tcW w:w="1699" w:type="dxa"/>
            <w:vAlign w:val="center"/>
          </w:tcPr>
          <w:p w14:paraId="0D81EB4A">
            <w:pPr>
              <w:pStyle w:val="23"/>
              <w:jc w:val="center"/>
              <w:rPr>
                <w:rFonts w:hint="eastAsia" w:hAnsi="宋体" w:cs="宋体"/>
                <w:color w:val="auto"/>
                <w:sz w:val="22"/>
                <w:szCs w:val="22"/>
                <w:highlight w:val="none"/>
              </w:rPr>
            </w:pPr>
            <w:r>
              <w:rPr>
                <w:rFonts w:hint="eastAsia" w:hAnsi="宋体" w:cs="宋体"/>
                <w:color w:val="auto"/>
                <w:sz w:val="22"/>
                <w:szCs w:val="22"/>
                <w:highlight w:val="none"/>
              </w:rPr>
              <w:t>合同价款支付</w:t>
            </w:r>
          </w:p>
        </w:tc>
        <w:tc>
          <w:tcPr>
            <w:tcW w:w="7922" w:type="dxa"/>
            <w:vAlign w:val="center"/>
          </w:tcPr>
          <w:p w14:paraId="4C2C29CF">
            <w:pPr>
              <w:pStyle w:val="23"/>
              <w:ind w:firstLine="220" w:firstLineChars="100"/>
              <w:rPr>
                <w:rFonts w:hint="eastAsia" w:hAnsi="宋体" w:cs="宋体"/>
                <w:color w:val="auto"/>
                <w:sz w:val="22"/>
                <w:szCs w:val="22"/>
                <w:highlight w:val="none"/>
              </w:rPr>
            </w:pPr>
            <w:r>
              <w:rPr>
                <w:rFonts w:hint="eastAsia" w:hAnsi="宋体" w:cs="宋体"/>
                <w:color w:val="auto"/>
                <w:sz w:val="22"/>
                <w:szCs w:val="22"/>
                <w:highlight w:val="none"/>
              </w:rPr>
              <w:t>详见本招标文件第二章 拟签订合同的主要条款。</w:t>
            </w:r>
          </w:p>
        </w:tc>
      </w:tr>
      <w:tr w14:paraId="7B9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738" w:type="dxa"/>
            <w:vAlign w:val="center"/>
          </w:tcPr>
          <w:p w14:paraId="7C546D73">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26</w:t>
            </w:r>
          </w:p>
        </w:tc>
        <w:tc>
          <w:tcPr>
            <w:tcW w:w="1699" w:type="dxa"/>
            <w:vAlign w:val="center"/>
          </w:tcPr>
          <w:p w14:paraId="4DF7CB9D">
            <w:pPr>
              <w:pStyle w:val="23"/>
              <w:jc w:val="center"/>
              <w:rPr>
                <w:rFonts w:hint="eastAsia" w:hAnsi="宋体" w:cs="宋体"/>
                <w:color w:val="auto"/>
                <w:sz w:val="22"/>
                <w:szCs w:val="22"/>
                <w:highlight w:val="none"/>
              </w:rPr>
            </w:pPr>
            <w:r>
              <w:rPr>
                <w:rFonts w:hint="eastAsia" w:hAnsi="宋体" w:cs="宋体"/>
                <w:color w:val="auto"/>
                <w:sz w:val="22"/>
                <w:szCs w:val="22"/>
                <w:highlight w:val="none"/>
              </w:rPr>
              <w:t>招标代理服务费</w:t>
            </w:r>
          </w:p>
        </w:tc>
        <w:tc>
          <w:tcPr>
            <w:tcW w:w="7922" w:type="dxa"/>
            <w:vAlign w:val="center"/>
          </w:tcPr>
          <w:p w14:paraId="364B232C">
            <w:pPr>
              <w:snapToGrid w:val="0"/>
              <w:spacing w:line="400" w:lineRule="exact"/>
              <w:ind w:firstLine="210" w:firstLineChars="100"/>
              <w:rPr>
                <w:rFonts w:hint="eastAsia" w:ascii="宋体" w:hAnsi="宋体" w:cs="宋体"/>
                <w:color w:val="auto"/>
                <w:sz w:val="22"/>
                <w:szCs w:val="22"/>
                <w:highlight w:val="none"/>
              </w:rPr>
            </w:pPr>
            <w:r>
              <w:rPr>
                <w:rFonts w:hint="eastAsia" w:asciiTheme="minorEastAsia" w:hAnsiTheme="minorEastAsia" w:eastAsiaTheme="minorEastAsia" w:cstheme="minorEastAsia"/>
                <w:snapToGrid w:val="0"/>
                <w:color w:val="auto"/>
                <w:kern w:val="0"/>
                <w:szCs w:val="21"/>
                <w:highlight w:val="none"/>
              </w:rPr>
              <w:t>本工程的招标代理费由中标人支付，该费用不再另行报价，由投标人在投标报价时综合考虑在内。中标人须向招标代理机构一次性支付（招标代理服务费：根据《关于印发的通知》（计价格[2002]1980号）计算服务费用金额，并以工程中标价来计算服务费用，落实40%下浮率，服务费用包含所有费用，具体以签订的合同为准。</w:t>
            </w:r>
          </w:p>
        </w:tc>
      </w:tr>
      <w:tr w14:paraId="1735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38" w:type="dxa"/>
            <w:vAlign w:val="center"/>
          </w:tcPr>
          <w:p w14:paraId="099326F1">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27</w:t>
            </w:r>
          </w:p>
        </w:tc>
        <w:tc>
          <w:tcPr>
            <w:tcW w:w="1699" w:type="dxa"/>
            <w:vAlign w:val="center"/>
          </w:tcPr>
          <w:p w14:paraId="6D49A3F8">
            <w:pPr>
              <w:pStyle w:val="23"/>
              <w:ind w:firstLine="220" w:firstLineChars="100"/>
              <w:jc w:val="center"/>
              <w:rPr>
                <w:rFonts w:hint="eastAsia" w:hAnsi="宋体" w:cs="宋体"/>
                <w:color w:val="auto"/>
                <w:sz w:val="22"/>
                <w:szCs w:val="22"/>
                <w:highlight w:val="none"/>
              </w:rPr>
            </w:pPr>
            <w:r>
              <w:rPr>
                <w:rFonts w:hint="eastAsia" w:hAnsi="宋体" w:cs="宋体"/>
                <w:color w:val="auto"/>
                <w:sz w:val="22"/>
                <w:szCs w:val="22"/>
                <w:highlight w:val="none"/>
              </w:rPr>
              <w:t>招标人</w:t>
            </w:r>
          </w:p>
          <w:p w14:paraId="3D2458AE">
            <w:pPr>
              <w:pStyle w:val="23"/>
              <w:ind w:firstLine="220" w:firstLineChars="100"/>
              <w:jc w:val="center"/>
              <w:rPr>
                <w:rFonts w:hint="eastAsia" w:hAnsi="宋体" w:cs="宋体"/>
                <w:color w:val="auto"/>
                <w:sz w:val="22"/>
                <w:szCs w:val="22"/>
                <w:highlight w:val="none"/>
              </w:rPr>
            </w:pPr>
            <w:r>
              <w:rPr>
                <w:rFonts w:hint="eastAsia" w:hAnsi="宋体" w:cs="宋体"/>
                <w:color w:val="auto"/>
                <w:sz w:val="22"/>
                <w:szCs w:val="22"/>
                <w:highlight w:val="none"/>
              </w:rPr>
              <w:t>联系方法</w:t>
            </w:r>
          </w:p>
        </w:tc>
        <w:tc>
          <w:tcPr>
            <w:tcW w:w="7922" w:type="dxa"/>
            <w:vAlign w:val="center"/>
          </w:tcPr>
          <w:p w14:paraId="366AE128">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单位名称：仁化县丹霞旅游经济开发试验区管理委员会</w:t>
            </w:r>
          </w:p>
          <w:p w14:paraId="3D4C7C1F">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办公地址：仁化县周田镇新庄工业园</w:t>
            </w:r>
          </w:p>
          <w:p w14:paraId="3A427AC4">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联系人（部门）：黄工</w:t>
            </w:r>
          </w:p>
          <w:p w14:paraId="236C9250">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联系电话：0751-6422238</w:t>
            </w:r>
          </w:p>
        </w:tc>
      </w:tr>
      <w:tr w14:paraId="37B1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38" w:type="dxa"/>
            <w:vAlign w:val="center"/>
          </w:tcPr>
          <w:p w14:paraId="0597F6E9">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28</w:t>
            </w:r>
          </w:p>
        </w:tc>
        <w:tc>
          <w:tcPr>
            <w:tcW w:w="1699" w:type="dxa"/>
            <w:vAlign w:val="center"/>
          </w:tcPr>
          <w:p w14:paraId="31E7EE7C">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招标代理机构</w:t>
            </w:r>
          </w:p>
          <w:p w14:paraId="29B4DA79">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联系方法</w:t>
            </w:r>
          </w:p>
        </w:tc>
        <w:tc>
          <w:tcPr>
            <w:tcW w:w="7922" w:type="dxa"/>
            <w:vAlign w:val="center"/>
          </w:tcPr>
          <w:p w14:paraId="1A2E1C1E">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单位名称：成致项目管理有限公司</w:t>
            </w:r>
          </w:p>
          <w:p w14:paraId="75F95B4D">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办公地址：韶关市浈江区五里亭良村商贸城E栋6楼602</w:t>
            </w:r>
          </w:p>
          <w:p w14:paraId="7A307FD9">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联系人（部门）：梁工</w:t>
            </w:r>
          </w:p>
          <w:p w14:paraId="31A590CF">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联系电话：0751-8830298</w:t>
            </w:r>
          </w:p>
        </w:tc>
      </w:tr>
      <w:tr w14:paraId="341D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738" w:type="dxa"/>
            <w:vAlign w:val="center"/>
          </w:tcPr>
          <w:p w14:paraId="2069C6B5">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29</w:t>
            </w:r>
          </w:p>
        </w:tc>
        <w:tc>
          <w:tcPr>
            <w:tcW w:w="1699" w:type="dxa"/>
            <w:vAlign w:val="center"/>
          </w:tcPr>
          <w:p w14:paraId="14F8D6D0">
            <w:pPr>
              <w:widowControl/>
              <w:spacing w:line="360" w:lineRule="auto"/>
              <w:jc w:val="center"/>
              <w:rPr>
                <w:rFonts w:hint="eastAsia" w:ascii="宋体" w:hAnsi="宋体" w:cs="宋体"/>
                <w:bCs/>
                <w:color w:val="auto"/>
                <w:kern w:val="0"/>
                <w:sz w:val="22"/>
                <w:szCs w:val="22"/>
                <w:highlight w:val="none"/>
                <w:lang w:bidi="ar"/>
              </w:rPr>
            </w:pPr>
            <w:r>
              <w:rPr>
                <w:rFonts w:hint="eastAsia" w:ascii="宋体" w:hAnsi="宋体" w:cs="宋体"/>
                <w:bCs/>
                <w:color w:val="auto"/>
                <w:kern w:val="0"/>
                <w:sz w:val="22"/>
                <w:szCs w:val="22"/>
                <w:highlight w:val="none"/>
                <w:lang w:bidi="ar"/>
              </w:rPr>
              <w:t>交易场所</w:t>
            </w:r>
          </w:p>
          <w:p w14:paraId="2955A0DC">
            <w:pPr>
              <w:widowControl/>
              <w:spacing w:line="360" w:lineRule="auto"/>
              <w:jc w:val="center"/>
              <w:rPr>
                <w:rFonts w:hint="eastAsia" w:ascii="宋体" w:hAnsi="宋体" w:cs="宋体"/>
                <w:color w:val="auto"/>
                <w:sz w:val="22"/>
                <w:szCs w:val="22"/>
                <w:highlight w:val="none"/>
              </w:rPr>
            </w:pPr>
            <w:r>
              <w:rPr>
                <w:rFonts w:hint="eastAsia" w:ascii="宋体" w:hAnsi="宋体" w:cs="宋体"/>
                <w:bCs/>
                <w:color w:val="auto"/>
                <w:kern w:val="0"/>
                <w:sz w:val="22"/>
                <w:szCs w:val="22"/>
                <w:highlight w:val="none"/>
                <w:lang w:bidi="ar"/>
              </w:rPr>
              <w:t>联系方法</w:t>
            </w:r>
          </w:p>
        </w:tc>
        <w:tc>
          <w:tcPr>
            <w:tcW w:w="7922" w:type="dxa"/>
            <w:vAlign w:val="center"/>
          </w:tcPr>
          <w:p w14:paraId="5508F3B5">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单位名称： 韶关市公共资源交易中心仁化分中心</w:t>
            </w:r>
          </w:p>
          <w:p w14:paraId="537A5426">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 仁化县丹霞大道228号12楼韶关市公共资源交易中心仁化分中心</w:t>
            </w:r>
          </w:p>
          <w:p w14:paraId="16FB1724">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联系人（部门）：吴工</w:t>
            </w:r>
          </w:p>
          <w:p w14:paraId="39B371AE">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联系电话：0751—6354032</w:t>
            </w:r>
          </w:p>
        </w:tc>
      </w:tr>
      <w:tr w14:paraId="267D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81BC619">
            <w:pPr>
              <w:pStyle w:val="23"/>
              <w:spacing w:line="400" w:lineRule="exact"/>
              <w:rPr>
                <w:rFonts w:hint="eastAsia" w:hAnsi="宋体" w:cs="宋体"/>
                <w:color w:val="auto"/>
                <w:sz w:val="22"/>
                <w:szCs w:val="22"/>
                <w:highlight w:val="none"/>
              </w:rPr>
            </w:pPr>
            <w:r>
              <w:rPr>
                <w:rFonts w:hint="eastAsia" w:hAnsi="宋体" w:cs="宋体"/>
                <w:color w:val="auto"/>
                <w:sz w:val="22"/>
                <w:szCs w:val="22"/>
                <w:highlight w:val="none"/>
              </w:rPr>
              <w:t>30</w:t>
            </w:r>
          </w:p>
        </w:tc>
        <w:tc>
          <w:tcPr>
            <w:tcW w:w="1699" w:type="dxa"/>
            <w:vAlign w:val="center"/>
          </w:tcPr>
          <w:p w14:paraId="3C8B984E">
            <w:pPr>
              <w:widowControl/>
              <w:spacing w:line="360" w:lineRule="auto"/>
              <w:jc w:val="center"/>
              <w:rPr>
                <w:rFonts w:hint="eastAsia" w:ascii="宋体" w:hAnsi="宋体" w:cs="宋体"/>
                <w:bCs/>
                <w:color w:val="auto"/>
                <w:kern w:val="0"/>
                <w:sz w:val="22"/>
                <w:szCs w:val="22"/>
                <w:highlight w:val="none"/>
                <w:lang w:bidi="ar"/>
              </w:rPr>
            </w:pPr>
            <w:r>
              <w:rPr>
                <w:rFonts w:hint="eastAsia" w:ascii="宋体" w:hAnsi="宋体" w:cs="宋体"/>
                <w:bCs/>
                <w:color w:val="auto"/>
                <w:kern w:val="0"/>
                <w:sz w:val="22"/>
                <w:szCs w:val="22"/>
                <w:highlight w:val="none"/>
                <w:lang w:bidi="ar"/>
              </w:rPr>
              <w:t>行政监督部门</w:t>
            </w:r>
          </w:p>
          <w:p w14:paraId="525EBF67">
            <w:pPr>
              <w:widowControl/>
              <w:spacing w:line="360" w:lineRule="auto"/>
              <w:jc w:val="center"/>
              <w:rPr>
                <w:rFonts w:hint="eastAsia" w:ascii="宋体" w:hAnsi="宋体" w:cs="宋体"/>
                <w:color w:val="auto"/>
                <w:sz w:val="22"/>
                <w:szCs w:val="22"/>
                <w:highlight w:val="none"/>
              </w:rPr>
            </w:pPr>
            <w:r>
              <w:rPr>
                <w:rFonts w:hint="eastAsia" w:ascii="宋体" w:hAnsi="宋体" w:cs="宋体"/>
                <w:bCs/>
                <w:color w:val="auto"/>
                <w:kern w:val="0"/>
                <w:sz w:val="22"/>
                <w:szCs w:val="22"/>
                <w:highlight w:val="none"/>
                <w:lang w:bidi="ar"/>
              </w:rPr>
              <w:t>联系方式</w:t>
            </w:r>
          </w:p>
        </w:tc>
        <w:tc>
          <w:tcPr>
            <w:tcW w:w="7922" w:type="dxa"/>
            <w:vAlign w:val="center"/>
          </w:tcPr>
          <w:p w14:paraId="17E1AECF">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单位名称：仁化县住房和城乡建设管理局</w:t>
            </w:r>
          </w:p>
          <w:p w14:paraId="47FBED40">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办公地址：仁化县丹霞大道228号仁化县行政服务中心6楼</w:t>
            </w:r>
          </w:p>
          <w:p w14:paraId="26C996FB">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联系人（部门）：建筑业监督管理股</w:t>
            </w:r>
          </w:p>
          <w:p w14:paraId="1EB1CFC9">
            <w:pPr>
              <w:pStyle w:val="24"/>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联系电话：0751-6354573 </w:t>
            </w:r>
          </w:p>
        </w:tc>
      </w:tr>
      <w:bookmarkEnd w:id="9"/>
    </w:tbl>
    <w:p w14:paraId="2839C8ED">
      <w:pPr>
        <w:wordWrap w:val="0"/>
        <w:snapToGrid w:val="0"/>
        <w:spacing w:before="260" w:after="260"/>
        <w:rPr>
          <w:rFonts w:hint="eastAsia" w:ascii="宋体" w:hAnsi="宋体" w:cs="宋体"/>
          <w:b/>
          <w:snapToGrid w:val="0"/>
          <w:color w:val="auto"/>
          <w:sz w:val="24"/>
          <w:highlight w:val="none"/>
        </w:rPr>
      </w:pPr>
      <w:bookmarkStart w:id="11" w:name="_Toc3715"/>
      <w:bookmarkStart w:id="12" w:name="_Toc15635"/>
    </w:p>
    <w:p w14:paraId="4BDDFFF1">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1EB0A435">
      <w:pPr>
        <w:pStyle w:val="3"/>
        <w:wordWrap w:val="0"/>
        <w:autoSpaceDE/>
        <w:autoSpaceDN/>
        <w:snapToGrid w:val="0"/>
        <w:spacing w:before="260" w:after="260"/>
        <w:jc w:val="both"/>
        <w:rPr>
          <w:rFonts w:hint="eastAsia" w:ascii="宋体" w:hAnsi="宋体" w:cs="宋体"/>
          <w:b/>
          <w:snapToGrid w:val="0"/>
          <w:color w:val="auto"/>
          <w:sz w:val="24"/>
          <w:highlight w:val="none"/>
        </w:rPr>
      </w:pPr>
      <w:bookmarkStart w:id="13" w:name="_Toc31823"/>
      <w:r>
        <w:rPr>
          <w:rFonts w:hint="eastAsia" w:ascii="宋体" w:hAnsi="宋体" w:cs="宋体"/>
          <w:b/>
          <w:snapToGrid w:val="0"/>
          <w:color w:val="auto"/>
          <w:sz w:val="24"/>
          <w:highlight w:val="none"/>
        </w:rPr>
        <w:t>第二节   重要事项时间地点一览表</w:t>
      </w:r>
      <w:bookmarkEnd w:id="11"/>
      <w:bookmarkEnd w:id="12"/>
      <w:bookmarkEnd w:id="13"/>
    </w:p>
    <w:tbl>
      <w:tblPr>
        <w:tblStyle w:val="15"/>
        <w:tblW w:w="979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9"/>
        <w:gridCol w:w="1860"/>
        <w:gridCol w:w="7509"/>
      </w:tblGrid>
      <w:tr w14:paraId="58889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79984F0E">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1860" w:type="dxa"/>
            <w:tcBorders>
              <w:top w:val="single" w:color="080000" w:sz="4" w:space="0"/>
              <w:left w:val="single" w:color="080000" w:sz="4" w:space="0"/>
              <w:bottom w:val="single" w:color="080000" w:sz="4" w:space="0"/>
              <w:right w:val="single" w:color="080000" w:sz="4" w:space="0"/>
            </w:tcBorders>
            <w:vAlign w:val="center"/>
          </w:tcPr>
          <w:p w14:paraId="631DC911">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招标公告</w:t>
            </w:r>
          </w:p>
          <w:p w14:paraId="08B76A1F">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发布时间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F6ECBAC">
            <w:pPr>
              <w:pStyle w:val="24"/>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8</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17</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00 </w:t>
            </w:r>
            <w:r>
              <w:rPr>
                <w:rFonts w:hint="eastAsia" w:ascii="宋体" w:hAnsi="宋体" w:cs="宋体"/>
                <w:snapToGrid w:val="0"/>
                <w:color w:val="auto"/>
                <w:kern w:val="0"/>
                <w:sz w:val="22"/>
                <w:szCs w:val="22"/>
                <w:highlight w:val="none"/>
              </w:rPr>
              <w:t>分</w:t>
            </w:r>
          </w:p>
        </w:tc>
      </w:tr>
      <w:tr w14:paraId="52E9C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A15B053">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1860" w:type="dxa"/>
            <w:tcBorders>
              <w:top w:val="single" w:color="080000" w:sz="4" w:space="0"/>
              <w:left w:val="single" w:color="080000" w:sz="4" w:space="0"/>
              <w:bottom w:val="single" w:color="080000" w:sz="4" w:space="0"/>
              <w:right w:val="single" w:color="080000" w:sz="4" w:space="0"/>
            </w:tcBorders>
            <w:vAlign w:val="center"/>
          </w:tcPr>
          <w:p w14:paraId="7D1A1067">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获取招标文</w:t>
            </w:r>
          </w:p>
          <w:p w14:paraId="6BF43EB8">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件截止时间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4170A10">
            <w:pPr>
              <w:pStyle w:val="24"/>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30</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0820C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E693908">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1860" w:type="dxa"/>
            <w:tcBorders>
              <w:top w:val="single" w:color="080000" w:sz="4" w:space="0"/>
              <w:left w:val="single" w:color="080000" w:sz="4" w:space="0"/>
              <w:bottom w:val="single" w:color="080000" w:sz="4" w:space="0"/>
              <w:right w:val="single" w:color="080000" w:sz="4" w:space="0"/>
            </w:tcBorders>
            <w:vAlign w:val="center"/>
          </w:tcPr>
          <w:p w14:paraId="55BDDA2C">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网上提问</w:t>
            </w:r>
          </w:p>
          <w:p w14:paraId="6F67A3F8">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60A6710">
            <w:pPr>
              <w:pStyle w:val="24"/>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20</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00</w:t>
            </w:r>
            <w:r>
              <w:rPr>
                <w:rFonts w:hint="eastAsia" w:ascii="宋体" w:hAnsi="宋体" w:cs="宋体"/>
                <w:snapToGrid w:val="0"/>
                <w:color w:val="auto"/>
                <w:kern w:val="0"/>
                <w:sz w:val="22"/>
                <w:szCs w:val="22"/>
                <w:highlight w:val="none"/>
              </w:rPr>
              <w:t>分</w:t>
            </w:r>
          </w:p>
        </w:tc>
      </w:tr>
      <w:tr w14:paraId="26CE9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CB1E733">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w:t>
            </w:r>
          </w:p>
        </w:tc>
        <w:tc>
          <w:tcPr>
            <w:tcW w:w="1860" w:type="dxa"/>
            <w:tcBorders>
              <w:top w:val="single" w:color="080000" w:sz="4" w:space="0"/>
              <w:left w:val="single" w:color="080000" w:sz="4" w:space="0"/>
              <w:bottom w:val="single" w:color="080000" w:sz="4" w:space="0"/>
              <w:right w:val="single" w:color="080000" w:sz="4" w:space="0"/>
            </w:tcBorders>
            <w:vAlign w:val="center"/>
          </w:tcPr>
          <w:p w14:paraId="7FFF8191">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网上答疑</w:t>
            </w:r>
          </w:p>
          <w:p w14:paraId="081A8334">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7C28082D">
            <w:pPr>
              <w:pStyle w:val="24"/>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20</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30</w:t>
            </w:r>
            <w:r>
              <w:rPr>
                <w:rFonts w:hint="eastAsia" w:ascii="宋体" w:hAnsi="宋体" w:cs="宋体"/>
                <w:snapToGrid w:val="0"/>
                <w:color w:val="auto"/>
                <w:kern w:val="0"/>
                <w:sz w:val="22"/>
                <w:szCs w:val="22"/>
                <w:highlight w:val="none"/>
              </w:rPr>
              <w:t>分至</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23</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00</w:t>
            </w:r>
            <w:r>
              <w:rPr>
                <w:rFonts w:hint="eastAsia" w:ascii="宋体" w:hAnsi="宋体" w:cs="宋体"/>
                <w:snapToGrid w:val="0"/>
                <w:color w:val="auto"/>
                <w:kern w:val="0"/>
                <w:sz w:val="22"/>
                <w:szCs w:val="22"/>
                <w:highlight w:val="none"/>
              </w:rPr>
              <w:t>分</w:t>
            </w:r>
          </w:p>
        </w:tc>
      </w:tr>
      <w:tr w14:paraId="5B410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0"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5FCCED12">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5</w:t>
            </w:r>
          </w:p>
        </w:tc>
        <w:tc>
          <w:tcPr>
            <w:tcW w:w="1860" w:type="dxa"/>
            <w:tcBorders>
              <w:top w:val="single" w:color="080000" w:sz="4" w:space="0"/>
              <w:left w:val="single" w:color="080000" w:sz="4" w:space="0"/>
              <w:bottom w:val="single" w:color="080000" w:sz="4" w:space="0"/>
              <w:right w:val="single" w:color="080000" w:sz="4" w:space="0"/>
            </w:tcBorders>
            <w:vAlign w:val="center"/>
          </w:tcPr>
          <w:p w14:paraId="53AFB27D">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投标保证缴</w:t>
            </w:r>
          </w:p>
          <w:p w14:paraId="165F5548">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纳截止时间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625765E6">
            <w:pPr>
              <w:pStyle w:val="24"/>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投标保证金到账截止时间：</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29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p w14:paraId="4DED11FA">
            <w:pPr>
              <w:pStyle w:val="24"/>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投标保证担保上传截止时间：</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29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p w14:paraId="1AD79377">
            <w:pPr>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投标保证保险投保截止时间：</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29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3E60CA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8ED59BF">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6</w:t>
            </w:r>
          </w:p>
        </w:tc>
        <w:tc>
          <w:tcPr>
            <w:tcW w:w="1860" w:type="dxa"/>
            <w:tcBorders>
              <w:top w:val="single" w:color="080000" w:sz="4" w:space="0"/>
              <w:left w:val="single" w:color="080000" w:sz="4" w:space="0"/>
              <w:bottom w:val="single" w:color="080000" w:sz="4" w:space="0"/>
              <w:right w:val="single" w:color="080000" w:sz="4" w:space="0"/>
            </w:tcBorders>
            <w:vAlign w:val="center"/>
          </w:tcPr>
          <w:p w14:paraId="7498E2E7">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电子投标</w:t>
            </w:r>
          </w:p>
          <w:p w14:paraId="2845B50D">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53F7464">
            <w:pPr>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30</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76CFF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4307AD">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7</w:t>
            </w:r>
          </w:p>
        </w:tc>
        <w:tc>
          <w:tcPr>
            <w:tcW w:w="1860" w:type="dxa"/>
            <w:tcBorders>
              <w:top w:val="single" w:color="080000" w:sz="4" w:space="0"/>
              <w:left w:val="single" w:color="080000" w:sz="4" w:space="0"/>
              <w:bottom w:val="single" w:color="080000" w:sz="4" w:space="0"/>
              <w:right w:val="single" w:color="080000" w:sz="4" w:space="0"/>
            </w:tcBorders>
            <w:vAlign w:val="center"/>
          </w:tcPr>
          <w:p w14:paraId="008A3B4A">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投标相关资料（如有）递交时间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52112547">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u w:val="single"/>
              </w:rPr>
              <w:t xml:space="preserve">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30</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00 </w:t>
            </w:r>
            <w:r>
              <w:rPr>
                <w:rFonts w:hint="eastAsia" w:ascii="宋体" w:hAnsi="宋体" w:cs="宋体"/>
                <w:snapToGrid w:val="0"/>
                <w:color w:val="auto"/>
                <w:kern w:val="0"/>
                <w:sz w:val="22"/>
                <w:szCs w:val="22"/>
                <w:highlight w:val="none"/>
              </w:rPr>
              <w:t>分至</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30</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6DE890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A0B2E0">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8</w:t>
            </w:r>
          </w:p>
        </w:tc>
        <w:tc>
          <w:tcPr>
            <w:tcW w:w="1860" w:type="dxa"/>
            <w:tcBorders>
              <w:top w:val="single" w:color="080000" w:sz="4" w:space="0"/>
              <w:left w:val="single" w:color="080000" w:sz="4" w:space="0"/>
              <w:bottom w:val="single" w:color="080000" w:sz="4" w:space="0"/>
              <w:right w:val="single" w:color="080000" w:sz="4" w:space="0"/>
            </w:tcBorders>
            <w:vAlign w:val="center"/>
          </w:tcPr>
          <w:p w14:paraId="09FB106C">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投标相关资料（如有）</w:t>
            </w:r>
            <w:r>
              <w:rPr>
                <w:rFonts w:hint="eastAsia" w:ascii="宋体" w:hAnsi="宋体" w:cs="宋体"/>
                <w:color w:val="auto"/>
                <w:sz w:val="22"/>
                <w:szCs w:val="22"/>
                <w:highlight w:val="none"/>
              </w:rPr>
              <w:t>递交地点</w:t>
            </w:r>
          </w:p>
        </w:tc>
        <w:tc>
          <w:tcPr>
            <w:tcW w:w="7509" w:type="dxa"/>
            <w:tcBorders>
              <w:top w:val="single" w:color="080000" w:sz="4" w:space="0"/>
              <w:left w:val="single" w:color="080000" w:sz="4" w:space="0"/>
              <w:bottom w:val="single" w:color="080000" w:sz="4" w:space="0"/>
              <w:right w:val="single" w:color="080000" w:sz="4" w:space="0"/>
            </w:tcBorders>
            <w:vAlign w:val="center"/>
          </w:tcPr>
          <w:p w14:paraId="7FB1B8ED">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递交场所：韶关市公共资源交易中心仁化分中心；</w:t>
            </w:r>
          </w:p>
          <w:p w14:paraId="6010570E">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地址：仁化县丹霞大道228号11楼韶关市公共资源交易中心仁化分中心。</w:t>
            </w:r>
          </w:p>
        </w:tc>
      </w:tr>
      <w:tr w14:paraId="544A8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E06C9DC">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9</w:t>
            </w:r>
          </w:p>
        </w:tc>
        <w:tc>
          <w:tcPr>
            <w:tcW w:w="1860" w:type="dxa"/>
            <w:tcBorders>
              <w:top w:val="single" w:color="080000" w:sz="4" w:space="0"/>
              <w:left w:val="single" w:color="080000" w:sz="4" w:space="0"/>
              <w:bottom w:val="single" w:color="080000" w:sz="4" w:space="0"/>
              <w:right w:val="single" w:color="080000" w:sz="4" w:space="0"/>
            </w:tcBorders>
            <w:vAlign w:val="center"/>
          </w:tcPr>
          <w:p w14:paraId="357AACCD">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3E4410EF">
            <w:pPr>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30</w:t>
            </w:r>
            <w:bookmarkStart w:id="385" w:name="_GoBack"/>
            <w:bookmarkEnd w:id="385"/>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0F7FB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3"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492553DC">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10</w:t>
            </w:r>
          </w:p>
        </w:tc>
        <w:tc>
          <w:tcPr>
            <w:tcW w:w="1860" w:type="dxa"/>
            <w:tcBorders>
              <w:top w:val="single" w:color="080000" w:sz="4" w:space="0"/>
              <w:left w:val="single" w:color="080000" w:sz="4" w:space="0"/>
              <w:bottom w:val="single" w:color="080000" w:sz="4" w:space="0"/>
              <w:right w:val="single" w:color="080000" w:sz="4" w:space="0"/>
            </w:tcBorders>
            <w:vAlign w:val="center"/>
          </w:tcPr>
          <w:p w14:paraId="380EFA43">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开标地点 </w:t>
            </w:r>
          </w:p>
        </w:tc>
        <w:tc>
          <w:tcPr>
            <w:tcW w:w="7509" w:type="dxa"/>
            <w:tcBorders>
              <w:top w:val="single" w:color="080000" w:sz="4" w:space="0"/>
              <w:left w:val="single" w:color="080000" w:sz="4" w:space="0"/>
              <w:bottom w:val="single" w:color="080000" w:sz="4" w:space="0"/>
              <w:right w:val="single" w:color="080000" w:sz="4" w:space="0"/>
            </w:tcBorders>
            <w:vAlign w:val="center"/>
          </w:tcPr>
          <w:p w14:paraId="31A39FED">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开标地点：韶关市公共资源交易中心仁化分中心；</w:t>
            </w:r>
          </w:p>
          <w:p w14:paraId="6D3B1ACA">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地址：仁化县丹霞大道228号11楼韶关市公共资源交易中心仁化分中心。</w:t>
            </w:r>
          </w:p>
        </w:tc>
      </w:tr>
      <w:tr w14:paraId="0E55C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4" w:hRule="exact"/>
          <w:jc w:val="center"/>
        </w:trPr>
        <w:tc>
          <w:tcPr>
            <w:tcW w:w="2289" w:type="dxa"/>
            <w:gridSpan w:val="2"/>
            <w:tcBorders>
              <w:top w:val="single" w:color="080000" w:sz="4" w:space="0"/>
              <w:left w:val="single" w:color="080000" w:sz="4" w:space="0"/>
              <w:bottom w:val="single" w:color="080000" w:sz="4" w:space="0"/>
              <w:right w:val="single" w:color="080000" w:sz="4" w:space="0"/>
            </w:tcBorders>
            <w:vAlign w:val="center"/>
          </w:tcPr>
          <w:p w14:paraId="3114AE47">
            <w:pPr>
              <w:pStyle w:val="24"/>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备注</w:t>
            </w:r>
          </w:p>
        </w:tc>
        <w:tc>
          <w:tcPr>
            <w:tcW w:w="7509" w:type="dxa"/>
            <w:tcBorders>
              <w:top w:val="single" w:color="080000" w:sz="4" w:space="0"/>
              <w:left w:val="single" w:color="080000" w:sz="4" w:space="0"/>
              <w:bottom w:val="single" w:color="080000" w:sz="4" w:space="0"/>
              <w:right w:val="single" w:color="080000" w:sz="4" w:space="0"/>
            </w:tcBorders>
            <w:vAlign w:val="center"/>
          </w:tcPr>
          <w:p w14:paraId="016EAFAA">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BA844DE">
      <w:pPr>
        <w:rPr>
          <w:rFonts w:hint="eastAsia" w:ascii="宋体" w:hAnsi="宋体" w:cs="宋体"/>
          <w:color w:val="auto"/>
          <w:sz w:val="24"/>
          <w:highlight w:val="none"/>
        </w:rPr>
      </w:pPr>
    </w:p>
    <w:p w14:paraId="5166BE85">
      <w:pPr>
        <w:rPr>
          <w:rFonts w:hint="eastAsia" w:ascii="宋体" w:hAnsi="宋体" w:cs="宋体"/>
          <w:color w:val="auto"/>
          <w:sz w:val="24"/>
          <w:highlight w:val="none"/>
        </w:rPr>
      </w:pPr>
    </w:p>
    <w:p w14:paraId="6DA7C98B">
      <w:pPr>
        <w:wordWrap w:val="0"/>
        <w:snapToGrid w:val="0"/>
        <w:spacing w:before="260" w:after="260"/>
        <w:rPr>
          <w:rFonts w:hint="eastAsia" w:ascii="宋体" w:hAnsi="宋体" w:cs="宋体"/>
          <w:b/>
          <w:snapToGrid w:val="0"/>
          <w:color w:val="auto"/>
          <w:sz w:val="24"/>
          <w:highlight w:val="none"/>
        </w:rPr>
      </w:pPr>
      <w:bookmarkStart w:id="14" w:name="_Hlt69669159"/>
      <w:bookmarkEnd w:id="14"/>
      <w:bookmarkStart w:id="15" w:name="_Hlt69698705"/>
      <w:bookmarkStart w:id="16" w:name="_Toc568"/>
      <w:bookmarkStart w:id="17" w:name="_Hlt69698754"/>
    </w:p>
    <w:p w14:paraId="58EBDE1E">
      <w:pPr>
        <w:pStyle w:val="3"/>
        <w:wordWrap w:val="0"/>
        <w:autoSpaceDE/>
        <w:autoSpaceDN/>
        <w:snapToGrid w:val="0"/>
        <w:spacing w:before="260" w:after="260"/>
        <w:jc w:val="both"/>
        <w:rPr>
          <w:rFonts w:hint="eastAsia" w:ascii="宋体" w:hAnsi="宋体" w:cs="宋体"/>
          <w:b/>
          <w:snapToGrid w:val="0"/>
          <w:color w:val="auto"/>
          <w:sz w:val="24"/>
          <w:highlight w:val="none"/>
        </w:rPr>
      </w:pPr>
      <w:bookmarkStart w:id="18" w:name="_Toc24003"/>
      <w:r>
        <w:rPr>
          <w:rFonts w:hint="eastAsia" w:ascii="宋体" w:hAnsi="宋体" w:cs="宋体"/>
          <w:b/>
          <w:snapToGrid w:val="0"/>
          <w:color w:val="auto"/>
          <w:sz w:val="24"/>
          <w:highlight w:val="none"/>
        </w:rPr>
        <w:t>第三节   投标人须知正文</w:t>
      </w:r>
      <w:bookmarkEnd w:id="18"/>
    </w:p>
    <w:bookmarkEnd w:id="15"/>
    <w:bookmarkEnd w:id="16"/>
    <w:bookmarkEnd w:id="17"/>
    <w:p w14:paraId="6BB51237">
      <w:pPr>
        <w:wordWrap w:val="0"/>
        <w:adjustRightInd w:val="0"/>
        <w:snapToGrid w:val="0"/>
        <w:spacing w:line="440" w:lineRule="exact"/>
        <w:ind w:firstLine="480" w:firstLineChars="200"/>
        <w:rPr>
          <w:snapToGrid w:val="0"/>
          <w:color w:val="auto"/>
          <w:kern w:val="0"/>
          <w:sz w:val="24"/>
          <w:szCs w:val="22"/>
          <w:highlight w:val="none"/>
        </w:rPr>
      </w:pPr>
      <w:bookmarkStart w:id="19" w:name="_Hlt87948285"/>
      <w:bookmarkEnd w:id="19"/>
      <w:bookmarkStart w:id="20" w:name="_Hlt119991399"/>
      <w:bookmarkEnd w:id="20"/>
      <w:bookmarkStart w:id="21" w:name="_Hlt109358474"/>
      <w:bookmarkEnd w:id="21"/>
      <w:bookmarkStart w:id="22" w:name="_Hlt74474735"/>
      <w:bookmarkEnd w:id="22"/>
      <w:bookmarkStart w:id="23" w:name="_Hlt78795222"/>
      <w:bookmarkEnd w:id="23"/>
      <w:bookmarkStart w:id="24" w:name="_Toc7147"/>
      <w:bookmarkStart w:id="25" w:name="_Toc10343"/>
      <w:r>
        <w:rPr>
          <w:rFonts w:hint="eastAsia" w:hAnsi="宋体" w:cs="宋体"/>
          <w:color w:val="auto"/>
          <w:kern w:val="0"/>
          <w:sz w:val="24"/>
          <w:szCs w:val="32"/>
          <w:highlight w:val="none"/>
          <w:u w:val="single"/>
        </w:rPr>
        <w:t>仁化产业转移工业园区基础建设（二期）</w:t>
      </w:r>
      <w:r>
        <w:rPr>
          <w:rFonts w:hint="eastAsia" w:hAnsi="宋体" w:cs="宋体"/>
          <w:color w:val="auto"/>
          <w:kern w:val="0"/>
          <w:sz w:val="24"/>
          <w:szCs w:val="32"/>
          <w:highlight w:val="none"/>
        </w:rPr>
        <w:t>业</w:t>
      </w:r>
      <w:r>
        <w:rPr>
          <w:rFonts w:hint="eastAsia" w:hAnsi="宋体" w:cs="宋体"/>
          <w:snapToGrid w:val="0"/>
          <w:color w:val="auto"/>
          <w:kern w:val="0"/>
          <w:sz w:val="24"/>
          <w:szCs w:val="32"/>
          <w:highlight w:val="none"/>
        </w:rPr>
        <w:t>经</w:t>
      </w:r>
      <w:r>
        <w:rPr>
          <w:rFonts w:hint="eastAsia" w:hAnsi="宋体" w:cs="宋体"/>
          <w:color w:val="auto"/>
          <w:kern w:val="0"/>
          <w:sz w:val="24"/>
          <w:szCs w:val="32"/>
          <w:highlight w:val="none"/>
          <w:u w:val="single"/>
        </w:rPr>
        <w:t>仁化县发展和改革局以《仁化县发展和改革局关于仁化产业转移工业园区基础建设（二期）项目变更的复函》（仁发改投审〔2022〕108号）</w:t>
      </w:r>
      <w:r>
        <w:rPr>
          <w:rFonts w:hint="eastAsia" w:hAnsi="宋体" w:cs="宋体"/>
          <w:snapToGrid w:val="0"/>
          <w:color w:val="auto"/>
          <w:kern w:val="0"/>
          <w:sz w:val="24"/>
          <w:szCs w:val="32"/>
          <w:highlight w:val="none"/>
        </w:rPr>
        <w:t>批准建设，项目代码为</w:t>
      </w:r>
      <w:r>
        <w:rPr>
          <w:rFonts w:hint="eastAsia" w:hAnsi="宋体" w:cs="宋体"/>
          <w:snapToGrid w:val="0"/>
          <w:color w:val="auto"/>
          <w:kern w:val="0"/>
          <w:sz w:val="24"/>
          <w:szCs w:val="32"/>
          <w:highlight w:val="none"/>
          <w:u w:val="single"/>
        </w:rPr>
        <w:t>2208-440224-04-01-823973</w:t>
      </w:r>
      <w:r>
        <w:rPr>
          <w:rFonts w:hint="eastAsia" w:hAnsi="宋体" w:cs="宋体"/>
          <w:snapToGrid w:val="0"/>
          <w:color w:val="auto"/>
          <w:kern w:val="0"/>
          <w:sz w:val="24"/>
          <w:szCs w:val="32"/>
          <w:highlight w:val="none"/>
        </w:rPr>
        <w:t>。本工程项目业主为</w:t>
      </w:r>
      <w:r>
        <w:rPr>
          <w:rFonts w:hint="eastAsia" w:hAnsi="宋体" w:cs="宋体"/>
          <w:color w:val="auto"/>
          <w:kern w:val="0"/>
          <w:sz w:val="24"/>
          <w:szCs w:val="32"/>
          <w:highlight w:val="none"/>
          <w:u w:val="single"/>
        </w:rPr>
        <w:t>仁化县丹霞旅游经济开发试验区管理委员会</w:t>
      </w:r>
      <w:r>
        <w:rPr>
          <w:rFonts w:hint="eastAsia" w:hAnsi="宋体" w:cs="宋体"/>
          <w:snapToGrid w:val="0"/>
          <w:color w:val="auto"/>
          <w:kern w:val="0"/>
          <w:sz w:val="24"/>
          <w:szCs w:val="32"/>
          <w:highlight w:val="none"/>
        </w:rPr>
        <w:t>，建设资金来自</w:t>
      </w:r>
      <w:r>
        <w:rPr>
          <w:rFonts w:hint="eastAsia" w:hAnsi="宋体" w:cs="宋体"/>
          <w:snapToGrid w:val="0"/>
          <w:color w:val="auto"/>
          <w:kern w:val="0"/>
          <w:sz w:val="24"/>
          <w:szCs w:val="32"/>
          <w:highlight w:val="none"/>
          <w:u w:val="single"/>
        </w:rPr>
        <w:t>上级资金和县财政资金安排解决，100%</w:t>
      </w:r>
      <w:r>
        <w:rPr>
          <w:rFonts w:hint="eastAsia" w:hAnsi="宋体" w:cs="宋体"/>
          <w:snapToGrid w:val="0"/>
          <w:color w:val="auto"/>
          <w:kern w:val="0"/>
          <w:sz w:val="24"/>
          <w:szCs w:val="32"/>
          <w:highlight w:val="none"/>
        </w:rPr>
        <w:t>，招标人为</w:t>
      </w:r>
      <w:r>
        <w:rPr>
          <w:rFonts w:hint="eastAsia" w:hAnsi="宋体" w:cs="宋体"/>
          <w:color w:val="auto"/>
          <w:kern w:val="0"/>
          <w:sz w:val="24"/>
          <w:szCs w:val="32"/>
          <w:highlight w:val="none"/>
          <w:u w:val="single"/>
        </w:rPr>
        <w:t>仁化县丹霞旅游经济开发试验区管理委员会</w:t>
      </w:r>
      <w:r>
        <w:rPr>
          <w:rFonts w:hint="eastAsia" w:hAnsi="宋体" w:cs="宋体"/>
          <w:snapToGrid w:val="0"/>
          <w:color w:val="auto"/>
          <w:kern w:val="0"/>
          <w:sz w:val="24"/>
          <w:szCs w:val="32"/>
          <w:highlight w:val="none"/>
        </w:rPr>
        <w:t>，招标代理机构为</w:t>
      </w:r>
      <w:r>
        <w:rPr>
          <w:rFonts w:hint="eastAsia" w:hAnsi="宋体" w:cs="宋体"/>
          <w:color w:val="auto"/>
          <w:kern w:val="0"/>
          <w:sz w:val="24"/>
          <w:szCs w:val="32"/>
          <w:highlight w:val="none"/>
          <w:u w:val="single"/>
        </w:rPr>
        <w:t>成致项目管理有限公司</w:t>
      </w:r>
      <w:r>
        <w:rPr>
          <w:rFonts w:hint="eastAsia" w:hAnsi="宋体" w:cs="宋体"/>
          <w:snapToGrid w:val="0"/>
          <w:color w:val="auto"/>
          <w:kern w:val="0"/>
          <w:sz w:val="24"/>
          <w:szCs w:val="32"/>
          <w:highlight w:val="none"/>
        </w:rPr>
        <w:t>。</w:t>
      </w:r>
      <w:r>
        <w:rPr>
          <w:rFonts w:hint="eastAsia" w:hAnsi="宋体" w:cs="宋体"/>
          <w:color w:val="auto"/>
          <w:sz w:val="24"/>
          <w:szCs w:val="32"/>
          <w:highlight w:val="none"/>
        </w:rPr>
        <w:t>本招标项目已具备招标条件，现对该项目</w:t>
      </w:r>
      <w:r>
        <w:rPr>
          <w:rFonts w:hint="eastAsia" w:hAnsi="宋体" w:cs="宋体"/>
          <w:color w:val="auto"/>
          <w:sz w:val="24"/>
          <w:szCs w:val="32"/>
          <w:highlight w:val="none"/>
          <w:u w:val="single"/>
        </w:rPr>
        <w:t>部分涉环保子项目设计服务</w:t>
      </w:r>
      <w:r>
        <w:rPr>
          <w:rFonts w:hint="eastAsia" w:hAnsi="宋体" w:cs="宋体"/>
          <w:color w:val="auto"/>
          <w:sz w:val="24"/>
          <w:szCs w:val="32"/>
          <w:highlight w:val="none"/>
        </w:rPr>
        <w:t>进行招标。</w:t>
      </w:r>
    </w:p>
    <w:p w14:paraId="1C88C8B6">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 w:name="_Toc13747"/>
      <w:r>
        <w:rPr>
          <w:rFonts w:hint="eastAsia" w:ascii="宋体" w:hAnsi="宋体" w:cs="宋体"/>
          <w:b/>
          <w:snapToGrid w:val="0"/>
          <w:color w:val="auto"/>
          <w:sz w:val="24"/>
          <w:highlight w:val="none"/>
        </w:rPr>
        <w:t>1.工程概况综合说明</w:t>
      </w:r>
      <w:bookmarkEnd w:id="24"/>
      <w:bookmarkEnd w:id="25"/>
      <w:bookmarkEnd w:id="26"/>
    </w:p>
    <w:p w14:paraId="4688A3FE">
      <w:pPr>
        <w:pStyle w:val="23"/>
        <w:tabs>
          <w:tab w:val="left" w:pos="7020"/>
        </w:tabs>
        <w:ind w:firstLine="530" w:firstLineChars="221"/>
        <w:rPr>
          <w:rFonts w:hint="eastAsia" w:hAnsi="宋体" w:cs="宋体"/>
          <w:color w:val="auto"/>
          <w:szCs w:val="18"/>
          <w:highlight w:val="none"/>
          <w:u w:val="single"/>
        </w:rPr>
      </w:pPr>
      <w:r>
        <w:rPr>
          <w:rFonts w:hint="eastAsia" w:hAnsi="宋体" w:cs="宋体"/>
          <w:color w:val="auto"/>
          <w:szCs w:val="24"/>
          <w:highlight w:val="none"/>
        </w:rPr>
        <w:t>1.1招标人：</w:t>
      </w:r>
      <w:r>
        <w:rPr>
          <w:rFonts w:hint="eastAsia" w:hAnsi="宋体" w:cs="宋体"/>
          <w:snapToGrid w:val="0"/>
          <w:color w:val="auto"/>
          <w:kern w:val="0"/>
          <w:szCs w:val="24"/>
          <w:highlight w:val="none"/>
          <w:u w:val="single"/>
        </w:rPr>
        <w:t>仁化县丹霞旅游经济开发试验区管理委员会</w:t>
      </w:r>
    </w:p>
    <w:p w14:paraId="069E48DE">
      <w:pPr>
        <w:pStyle w:val="23"/>
        <w:tabs>
          <w:tab w:val="left" w:pos="7020"/>
        </w:tabs>
        <w:ind w:firstLine="530" w:firstLineChars="221"/>
        <w:rPr>
          <w:rFonts w:hint="eastAsia" w:hAnsi="宋体" w:cs="宋体"/>
          <w:snapToGrid w:val="0"/>
          <w:color w:val="auto"/>
          <w:kern w:val="0"/>
          <w:szCs w:val="24"/>
          <w:highlight w:val="none"/>
          <w:u w:val="single"/>
        </w:rPr>
      </w:pPr>
      <w:r>
        <w:rPr>
          <w:rFonts w:hint="eastAsia" w:hAnsi="宋体" w:cs="宋体"/>
          <w:color w:val="auto"/>
          <w:szCs w:val="24"/>
          <w:highlight w:val="none"/>
        </w:rPr>
        <w:t>1.2</w:t>
      </w:r>
      <w:r>
        <w:rPr>
          <w:rFonts w:hint="eastAsia" w:hAnsi="宋体" w:cs="宋体"/>
          <w:color w:val="auto"/>
          <w:kern w:val="0"/>
          <w:szCs w:val="24"/>
          <w:highlight w:val="none"/>
        </w:rPr>
        <w:t>工程地点：</w:t>
      </w:r>
      <w:r>
        <w:rPr>
          <w:rFonts w:hint="eastAsia" w:hAnsi="宋体" w:cs="宋体"/>
          <w:snapToGrid w:val="0"/>
          <w:color w:val="auto"/>
          <w:kern w:val="0"/>
          <w:szCs w:val="24"/>
          <w:highlight w:val="none"/>
          <w:u w:val="single"/>
        </w:rPr>
        <w:t>韶关市仁化县周田镇仁化产业转移工业园</w:t>
      </w:r>
    </w:p>
    <w:p w14:paraId="155ADE3E">
      <w:pPr>
        <w:pStyle w:val="23"/>
        <w:tabs>
          <w:tab w:val="left" w:pos="7020"/>
        </w:tabs>
        <w:ind w:firstLine="530" w:firstLineChars="221"/>
        <w:rPr>
          <w:rFonts w:hint="eastAsia" w:hAnsi="宋体" w:cs="宋体"/>
          <w:snapToGrid w:val="0"/>
          <w:color w:val="auto"/>
          <w:kern w:val="0"/>
          <w:szCs w:val="24"/>
          <w:highlight w:val="none"/>
          <w:u w:val="single"/>
        </w:rPr>
      </w:pPr>
      <w:r>
        <w:rPr>
          <w:rFonts w:hint="eastAsia" w:hAnsi="宋体" w:cs="宋体"/>
          <w:color w:val="auto"/>
          <w:szCs w:val="24"/>
          <w:highlight w:val="none"/>
        </w:rPr>
        <w:t>1.3</w:t>
      </w:r>
      <w:r>
        <w:rPr>
          <w:rFonts w:hint="eastAsia" w:hAnsi="宋体" w:cs="宋体"/>
          <w:color w:val="auto"/>
          <w:kern w:val="0"/>
          <w:szCs w:val="24"/>
          <w:highlight w:val="none"/>
        </w:rPr>
        <w:t>工程主要建设规模</w:t>
      </w:r>
      <w:r>
        <w:rPr>
          <w:rFonts w:hint="eastAsia" w:hAnsi="宋体" w:cs="宋体"/>
          <w:color w:val="auto"/>
          <w:szCs w:val="22"/>
          <w:highlight w:val="none"/>
        </w:rPr>
        <w:t>及建设内容：</w:t>
      </w:r>
      <w:r>
        <w:rPr>
          <w:rFonts w:hint="eastAsia" w:hAnsi="宋体" w:cs="宋体"/>
          <w:snapToGrid w:val="0"/>
          <w:color w:val="auto"/>
          <w:kern w:val="0"/>
          <w:szCs w:val="24"/>
          <w:highlight w:val="none"/>
          <w:u w:val="single"/>
        </w:rPr>
        <w:t>本次招标为部分涉环保子项目设计服务，以实际实施内容为准。</w:t>
      </w:r>
    </w:p>
    <w:p w14:paraId="3F88E89A">
      <w:pPr>
        <w:pStyle w:val="23"/>
        <w:tabs>
          <w:tab w:val="left" w:pos="7020"/>
        </w:tabs>
        <w:ind w:firstLine="530" w:firstLineChars="221"/>
        <w:rPr>
          <w:rFonts w:hint="eastAsia" w:hAnsi="宋体" w:cs="宋体"/>
          <w:snapToGrid w:val="0"/>
          <w:color w:val="auto"/>
          <w:kern w:val="0"/>
          <w:szCs w:val="24"/>
          <w:highlight w:val="none"/>
          <w:u w:val="single"/>
        </w:rPr>
      </w:pPr>
      <w:r>
        <w:rPr>
          <w:rFonts w:hint="eastAsia" w:hAnsi="宋体" w:cs="宋体"/>
          <w:snapToGrid w:val="0"/>
          <w:color w:val="auto"/>
          <w:kern w:val="0"/>
          <w:szCs w:val="24"/>
          <w:highlight w:val="none"/>
        </w:rPr>
        <w:t>1.4项目总投资：</w:t>
      </w:r>
      <w:r>
        <w:rPr>
          <w:rFonts w:hint="eastAsia" w:hAnsi="宋体" w:cs="宋体"/>
          <w:snapToGrid w:val="0"/>
          <w:color w:val="auto"/>
          <w:kern w:val="0"/>
          <w:szCs w:val="24"/>
          <w:highlight w:val="none"/>
          <w:u w:val="single"/>
        </w:rPr>
        <w:t>仁化产业转移工业园区基础建设（二期）项目估算总投资450952.34万元，其中：工程费363754.11万元、工程建设其他费用53794.35万元、预备费33403.88万元。本次招标实施范围为仁化产业园区部分涉环保子项目，招标设计费约为150万元。</w:t>
      </w:r>
    </w:p>
    <w:p w14:paraId="41FF669A">
      <w:pPr>
        <w:pStyle w:val="23"/>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1.5标段划分：本招标项目不划分标段。</w:t>
      </w:r>
      <w:bookmarkStart w:id="27" w:name="_Toc496132995"/>
      <w:bookmarkStart w:id="28" w:name="_Toc71813686"/>
      <w:bookmarkStart w:id="29" w:name="_Toc8182"/>
      <w:bookmarkStart w:id="30" w:name="_Toc3580"/>
      <w:bookmarkStart w:id="31" w:name="_Toc71811066"/>
      <w:bookmarkStart w:id="32" w:name="_Toc22197"/>
      <w:bookmarkStart w:id="33" w:name="_Toc71811299"/>
      <w:bookmarkStart w:id="34" w:name="_Toc71813180"/>
    </w:p>
    <w:p w14:paraId="7E100406">
      <w:pPr>
        <w:pStyle w:val="23"/>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1.</w:t>
      </w:r>
      <w:bookmarkEnd w:id="27"/>
      <w:r>
        <w:rPr>
          <w:rFonts w:hint="eastAsia" w:hAnsi="宋体" w:cs="宋体"/>
          <w:color w:val="auto"/>
          <w:kern w:val="0"/>
          <w:szCs w:val="24"/>
          <w:highlight w:val="none"/>
        </w:rPr>
        <w:t>6投标费用：投标人应承担所有准备和参加投标的相关费用，不论投标结果如何，招标人均无义务和责任承担这些费用。</w:t>
      </w:r>
      <w:bookmarkEnd w:id="28"/>
      <w:bookmarkEnd w:id="29"/>
      <w:bookmarkEnd w:id="30"/>
      <w:bookmarkEnd w:id="31"/>
      <w:bookmarkEnd w:id="32"/>
      <w:bookmarkEnd w:id="33"/>
      <w:bookmarkEnd w:id="34"/>
    </w:p>
    <w:p w14:paraId="47775177">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35" w:name="_Toc812"/>
      <w:bookmarkStart w:id="36" w:name="_Toc9668"/>
      <w:bookmarkStart w:id="37" w:name="_Toc106184808"/>
      <w:r>
        <w:rPr>
          <w:rFonts w:hint="eastAsia" w:ascii="宋体" w:hAnsi="宋体" w:cs="宋体"/>
          <w:b/>
          <w:snapToGrid w:val="0"/>
          <w:color w:val="auto"/>
          <w:sz w:val="24"/>
          <w:highlight w:val="none"/>
        </w:rPr>
        <w:t>2.招标范围</w:t>
      </w:r>
      <w:bookmarkEnd w:id="35"/>
      <w:bookmarkEnd w:id="36"/>
      <w:bookmarkEnd w:id="37"/>
      <w:bookmarkStart w:id="38" w:name="_Hlt91408212"/>
      <w:bookmarkEnd w:id="38"/>
    </w:p>
    <w:p w14:paraId="477D22AA">
      <w:pPr>
        <w:pStyle w:val="23"/>
        <w:tabs>
          <w:tab w:val="left" w:pos="7020"/>
        </w:tabs>
        <w:ind w:firstLine="530" w:firstLineChars="221"/>
        <w:rPr>
          <w:rFonts w:hint="eastAsia" w:hAnsi="宋体" w:cs="宋体"/>
          <w:color w:val="auto"/>
          <w:kern w:val="0"/>
          <w:szCs w:val="24"/>
          <w:highlight w:val="none"/>
        </w:rPr>
      </w:pPr>
      <w:bookmarkStart w:id="39" w:name="_Toc28822"/>
      <w:r>
        <w:rPr>
          <w:rFonts w:hint="eastAsia" w:hAnsi="宋体" w:cs="宋体"/>
          <w:color w:val="auto"/>
          <w:kern w:val="0"/>
          <w:szCs w:val="24"/>
          <w:highlight w:val="none"/>
        </w:rPr>
        <w:t>为确保项目顺利实施的报建、施工等所需的设计文件，本工程设计服务所涉及的内容包括但不限于以下：</w:t>
      </w:r>
    </w:p>
    <w:p w14:paraId="26A7A4D5">
      <w:pPr>
        <w:pStyle w:val="23"/>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①设计方案（含效果图）、初步设计（含概算）；</w:t>
      </w:r>
    </w:p>
    <w:p w14:paraId="086B4764">
      <w:pPr>
        <w:pStyle w:val="23"/>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②施工图设计（施工图设计范围为本次招标设计范围的所有内容，施工图送审并确保审查合格）；</w:t>
      </w:r>
    </w:p>
    <w:p w14:paraId="169E69CC">
      <w:pPr>
        <w:pStyle w:val="23"/>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③调整并优化设计和在工程施工期间指导和解决施工难题；</w:t>
      </w:r>
    </w:p>
    <w:p w14:paraId="564D7FDD">
      <w:pPr>
        <w:pStyle w:val="23"/>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④完成招标人提出的与项目相关并确保项目顺利实施的其他要求。</w:t>
      </w:r>
    </w:p>
    <w:p w14:paraId="762F296F">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0" w:name="_Toc31828"/>
      <w:r>
        <w:rPr>
          <w:rFonts w:hint="eastAsia" w:ascii="宋体" w:hAnsi="宋体" w:cs="宋体"/>
          <w:b/>
          <w:snapToGrid w:val="0"/>
          <w:color w:val="auto"/>
          <w:sz w:val="24"/>
          <w:highlight w:val="none"/>
        </w:rPr>
        <w:t>3</w:t>
      </w:r>
      <w:bookmarkEnd w:id="39"/>
      <w:bookmarkStart w:id="41" w:name="_Hlt66187826"/>
      <w:bookmarkEnd w:id="41"/>
      <w:r>
        <w:rPr>
          <w:rFonts w:hint="eastAsia" w:ascii="宋体" w:hAnsi="宋体" w:cs="宋体"/>
          <w:b/>
          <w:snapToGrid w:val="0"/>
          <w:color w:val="auto"/>
          <w:sz w:val="24"/>
          <w:highlight w:val="none"/>
        </w:rPr>
        <w:t>.工期要求</w:t>
      </w:r>
      <w:bookmarkEnd w:id="40"/>
      <w:bookmarkStart w:id="42" w:name="_Toc22115"/>
    </w:p>
    <w:p w14:paraId="0A557399">
      <w:pPr>
        <w:pStyle w:val="24"/>
        <w:wordWrap w:val="0"/>
        <w:adjustRightInd w:val="0"/>
        <w:snapToGrid w:val="0"/>
        <w:spacing w:line="480" w:lineRule="auto"/>
        <w:ind w:firstLine="240" w:firstLineChars="100"/>
        <w:jc w:val="left"/>
        <w:rPr>
          <w:rFonts w:hint="eastAsia" w:ascii="宋体" w:hAnsi="宋体" w:cs="宋体"/>
          <w:color w:val="auto"/>
          <w:kern w:val="0"/>
          <w:sz w:val="24"/>
          <w:highlight w:val="none"/>
        </w:rPr>
      </w:pPr>
      <w:bookmarkStart w:id="43" w:name="_Toc26447"/>
      <w:r>
        <w:rPr>
          <w:rFonts w:hint="eastAsia" w:ascii="宋体" w:hAnsi="宋体" w:cs="宋体"/>
          <w:color w:val="auto"/>
          <w:kern w:val="0"/>
          <w:sz w:val="24"/>
          <w:highlight w:val="none"/>
        </w:rPr>
        <w:t>本招标项目设计服务期为整个子项目实施期，服务期内招标人每次下达设计任务书后设计工期要求为：90个日历天。</w:t>
      </w:r>
    </w:p>
    <w:p w14:paraId="0B407A32">
      <w:pPr>
        <w:pStyle w:val="24"/>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（1）初步设计阶段：自中标通知书发出之日起45个日历天内完成初步设计并提交成果文件。</w:t>
      </w:r>
    </w:p>
    <w:p w14:paraId="439C79D3">
      <w:pPr>
        <w:pStyle w:val="24"/>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（2）施工图设计阶段：从初步设计评审完成之日起35个日历天完成施工图设计；</w:t>
      </w:r>
    </w:p>
    <w:p w14:paraId="64FA6D31">
      <w:pPr>
        <w:pStyle w:val="24"/>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（3）施工图修编：出具施工图审查初步意见后10个日历天内完成施工图修编；</w:t>
      </w:r>
    </w:p>
    <w:p w14:paraId="763BCCF6">
      <w:pPr>
        <w:wordWrap w:val="0"/>
        <w:snapToGrid w:val="0"/>
        <w:spacing w:line="480" w:lineRule="auto"/>
        <w:ind w:firstLine="48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（4）施工现场配合服务：项目施工及缺陷责任期内</w:t>
      </w:r>
      <w:r>
        <w:rPr>
          <w:rFonts w:hint="eastAsia" w:ascii="宋体" w:hAnsi="宋体" w:cs="宋体"/>
          <w:color w:val="auto"/>
          <w:sz w:val="24"/>
          <w:szCs w:val="24"/>
          <w:highlight w:val="none"/>
        </w:rPr>
        <w:t>。</w:t>
      </w:r>
    </w:p>
    <w:p w14:paraId="6F32E33D">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4" w:name="_Toc2003"/>
      <w:r>
        <w:rPr>
          <w:rFonts w:hint="eastAsia" w:ascii="宋体" w:hAnsi="宋体" w:cs="宋体"/>
          <w:b/>
          <w:snapToGrid w:val="0"/>
          <w:color w:val="auto"/>
          <w:sz w:val="24"/>
          <w:highlight w:val="none"/>
        </w:rPr>
        <w:t>4</w:t>
      </w:r>
      <w:bookmarkEnd w:id="42"/>
      <w:bookmarkStart w:id="45" w:name="_Hlt74496495"/>
      <w:bookmarkEnd w:id="45"/>
      <w:r>
        <w:rPr>
          <w:rFonts w:hint="eastAsia" w:ascii="宋体" w:hAnsi="宋体" w:cs="宋体"/>
          <w:b/>
          <w:snapToGrid w:val="0"/>
          <w:color w:val="auto"/>
          <w:sz w:val="24"/>
          <w:highlight w:val="none"/>
        </w:rPr>
        <w:t>.投标人资质等级及人员要求</w:t>
      </w:r>
      <w:bookmarkEnd w:id="43"/>
      <w:bookmarkEnd w:id="44"/>
      <w:bookmarkStart w:id="46" w:name="_Toc11378"/>
    </w:p>
    <w:bookmarkEnd w:id="46"/>
    <w:p w14:paraId="0E448E54">
      <w:pPr>
        <w:pStyle w:val="24"/>
        <w:spacing w:line="360" w:lineRule="auto"/>
        <w:ind w:left="36" w:leftChars="17" w:right="48" w:rightChars="23" w:firstLine="480" w:firstLineChars="200"/>
        <w:rPr>
          <w:rFonts w:hint="eastAsia" w:ascii="宋体" w:hAnsi="宋体" w:cs="宋体"/>
          <w:color w:val="auto"/>
          <w:kern w:val="0"/>
          <w:sz w:val="24"/>
          <w:highlight w:val="none"/>
        </w:rPr>
      </w:pPr>
      <w:bookmarkStart w:id="47" w:name="_Toc4341"/>
      <w:r>
        <w:rPr>
          <w:rFonts w:hint="eastAsia" w:ascii="宋体" w:hAnsi="宋体" w:cs="宋体"/>
          <w:color w:val="auto"/>
          <w:kern w:val="0"/>
          <w:sz w:val="24"/>
          <w:highlight w:val="none"/>
        </w:rPr>
        <w:t>4.1.本工程</w:t>
      </w:r>
      <w:r>
        <w:rPr>
          <w:rFonts w:hint="eastAsia" w:ascii="宋体" w:hAnsi="宋体" w:cs="宋体"/>
          <w:b/>
          <w:bCs/>
          <w:color w:val="auto"/>
          <w:kern w:val="0"/>
          <w:sz w:val="24"/>
          <w:highlight w:val="none"/>
        </w:rPr>
        <w:t>接受</w:t>
      </w:r>
      <w:r>
        <w:rPr>
          <w:rFonts w:hint="eastAsia" w:ascii="宋体" w:hAnsi="宋体" w:cs="宋体"/>
          <w:color w:val="auto"/>
          <w:kern w:val="0"/>
          <w:sz w:val="24"/>
          <w:highlight w:val="none"/>
        </w:rPr>
        <w:t>联合体投标，联合体以一个投标人的身份共同投标。</w:t>
      </w:r>
    </w:p>
    <w:p w14:paraId="7714E708">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4.1.1联合体成员数量不超过3个。</w:t>
      </w:r>
    </w:p>
    <w:p w14:paraId="77F018C9">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4.1.2联合体各方应按招标文件提供的格式签订联合体协议书，明确联合体牵头人和各方权利义务，并承诺就中标项目向招标人承担连带责任。《联合体协议书》作为投标文件的组成部分向招标人提交。</w:t>
      </w:r>
    </w:p>
    <w:p w14:paraId="50F3D306">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34F37EB2">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4.1.4联合体各方不得再以自己名义单独或参加其他联合体在本招标项目中投标，否则各相关投标均无效。</w:t>
      </w:r>
    </w:p>
    <w:p w14:paraId="7C50539E">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4.2.资质要求</w:t>
      </w:r>
    </w:p>
    <w:p w14:paraId="30A4D640">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4.2.1投标人须持有市场监督管理部门（或原工商管理部门）核发的营业执照，按国家法律经营的独立法人。</w:t>
      </w:r>
    </w:p>
    <w:p w14:paraId="3EBC26D9">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4.2.2工程设计单位须持有建设行政主管部门核发的资质证书。</w:t>
      </w:r>
    </w:p>
    <w:p w14:paraId="532B2541">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4.2.3参加投标的投标人可以是单一独立法人或由不超过三家独立法人组成的联合体（必须注明其中一家为牵头人），联合体各方不得再以自己的名义单独申请，也不得同时参加两个或两个以上的联合体进行本项目的投标。单一独立法人必须具备①-③资质；组成联合体投标的，联合后必须具备①-③资质：</w:t>
      </w:r>
    </w:p>
    <w:p w14:paraId="394100F6">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①工程设计综合甲级资质，或工程设计建筑行业乙级或以上资质，或工程设计建筑行业(建筑工程)乙级或以上资质，或工程设计建筑工程设计事务所资质;(注:若为建筑工程设计事务所资质参加投标的则按“住房城乡建设部关于促进建筑工程设计事务所发展有关事项的通知”建市【2016】261号文的相关规定执行)；</w:t>
      </w:r>
    </w:p>
    <w:p w14:paraId="0DCEA8C0">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②工程设计综合甲级资质，或工程设计市政行业乙级或以上资质，或工程设计市政行业(燃气工程、轨道交通工程除外)乙级或以上资质，或工程设计市政行业排水工程专业乙级或以上资质。</w:t>
      </w:r>
    </w:p>
    <w:p w14:paraId="5A5AE8C1">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③工程设计环境工程专项(固体废物处理处置工程)乙级或以上资质或工程设计环境工程专项（水污染防治工程）乙级或以上资质。</w:t>
      </w:r>
    </w:p>
    <w:p w14:paraId="60D9B196">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1A7EC081">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4.3.相关人员要求</w:t>
      </w:r>
    </w:p>
    <w:p w14:paraId="0BABD5C1">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4.3.1拟委派担任本招标项目的项目负责人（即设计负责人）须具备环境工程相关高级或以上职称。</w:t>
      </w:r>
    </w:p>
    <w:p w14:paraId="5A340C20">
      <w:pPr>
        <w:pStyle w:val="24"/>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4.3.2投标人（包括组成联合体的所有成员单位）与其拟派往本项目所有人员之间必须具备合法、唯一的劳动聘用关系。拟派人员中具备注册执业资格的，其注册单位须与投标人保持一致。</w:t>
      </w:r>
    </w:p>
    <w:p w14:paraId="19C21E9D">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4.4禁止投标条款</w:t>
      </w:r>
    </w:p>
    <w:p w14:paraId="471D3198">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4.4.1投标人不得存在下列情形之一：</w:t>
      </w:r>
    </w:p>
    <w:p w14:paraId="460475C6">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（1）为招标人不具有独立法人资格的附属机构（单位）；</w:t>
      </w:r>
    </w:p>
    <w:p w14:paraId="342719CD">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（2）与招标人存在利害关系且可能影响招标公正性；</w:t>
      </w:r>
    </w:p>
    <w:p w14:paraId="5B15A463">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（3）与本招标项目的其他投标人为同一个单位负责人；</w:t>
      </w:r>
    </w:p>
    <w:p w14:paraId="68505EC7">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（4）与本招标项目的其他投标人存在控股、管理关系；</w:t>
      </w:r>
    </w:p>
    <w:p w14:paraId="6E50D8F3">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（5）为本招标项目的代建人；</w:t>
      </w:r>
    </w:p>
    <w:p w14:paraId="2E9FC842">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（6）为本招标项目的招标代理机构；</w:t>
      </w:r>
    </w:p>
    <w:p w14:paraId="42D247B2">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（7）与本招标项目的代建人或招标代理机构同为一个法定代表人；</w:t>
      </w:r>
    </w:p>
    <w:p w14:paraId="18154897">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（8）与本招标项目的代建人或招标代理机构存在控股或参股关系；</w:t>
      </w:r>
    </w:p>
    <w:p w14:paraId="038E82EE">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（9）被依法暂停或者取消投标资格；</w:t>
      </w:r>
    </w:p>
    <w:p w14:paraId="0D418F2C">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（10）被责令停产停业、暂扣或者吊销许可证、暂扣或者吊销执照；</w:t>
      </w:r>
    </w:p>
    <w:p w14:paraId="271E52FE">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（11）进入清算程序，或被宣告破产，或其他丧失履约能力的情形；</w:t>
      </w:r>
    </w:p>
    <w:p w14:paraId="5162A31A">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（12）在最近三年内发生重大质量问题（以相关行业主管部门的行政处罚决定或司法机关出具的有关法律文书为准）；</w:t>
      </w:r>
    </w:p>
    <w:p w14:paraId="50180B90">
      <w:pPr>
        <w:pStyle w:val="24"/>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（13）被“信用中国”网站（https://www.creditchina.gov.cn）发布的《法人和非法人组织公共信用信息报告》列为严重失信主体名单的。</w:t>
      </w:r>
    </w:p>
    <w:p w14:paraId="45807B76">
      <w:pPr>
        <w:pStyle w:val="24"/>
        <w:widowControl/>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4.4.2招标人拒绝以下名单中的单位参加本次投标：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957"/>
        <w:gridCol w:w="3994"/>
      </w:tblGrid>
      <w:tr w14:paraId="5C78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5" w:type="dxa"/>
            <w:vAlign w:val="center"/>
          </w:tcPr>
          <w:p w14:paraId="6D0D4A23">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4957" w:type="dxa"/>
            <w:vAlign w:val="center"/>
          </w:tcPr>
          <w:p w14:paraId="31E20C9D">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3994" w:type="dxa"/>
            <w:vAlign w:val="center"/>
          </w:tcPr>
          <w:p w14:paraId="480AAC17">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58C6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5" w:type="dxa"/>
            <w:vAlign w:val="center"/>
          </w:tcPr>
          <w:p w14:paraId="2137913E">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4957" w:type="dxa"/>
            <w:vAlign w:val="center"/>
          </w:tcPr>
          <w:p w14:paraId="6BCBBE8E">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仁化县丹霞旅游经济开发试验区管理委员会</w:t>
            </w:r>
          </w:p>
        </w:tc>
        <w:tc>
          <w:tcPr>
            <w:tcW w:w="3994" w:type="dxa"/>
            <w:vAlign w:val="center"/>
          </w:tcPr>
          <w:p w14:paraId="025A2EEC">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为本招标项目的业主单位和招标人</w:t>
            </w:r>
          </w:p>
        </w:tc>
      </w:tr>
      <w:tr w14:paraId="45E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5" w:type="dxa"/>
            <w:vAlign w:val="center"/>
          </w:tcPr>
          <w:p w14:paraId="5C903765">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4957" w:type="dxa"/>
            <w:vAlign w:val="center"/>
          </w:tcPr>
          <w:p w14:paraId="23A9FDE7">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成致项目管理有限公司</w:t>
            </w:r>
          </w:p>
        </w:tc>
        <w:tc>
          <w:tcPr>
            <w:tcW w:w="3994" w:type="dxa"/>
            <w:vAlign w:val="center"/>
          </w:tcPr>
          <w:p w14:paraId="4B7E4316">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为本招标项目的招标代理机构</w:t>
            </w:r>
          </w:p>
        </w:tc>
      </w:tr>
      <w:tr w14:paraId="1816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4F4FF27E">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4957" w:type="dxa"/>
            <w:vAlign w:val="center"/>
          </w:tcPr>
          <w:p w14:paraId="49169F18">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广东伟达工程咨询顾问有限公司</w:t>
            </w:r>
          </w:p>
        </w:tc>
        <w:tc>
          <w:tcPr>
            <w:tcW w:w="3994" w:type="dxa"/>
            <w:vAlign w:val="center"/>
          </w:tcPr>
          <w:p w14:paraId="03E234F6">
            <w:pPr>
              <w:pStyle w:val="24"/>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为本招标项目的可研编制单位</w:t>
            </w:r>
          </w:p>
        </w:tc>
      </w:tr>
    </w:tbl>
    <w:p w14:paraId="3278DE07">
      <w:pPr>
        <w:pStyle w:val="24"/>
        <w:wordWrap w:val="0"/>
        <w:adjustRightIn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4.</w:t>
      </w:r>
      <w:r>
        <w:rPr>
          <w:rFonts w:hint="eastAsia" w:ascii="宋体" w:hAnsi="宋体" w:cs="宋体"/>
          <w:snapToGrid w:val="0"/>
          <w:color w:val="auto"/>
          <w:kern w:val="0"/>
          <w:sz w:val="24"/>
          <w:highlight w:val="none"/>
        </w:rPr>
        <w:t>5其他要求</w:t>
      </w:r>
    </w:p>
    <w:p w14:paraId="61EA7DC5">
      <w:pPr>
        <w:pStyle w:val="24"/>
        <w:wordWrap w:val="0"/>
        <w:adjustRightIn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w:t>
      </w:r>
      <w:r>
        <w:rPr>
          <w:rFonts w:hint="eastAsia" w:ascii="宋体" w:hAnsi="宋体" w:cs="宋体"/>
          <w:color w:val="auto"/>
          <w:sz w:val="24"/>
          <w:highlight w:val="none"/>
          <w:shd w:val="clear" w:color="auto" w:fill="FFFFFF"/>
        </w:rPr>
        <w:t>及其拟派往本项目管理机构的所有人员</w:t>
      </w:r>
      <w:r>
        <w:rPr>
          <w:rFonts w:hint="eastAsia" w:ascii="宋体" w:hAnsi="宋体" w:cs="宋体"/>
          <w:snapToGrid w:val="0"/>
          <w:color w:val="auto"/>
          <w:kern w:val="0"/>
          <w:sz w:val="24"/>
          <w:highlight w:val="none"/>
        </w:rPr>
        <w:t>须按照《广东省住房和城乡建设厅关于取消省外建筑企业和人员进粤信息备案有关工作的通知》（粤建市﹝2015﹞52号）规定在“进粤企业和人员诚信信息登记平台”录入相关信息并通过数据规范检查。</w:t>
      </w:r>
    </w:p>
    <w:p w14:paraId="7BE7D67D">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8" w:name="_Toc5852"/>
      <w:bookmarkStart w:id="49" w:name="_Toc28003"/>
      <w:r>
        <w:rPr>
          <w:rFonts w:hint="eastAsia" w:ascii="宋体" w:hAnsi="宋体" w:cs="宋体"/>
          <w:b/>
          <w:snapToGrid w:val="0"/>
          <w:color w:val="auto"/>
          <w:sz w:val="24"/>
          <w:highlight w:val="none"/>
        </w:rPr>
        <w:t>5</w:t>
      </w:r>
      <w:bookmarkEnd w:id="47"/>
      <w:r>
        <w:rPr>
          <w:rFonts w:hint="eastAsia" w:ascii="宋体" w:hAnsi="宋体" w:cs="宋体"/>
          <w:b/>
          <w:snapToGrid w:val="0"/>
          <w:color w:val="auto"/>
          <w:sz w:val="24"/>
          <w:highlight w:val="none"/>
        </w:rPr>
        <w:t>.招标文件获取</w:t>
      </w:r>
      <w:bookmarkEnd w:id="48"/>
      <w:bookmarkEnd w:id="49"/>
    </w:p>
    <w:p w14:paraId="081C7725">
      <w:pPr>
        <w:tabs>
          <w:tab w:val="left" w:pos="7020"/>
        </w:tabs>
        <w:spacing w:line="360" w:lineRule="auto"/>
        <w:ind w:firstLine="480" w:firstLineChars="200"/>
        <w:rPr>
          <w:rStyle w:val="25"/>
          <w:rFonts w:hint="eastAsia" w:ascii="宋体" w:hAnsi="宋体" w:cs="宋体"/>
          <w:color w:val="auto"/>
          <w:kern w:val="0"/>
          <w:sz w:val="24"/>
          <w:szCs w:val="24"/>
          <w:highlight w:val="none"/>
        </w:rPr>
      </w:pPr>
      <w:bookmarkStart w:id="50" w:name="_Toc358"/>
      <w:r>
        <w:rPr>
          <w:rStyle w:val="25"/>
          <w:rFonts w:hint="eastAsia" w:ascii="宋体" w:hAnsi="宋体" w:cs="宋体"/>
          <w:color w:val="auto"/>
          <w:kern w:val="0"/>
          <w:sz w:val="24"/>
          <w:szCs w:val="24"/>
          <w:highlight w:val="none"/>
        </w:rPr>
        <w:t>5.1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伍先生，业务咨询电话：0751-8633211、8633071。</w:t>
      </w:r>
    </w:p>
    <w:p w14:paraId="47137220">
      <w:pPr>
        <w:pStyle w:val="24"/>
        <w:wordWrap w:val="0"/>
        <w:adjustRightInd w:val="0"/>
        <w:snapToGrid w:val="0"/>
        <w:spacing w:line="360" w:lineRule="auto"/>
        <w:ind w:firstLine="480"/>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rPr>
        <w:t>5.2</w:t>
      </w:r>
      <w:r>
        <w:rPr>
          <w:rFonts w:hint="eastAsia" w:ascii="宋体" w:hAnsi="宋体" w:cs="宋体"/>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500E0B7E">
      <w:pPr>
        <w:pStyle w:val="24"/>
        <w:wordWrap w:val="0"/>
        <w:adjustRightInd w:val="0"/>
        <w:snapToGrid w:val="0"/>
        <w:spacing w:line="360" w:lineRule="auto"/>
        <w:ind w:firstLine="48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DBC0C2">
      <w:pPr>
        <w:pStyle w:val="24"/>
        <w:wordWrap w:val="0"/>
        <w:adjustRightInd w:val="0"/>
        <w:snapToGrid w:val="0"/>
        <w:spacing w:line="360" w:lineRule="auto"/>
        <w:ind w:firstLine="480"/>
        <w:rPr>
          <w:rFonts w:hint="eastAsia"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1A7EA01B">
      <w:pPr>
        <w:tabs>
          <w:tab w:val="left" w:pos="7020"/>
        </w:tabs>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kern w:val="0"/>
          <w:sz w:val="24"/>
          <w:szCs w:val="24"/>
          <w:highlight w:val="none"/>
        </w:rPr>
        <w:t>电子印章：</w:t>
      </w:r>
      <w:r>
        <w:rPr>
          <w:rFonts w:hint="eastAsia" w:ascii="宋体" w:hAnsi="宋体" w:cs="宋体"/>
          <w:color w:val="auto"/>
          <w:sz w:val="24"/>
          <w:szCs w:val="24"/>
          <w:highlight w:val="none"/>
          <w:shd w:val="clear" w:color="auto" w:fill="FFFFFF"/>
        </w:rPr>
        <w:t>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cs="宋体"/>
          <w:snapToGrid w:val="0"/>
          <w:color w:val="auto"/>
          <w:sz w:val="24"/>
          <w:szCs w:val="24"/>
          <w:highlight w:val="none"/>
        </w:rPr>
        <w:t>。</w:t>
      </w:r>
    </w:p>
    <w:p w14:paraId="06D0E62E">
      <w:pPr>
        <w:pStyle w:val="23"/>
        <w:ind w:firstLine="480" w:firstLineChars="200"/>
        <w:rPr>
          <w:rFonts w:hint="eastAsia" w:hAnsi="宋体" w:cs="宋体"/>
          <w:b/>
          <w:color w:val="auto"/>
          <w:szCs w:val="24"/>
          <w:highlight w:val="none"/>
        </w:rPr>
      </w:pPr>
      <w:r>
        <w:rPr>
          <w:rFonts w:hint="eastAsia" w:hAnsi="宋体" w:cs="宋体"/>
          <w:color w:val="auto"/>
          <w:kern w:val="0"/>
          <w:szCs w:val="24"/>
          <w:highlight w:val="none"/>
        </w:rPr>
        <w:t>5.3</w:t>
      </w:r>
      <w:r>
        <w:rPr>
          <w:rFonts w:hint="eastAsia" w:hAnsi="宋体" w:cs="宋体"/>
          <w:color w:val="auto"/>
          <w:szCs w:val="24"/>
          <w:highlight w:val="none"/>
        </w:rPr>
        <w:t>投标保证</w:t>
      </w:r>
    </w:p>
    <w:p w14:paraId="171B394C">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5.3.1</w:t>
      </w:r>
      <w:r>
        <w:rPr>
          <w:rFonts w:hint="eastAsia" w:ascii="宋体" w:hAnsi="宋体" w:cs="宋体"/>
          <w:snapToGrid w:val="0"/>
          <w:color w:val="auto"/>
          <w:kern w:val="0"/>
          <w:sz w:val="24"/>
          <w:szCs w:val="22"/>
          <w:highlight w:val="none"/>
        </w:rPr>
        <w:t>投标人须缴纳金额为人民币</w:t>
      </w:r>
      <w:r>
        <w:rPr>
          <w:rFonts w:hint="eastAsia" w:ascii="宋体" w:hAnsi="宋体" w:cs="宋体"/>
          <w:color w:val="auto"/>
          <w:kern w:val="0"/>
          <w:sz w:val="24"/>
          <w:highlight w:val="none"/>
          <w:u w:val="single"/>
        </w:rPr>
        <w:t>贰万元整（¥20000.00元）</w:t>
      </w:r>
      <w:r>
        <w:rPr>
          <w:rFonts w:hint="eastAsia" w:ascii="宋体" w:hAnsi="宋体" w:cs="宋体"/>
          <w:snapToGrid w:val="0"/>
          <w:color w:val="auto"/>
          <w:kern w:val="0"/>
          <w:sz w:val="24"/>
          <w:szCs w:val="22"/>
          <w:highlight w:val="none"/>
        </w:rPr>
        <w:t>的投标保证。 联合体投标的，由联合体牵头人缴纳。</w:t>
      </w:r>
    </w:p>
    <w:p w14:paraId="0A71D023">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5.3.2</w:t>
      </w:r>
      <w:r>
        <w:rPr>
          <w:rFonts w:hint="eastAsia" w:ascii="宋体" w:hAnsi="宋体" w:cs="宋体"/>
          <w:snapToGrid w:val="0"/>
          <w:color w:val="auto"/>
          <w:kern w:val="0"/>
          <w:sz w:val="24"/>
          <w:szCs w:val="22"/>
          <w:highlight w:val="none"/>
        </w:rPr>
        <w:t>投标保证的形式包括投标保证金、投标保证担保、投标保证保险三种，由投标人自主选择。</w:t>
      </w:r>
    </w:p>
    <w:p w14:paraId="4B4A72AE">
      <w:pPr>
        <w:pStyle w:val="5"/>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021E5E3F">
      <w:pPr>
        <w:pStyle w:val="5"/>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621252FA">
      <w:pPr>
        <w:pStyle w:val="5"/>
        <w:wordWrap w:val="0"/>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w:t>
      </w:r>
      <w:r>
        <w:rPr>
          <w:rFonts w:hint="eastAsia" w:ascii="宋体" w:hAnsi="宋体" w:cs="宋体"/>
          <w:color w:val="auto"/>
          <w:kern w:val="0"/>
          <w:sz w:val="24"/>
          <w:highlight w:val="none"/>
        </w:rPr>
        <w:t>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74063496">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D1C4153">
      <w:pPr>
        <w:tabs>
          <w:tab w:val="left" w:pos="7020"/>
        </w:tabs>
        <w:wordWrap w:val="0"/>
        <w:adjustRightInd w:val="0"/>
        <w:spacing w:line="288" w:lineRule="auto"/>
        <w:ind w:firstLine="480" w:firstLineChars="200"/>
        <w:rPr>
          <w:rFonts w:hint="eastAsia" w:ascii="宋体" w:hAnsi="宋体" w:cs="宋体"/>
          <w:snapToGrid w:val="0"/>
          <w:color w:val="auto"/>
          <w:sz w:val="24"/>
          <w:szCs w:val="22"/>
          <w:highlight w:val="none"/>
        </w:rPr>
      </w:pPr>
      <w:r>
        <w:rPr>
          <w:rFonts w:hint="eastAsia" w:ascii="宋体" w:hAnsi="宋体" w:cs="宋体"/>
          <w:color w:val="auto"/>
          <w:kern w:val="0"/>
          <w:sz w:val="24"/>
          <w:szCs w:val="24"/>
          <w:highlight w:val="none"/>
        </w:rPr>
        <w:t>5.4</w:t>
      </w:r>
      <w:r>
        <w:rPr>
          <w:rFonts w:hint="eastAsia" w:ascii="宋体" w:hAnsi="宋体" w:cs="宋体"/>
          <w:snapToGrid w:val="0"/>
          <w:color w:val="auto"/>
          <w:sz w:val="24"/>
          <w:szCs w:val="22"/>
          <w:highlight w:val="none"/>
        </w:rPr>
        <w:t>若投标人因自身原因未能正确完成</w:t>
      </w:r>
      <w:r>
        <w:rPr>
          <w:rFonts w:hint="eastAsia" w:ascii="宋体" w:hAnsi="宋体" w:cs="宋体"/>
          <w:color w:val="auto"/>
          <w:kern w:val="0"/>
          <w:sz w:val="24"/>
          <w:szCs w:val="24"/>
          <w:highlight w:val="none"/>
          <w:shd w:val="clear" w:color="auto" w:fill="FFFFFF"/>
        </w:rPr>
        <w:t>获取招标文件</w:t>
      </w:r>
      <w:r>
        <w:rPr>
          <w:rFonts w:hint="eastAsia" w:ascii="宋体" w:hAnsi="宋体" w:cs="宋体"/>
          <w:snapToGrid w:val="0"/>
          <w:color w:val="auto"/>
          <w:sz w:val="24"/>
          <w:szCs w:val="22"/>
          <w:highlight w:val="none"/>
        </w:rPr>
        <w:t>、电子投标、缴纳投标保证的，其投标无效。</w:t>
      </w:r>
    </w:p>
    <w:p w14:paraId="3002D71C">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51" w:name="_Toc7612"/>
      <w:bookmarkStart w:id="52" w:name="_Toc379"/>
      <w:r>
        <w:rPr>
          <w:rFonts w:hint="eastAsia" w:ascii="宋体" w:hAnsi="宋体" w:cs="宋体"/>
          <w:b/>
          <w:snapToGrid w:val="0"/>
          <w:color w:val="auto"/>
          <w:sz w:val="24"/>
          <w:highlight w:val="none"/>
        </w:rPr>
        <w:t>6</w:t>
      </w:r>
      <w:bookmarkEnd w:id="50"/>
      <w:r>
        <w:rPr>
          <w:rFonts w:hint="eastAsia" w:ascii="宋体" w:hAnsi="宋体" w:cs="宋体"/>
          <w:b/>
          <w:snapToGrid w:val="0"/>
          <w:color w:val="auto"/>
          <w:sz w:val="24"/>
          <w:highlight w:val="none"/>
        </w:rPr>
        <w:t>.设计工程内容和质量标准</w:t>
      </w:r>
      <w:bookmarkEnd w:id="51"/>
      <w:bookmarkEnd w:id="52"/>
    </w:p>
    <w:p w14:paraId="78030B5C">
      <w:pPr>
        <w:adjustRightInd w:val="0"/>
        <w:snapToGrid w:val="0"/>
        <w:spacing w:line="44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6.1</w:t>
      </w:r>
      <w:r>
        <w:rPr>
          <w:rFonts w:hint="eastAsia" w:ascii="宋体" w:hAnsi="宋体" w:cs="宋体"/>
          <w:color w:val="auto"/>
          <w:sz w:val="24"/>
          <w:szCs w:val="24"/>
          <w:highlight w:val="none"/>
        </w:rPr>
        <w:t>本次设计工程的内容及要求：</w:t>
      </w:r>
    </w:p>
    <w:p w14:paraId="27D7BF7C">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设计阶段包括相关报建报批所需的施工图设计、效果图及施工配合等。</w:t>
      </w:r>
    </w:p>
    <w:p w14:paraId="1AD9C3A7">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的建筑方案设计均需经招标人确认后方可进入下一阶段设计，施工图文件必须与审批合格的报建图一致，不得随意修改。进入施工阶段后，涉及建设工程设计方案有关内容确需修改的，须配合招标人单位向自然资源局申请调整，并通过审批。施工图设计必须由有资质的审图机构审查合格。</w:t>
      </w:r>
    </w:p>
    <w:p w14:paraId="2F339BB6">
      <w:pPr>
        <w:adjustRightInd w:val="0"/>
        <w:snapToGrid w:val="0"/>
        <w:spacing w:line="440" w:lineRule="exact"/>
        <w:ind w:firstLine="422" w:firstLineChars="175"/>
        <w:rPr>
          <w:rFonts w:hint="eastAsia" w:ascii="宋体" w:hAnsi="宋体" w:cs="宋体"/>
          <w:color w:val="auto"/>
          <w:sz w:val="24"/>
          <w:szCs w:val="24"/>
          <w:highlight w:val="none"/>
        </w:rPr>
      </w:pPr>
      <w:r>
        <w:rPr>
          <w:rFonts w:hint="eastAsia" w:ascii="宋体" w:hAnsi="宋体" w:cs="宋体"/>
          <w:b/>
          <w:bCs/>
          <w:color w:val="auto"/>
          <w:sz w:val="24"/>
          <w:szCs w:val="24"/>
          <w:highlight w:val="none"/>
        </w:rPr>
        <w:t>6.2</w:t>
      </w:r>
      <w:r>
        <w:rPr>
          <w:rFonts w:hint="eastAsia" w:ascii="宋体" w:hAnsi="宋体" w:cs="宋体"/>
          <w:color w:val="auto"/>
          <w:sz w:val="24"/>
          <w:szCs w:val="24"/>
          <w:highlight w:val="none"/>
        </w:rPr>
        <w:t>设计承包内容：中标单位按合同约定的招标文件内容要求、法律法规及国家强制性标准要求提供完整的完善施工图设计文件及建设期间的服务等内容。</w:t>
      </w:r>
    </w:p>
    <w:p w14:paraId="69E957E0">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审定的施工图</w:t>
      </w:r>
      <w:r>
        <w:rPr>
          <w:rFonts w:hint="eastAsia" w:ascii="宋体" w:hAnsi="宋体" w:cs="宋体"/>
          <w:color w:val="auto"/>
          <w:sz w:val="24"/>
          <w:szCs w:val="24"/>
          <w:highlight w:val="none"/>
          <w:u w:val="single"/>
        </w:rPr>
        <w:t>8</w:t>
      </w:r>
      <w:r>
        <w:rPr>
          <w:rFonts w:hint="eastAsia" w:ascii="宋体" w:hAnsi="宋体" w:cs="宋体"/>
          <w:color w:val="auto"/>
          <w:sz w:val="24"/>
          <w:szCs w:val="24"/>
          <w:highlight w:val="none"/>
        </w:rPr>
        <w:t>套，原始数据提供的所有资料电子文件。</w:t>
      </w:r>
    </w:p>
    <w:p w14:paraId="37DD2682">
      <w:pPr>
        <w:adjustRightInd w:val="0"/>
        <w:snapToGrid w:val="0"/>
        <w:spacing w:line="440" w:lineRule="exact"/>
        <w:ind w:firstLine="560"/>
        <w:rPr>
          <w:rFonts w:hint="eastAsia" w:ascii="宋体" w:hAnsi="宋体" w:cs="宋体"/>
          <w:snapToGrid w:val="0"/>
          <w:color w:val="auto"/>
          <w:kern w:val="0"/>
          <w:sz w:val="24"/>
          <w:szCs w:val="24"/>
          <w:highlight w:val="none"/>
        </w:rPr>
      </w:pPr>
      <w:r>
        <w:rPr>
          <w:rFonts w:hint="eastAsia" w:ascii="宋体" w:hAnsi="宋体" w:cs="宋体"/>
          <w:b/>
          <w:bCs/>
          <w:color w:val="auto"/>
          <w:sz w:val="24"/>
          <w:szCs w:val="24"/>
          <w:highlight w:val="none"/>
        </w:rPr>
        <w:t>6.3</w:t>
      </w:r>
      <w:r>
        <w:rPr>
          <w:rFonts w:hint="eastAsia" w:ascii="宋体" w:hAnsi="宋体" w:cs="宋体"/>
          <w:color w:val="auto"/>
          <w:sz w:val="24"/>
          <w:szCs w:val="24"/>
          <w:highlight w:val="none"/>
        </w:rPr>
        <w:t>设计人要按照经批准的可研报告（修编）、规划条件等资料控制施工图设计，即限额设计。设计人要无条件对设计文件出现的遗漏或错误负责修改或补充，直到满足要求。</w:t>
      </w:r>
    </w:p>
    <w:p w14:paraId="3A1B25EA">
      <w:pPr>
        <w:adjustRightInd w:val="0"/>
        <w:snapToGrid w:val="0"/>
        <w:spacing w:line="440" w:lineRule="exact"/>
        <w:ind w:firstLine="560"/>
        <w:rPr>
          <w:rFonts w:hint="eastAsia" w:ascii="宋体" w:hAnsi="宋体" w:cs="宋体"/>
          <w:snapToGrid w:val="0"/>
          <w:color w:val="auto"/>
          <w:kern w:val="0"/>
          <w:sz w:val="24"/>
          <w:szCs w:val="24"/>
          <w:highlight w:val="none"/>
        </w:rPr>
      </w:pPr>
      <w:r>
        <w:rPr>
          <w:rFonts w:hint="eastAsia" w:ascii="宋体" w:hAnsi="宋体" w:cs="宋体"/>
          <w:b/>
          <w:bCs/>
          <w:color w:val="auto"/>
          <w:sz w:val="24"/>
          <w:szCs w:val="24"/>
          <w:highlight w:val="none"/>
        </w:rPr>
        <w:t>6.4</w:t>
      </w:r>
      <w:r>
        <w:rPr>
          <w:rFonts w:hint="eastAsia" w:ascii="宋体" w:hAnsi="宋体" w:cs="宋体"/>
          <w:snapToGrid w:val="0"/>
          <w:color w:val="auto"/>
          <w:kern w:val="0"/>
          <w:sz w:val="24"/>
          <w:szCs w:val="24"/>
          <w:highlight w:val="none"/>
        </w:rPr>
        <w:t>施工期间若遇到工程变更、突发事件或不可遇见的事件等情况，设计人员接到建设单位或监理单位通知后应当立即到达施工现场，研究并及时处理问题。</w:t>
      </w:r>
    </w:p>
    <w:p w14:paraId="3E8A4FEF">
      <w:pPr>
        <w:adjustRightInd w:val="0"/>
        <w:snapToGrid w:val="0"/>
        <w:spacing w:line="440" w:lineRule="exact"/>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6.5关于设计深度的要求</w:t>
      </w:r>
    </w:p>
    <w:p w14:paraId="5B295A11">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6.5.1按国家及地方现行的设计文件深度规定等有关技术标准、设计规范（标准）要求。</w:t>
      </w:r>
    </w:p>
    <w:p w14:paraId="5C711AA3">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6.5.2各专业设计应同步进行，涉及单位应指定总体设计人统筹布局，做好各项设施的协调和衔接、位置预留，不得留待施工中临时变更。</w:t>
      </w:r>
    </w:p>
    <w:p w14:paraId="7A17BE9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6.5.3对技术复杂或造价、规模较大的主要分项工程应作方案比较。</w:t>
      </w:r>
    </w:p>
    <w:p w14:paraId="7BF7D62F">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6.5.4设计文件的深度，应当满足主要设备材料订货、征地拆迁及编制施工图设计文件的需要。</w:t>
      </w:r>
    </w:p>
    <w:p w14:paraId="6DE0CAC6">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6.5.5.施工图设计文件的深度，应当满足编制施工招标文件及设备材料采购，非标准设备制作和施工的需要，并注明建设工程合理使用年限。</w:t>
      </w:r>
    </w:p>
    <w:p w14:paraId="63CFF7F4">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6.5.6相关的配套外部接口方案均需取得政府主管部门或规划部门认可。</w:t>
      </w:r>
    </w:p>
    <w:p w14:paraId="3C682661">
      <w:pPr>
        <w:adjustRightInd w:val="0"/>
        <w:snapToGrid w:val="0"/>
        <w:spacing w:line="44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6.5.7施工图设计文件应考虑交通维护、临时施工便道、基坑支护、对周边建筑物的影响等因素，并提供相应的设计方案及计算书（可另册装订），以指导现场施工及过程评审。</w:t>
      </w:r>
    </w:p>
    <w:p w14:paraId="02952FCF">
      <w:pPr>
        <w:adjustRightInd w:val="0"/>
        <w:snapToGrid w:val="0"/>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6.6设计后期配合施工工作</w:t>
      </w:r>
    </w:p>
    <w:p w14:paraId="3057C023">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6.6.1设计单位配合施工、监理招标及施工的工作内容如下：</w:t>
      </w:r>
    </w:p>
    <w:p w14:paraId="3172D170">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施工图设计（技术）交底；</w:t>
      </w:r>
    </w:p>
    <w:p w14:paraId="1CD9948D">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配合勘察单位现场交桩；</w:t>
      </w:r>
    </w:p>
    <w:p w14:paraId="6224970C">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变更设计和所有补充设计；</w:t>
      </w:r>
    </w:p>
    <w:p w14:paraId="30C39F8C">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会签设计变更审批表；</w:t>
      </w:r>
    </w:p>
    <w:p w14:paraId="5BCC7ED2">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参加处理施工中发生的工程质量和安全事故；</w:t>
      </w:r>
    </w:p>
    <w:p w14:paraId="4F2A2AA3">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参加隐蔽工程及工程竣工验收；</w:t>
      </w:r>
    </w:p>
    <w:p w14:paraId="1FB27BB8">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解决与设计有关的施工问题；</w:t>
      </w:r>
    </w:p>
    <w:p w14:paraId="1D4106C8">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配合质量检测；</w:t>
      </w:r>
    </w:p>
    <w:p w14:paraId="62ADDE54">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参加审查施工单位的施工组织设计和专项施工方案；</w:t>
      </w:r>
    </w:p>
    <w:p w14:paraId="433714C8">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参加本项目建设有关会议；</w:t>
      </w:r>
    </w:p>
    <w:p w14:paraId="33251573">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在施工、监理招标期间配合建设及相关单位解释及完善施工图相关内容；</w:t>
      </w:r>
    </w:p>
    <w:p w14:paraId="30B4999F">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配合施工单位完成竣工图绘制，并按档案馆要求，完成必要的签字盖章。</w:t>
      </w:r>
    </w:p>
    <w:p w14:paraId="1B762F1F">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6.6.2设计工作技术总结</w:t>
      </w:r>
    </w:p>
    <w:p w14:paraId="1FFA813F">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个日历天内完成，交发包人。</w:t>
      </w:r>
    </w:p>
    <w:p w14:paraId="683CFE37">
      <w:pPr>
        <w:adjustRightInd w:val="0"/>
        <w:snapToGrid w:val="0"/>
        <w:spacing w:line="440" w:lineRule="exact"/>
        <w:ind w:firstLine="560"/>
        <w:rPr>
          <w:rFonts w:hint="eastAsia" w:ascii="宋体" w:hAnsi="宋体" w:cs="宋体"/>
          <w:color w:val="auto"/>
          <w:sz w:val="24"/>
          <w:szCs w:val="24"/>
          <w:highlight w:val="none"/>
        </w:rPr>
      </w:pPr>
      <w:bookmarkStart w:id="53" w:name="OLE_LINK1"/>
      <w:bookmarkStart w:id="54" w:name="_Toc7567"/>
      <w:r>
        <w:rPr>
          <w:rFonts w:hint="eastAsia" w:ascii="宋体" w:hAnsi="宋体" w:cs="宋体"/>
          <w:color w:val="auto"/>
          <w:sz w:val="24"/>
          <w:szCs w:val="24"/>
          <w:highlight w:val="none"/>
        </w:rPr>
        <w:t>6.7限额设计要求</w:t>
      </w:r>
    </w:p>
    <w:p w14:paraId="06F163E4">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6.7.1施工图预算中的建安工程费不得超过初步设计概算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概算限额为止。</w:t>
      </w:r>
    </w:p>
    <w:p w14:paraId="7591E87C">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6.7.2若造价咨询单位按施工图编制的建安工程费高于6.7.1条规定时，承包人必须无条件对施工图进行修改，直至满足限额设计要求。由此造成造价咨询单位重复编制施工图预算的费用由承包人承担，结算时在设计费中扣除。</w:t>
      </w:r>
    </w:p>
    <w:p w14:paraId="7990C1E6">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6.8设计时需要考虑与周边地块的开发相结合及相关规划方案的要求进行设计。</w:t>
      </w:r>
    </w:p>
    <w:p w14:paraId="416B8147">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6.9承包人必须无条件对施工图设计进行修改，直至满足限额设计要求，不另行增加设计费。</w:t>
      </w:r>
    </w:p>
    <w:p w14:paraId="544B49D9">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6.10凡参加本次招标的投标人被视为已充分认识和理解了任何与本工程有关的影响事项和困难等情况。</w:t>
      </w:r>
    </w:p>
    <w:p w14:paraId="675CE77E">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6.11招标人在实施过程中可根据实际情况对工程规模、任务内容等进行合理、适当调整。</w:t>
      </w:r>
      <w:bookmarkEnd w:id="53"/>
      <w:bookmarkStart w:id="55" w:name="_Hlt74496537"/>
      <w:bookmarkEnd w:id="55"/>
      <w:bookmarkStart w:id="56" w:name="_Hlt74493474"/>
      <w:bookmarkEnd w:id="56"/>
      <w:bookmarkStart w:id="57" w:name="_Hlt120502666"/>
      <w:bookmarkEnd w:id="57"/>
      <w:bookmarkStart w:id="58" w:name="_Hlt69699204"/>
      <w:bookmarkEnd w:id="58"/>
      <w:bookmarkStart w:id="59" w:name="_Hlt88974078"/>
      <w:bookmarkEnd w:id="59"/>
      <w:bookmarkStart w:id="60" w:name="_Hlt111690342"/>
      <w:bookmarkEnd w:id="60"/>
      <w:bookmarkStart w:id="61" w:name="_Hlt69356505"/>
      <w:bookmarkEnd w:id="61"/>
      <w:bookmarkStart w:id="62" w:name="_Hlt121563076"/>
      <w:bookmarkEnd w:id="62"/>
    </w:p>
    <w:p w14:paraId="7229A88F">
      <w:pPr>
        <w:adjustRightInd w:val="0"/>
        <w:spacing w:line="288" w:lineRule="auto"/>
        <w:ind w:firstLine="482" w:firstLineChars="200"/>
        <w:rPr>
          <w:rFonts w:hint="eastAsia" w:ascii="宋体" w:hAnsi="宋体" w:cs="宋体"/>
          <w:color w:val="auto"/>
          <w:sz w:val="24"/>
          <w:szCs w:val="24"/>
          <w:highlight w:val="none"/>
          <w:lang w:val="zh-CN"/>
        </w:rPr>
      </w:pPr>
      <w:r>
        <w:rPr>
          <w:rFonts w:hint="eastAsia" w:ascii="宋体" w:hAnsi="宋体" w:cs="宋体"/>
          <w:b/>
          <w:color w:val="auto"/>
          <w:sz w:val="24"/>
          <w:szCs w:val="24"/>
          <w:highlight w:val="none"/>
          <w:u w:val="single"/>
        </w:rPr>
        <w:t>（注：上述招标内容具体参见可行性研究报告，同时招标人在实施过程中可根据实际情况对工程规模、任务内容等进行合理、适当调整。）</w:t>
      </w:r>
    </w:p>
    <w:p w14:paraId="43346358">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63" w:name="_Toc2686"/>
      <w:bookmarkStart w:id="64" w:name="_Toc15875"/>
      <w:r>
        <w:rPr>
          <w:rFonts w:hint="eastAsia" w:ascii="宋体" w:hAnsi="宋体" w:cs="宋体"/>
          <w:b/>
          <w:snapToGrid w:val="0"/>
          <w:color w:val="auto"/>
          <w:sz w:val="24"/>
          <w:highlight w:val="none"/>
        </w:rPr>
        <w:t>7</w:t>
      </w:r>
      <w:bookmarkEnd w:id="54"/>
      <w:r>
        <w:rPr>
          <w:rFonts w:hint="eastAsia" w:ascii="宋体" w:hAnsi="宋体" w:cs="宋体"/>
          <w:b/>
          <w:snapToGrid w:val="0"/>
          <w:color w:val="auto"/>
          <w:sz w:val="24"/>
          <w:highlight w:val="none"/>
        </w:rPr>
        <w:t>.现场踏勘</w:t>
      </w:r>
      <w:bookmarkEnd w:id="63"/>
      <w:bookmarkEnd w:id="64"/>
    </w:p>
    <w:p w14:paraId="4BD4084D">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7.1招标人不集中现场踏勘。投标人需要了解现场情况的，可自行进行现场踏勘。</w:t>
      </w:r>
    </w:p>
    <w:p w14:paraId="204F49F1">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7.2在现场踏勘过程中，投标人应确保自身安全，投标人如果发生人身伤亡、财物或其他损失，法律法规有规定的按有关规定处理，没有规定的由投标人自行负责。</w:t>
      </w:r>
    </w:p>
    <w:p w14:paraId="1CD45F7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7.3现场踏勘期间的交通、食宿由投标人自行安排，费用自理。</w:t>
      </w:r>
    </w:p>
    <w:p w14:paraId="1A5F4BEC">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65" w:name="_Toc14021"/>
      <w:bookmarkStart w:id="66" w:name="_Toc6699"/>
      <w:bookmarkStart w:id="67" w:name="_Toc3050"/>
      <w:r>
        <w:rPr>
          <w:rFonts w:hint="eastAsia" w:ascii="宋体" w:hAnsi="宋体" w:cs="宋体"/>
          <w:b/>
          <w:snapToGrid w:val="0"/>
          <w:color w:val="auto"/>
          <w:sz w:val="24"/>
          <w:highlight w:val="none"/>
        </w:rPr>
        <w:t>8.招标答疑</w:t>
      </w:r>
      <w:bookmarkEnd w:id="65"/>
      <w:bookmarkEnd w:id="66"/>
      <w:bookmarkEnd w:id="67"/>
      <w:bookmarkStart w:id="68" w:name="_Hlt74496410"/>
      <w:bookmarkEnd w:id="68"/>
    </w:p>
    <w:p w14:paraId="54F06198">
      <w:pPr>
        <w:wordWrap w:val="0"/>
        <w:adjustRightInd w:val="0"/>
        <w:snapToGrid w:val="0"/>
        <w:spacing w:line="440" w:lineRule="exact"/>
        <w:ind w:firstLine="561"/>
        <w:rPr>
          <w:rFonts w:hint="eastAsia" w:ascii="宋体" w:hAnsi="宋体" w:cs="宋体"/>
          <w:color w:val="auto"/>
          <w:sz w:val="24"/>
          <w:szCs w:val="24"/>
          <w:highlight w:val="none"/>
        </w:rPr>
      </w:pPr>
      <w:bookmarkStart w:id="69" w:name="_Hlt69699188"/>
      <w:bookmarkEnd w:id="69"/>
      <w:bookmarkStart w:id="70" w:name="_Hlt92513715"/>
      <w:bookmarkEnd w:id="70"/>
      <w:bookmarkStart w:id="71" w:name="_Hlt92513711"/>
      <w:bookmarkEnd w:id="71"/>
      <w:r>
        <w:rPr>
          <w:rFonts w:hint="eastAsia" w:ascii="宋体" w:hAnsi="宋体" w:cs="宋体"/>
          <w:color w:val="auto"/>
          <w:sz w:val="24"/>
          <w:szCs w:val="24"/>
          <w:highlight w:val="none"/>
        </w:rPr>
        <w:t>8.1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p>
    <w:p w14:paraId="24DCDB4A">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8.2若由于投标人自身原因未及时获得答疑书（或补充通知），由此发生的任何责任由投标人自行承担。</w:t>
      </w:r>
    </w:p>
    <w:p w14:paraId="47D55BE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8.3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5F33ABB2">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8.4投标人在规定的时间内未对招标文件提出澄清或疑问的，招标人将视其为无异议。对招标文件中描述有歧意或前后不一致的地方，评标委员会有权进行评判，但对同一条款的评判应适用于每个投标人。</w:t>
      </w:r>
    </w:p>
    <w:p w14:paraId="5C4EB264">
      <w:pPr>
        <w:adjustRightInd w:val="0"/>
        <w:snapToGrid w:val="0"/>
        <w:spacing w:line="360" w:lineRule="auto"/>
        <w:ind w:firstLine="560"/>
        <w:rPr>
          <w:rFonts w:hint="eastAsia" w:ascii="宋体" w:hAnsi="宋体" w:cs="宋体"/>
          <w:b/>
          <w:color w:val="auto"/>
          <w:szCs w:val="24"/>
          <w:highlight w:val="none"/>
        </w:rPr>
      </w:pPr>
      <w:r>
        <w:rPr>
          <w:rFonts w:hint="eastAsia" w:ascii="宋体" w:hAnsi="宋体" w:cs="宋体"/>
          <w:color w:val="auto"/>
          <w:sz w:val="24"/>
          <w:szCs w:val="24"/>
          <w:highlight w:val="none"/>
        </w:rPr>
        <w:t>8.5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521E814A">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72" w:name="_Toc3568"/>
      <w:bookmarkStart w:id="73" w:name="_Toc13869"/>
      <w:r>
        <w:rPr>
          <w:rFonts w:hint="eastAsia" w:ascii="宋体" w:hAnsi="宋体" w:cs="宋体"/>
          <w:b/>
          <w:snapToGrid w:val="0"/>
          <w:color w:val="auto"/>
          <w:sz w:val="24"/>
          <w:highlight w:val="none"/>
        </w:rPr>
        <w:t>9.最高投标限价的确定及投标报价的约定</w:t>
      </w:r>
      <w:bookmarkEnd w:id="72"/>
      <w:bookmarkEnd w:id="73"/>
    </w:p>
    <w:p w14:paraId="7752E15A">
      <w:pPr>
        <w:wordWrap w:val="0"/>
        <w:adjustRightInd w:val="0"/>
        <w:snapToGrid w:val="0"/>
        <w:spacing w:line="440" w:lineRule="exact"/>
        <w:ind w:firstLine="561"/>
        <w:rPr>
          <w:rFonts w:hint="eastAsia" w:ascii="宋体" w:hAnsi="宋体" w:cs="宋体"/>
          <w:color w:val="auto"/>
          <w:sz w:val="24"/>
          <w:szCs w:val="24"/>
          <w:highlight w:val="none"/>
        </w:rPr>
      </w:pPr>
      <w:bookmarkStart w:id="74" w:name="_Toc15385"/>
      <w:bookmarkStart w:id="75" w:name="_Toc23725"/>
      <w:bookmarkStart w:id="76" w:name="_Toc13887"/>
      <w:bookmarkStart w:id="77" w:name="_Toc71813188"/>
      <w:bookmarkStart w:id="78" w:name="_Toc20886"/>
      <w:bookmarkStart w:id="79" w:name="_Toc21136"/>
      <w:bookmarkStart w:id="80" w:name="_Toc17907"/>
      <w:bookmarkStart w:id="81" w:name="_Toc5187"/>
      <w:bookmarkStart w:id="82" w:name="_Toc71813695"/>
      <w:r>
        <w:rPr>
          <w:rFonts w:hint="eastAsia" w:ascii="宋体" w:hAnsi="宋体" w:cs="宋体"/>
          <w:b/>
          <w:bCs/>
          <w:color w:val="auto"/>
          <w:sz w:val="24"/>
          <w:szCs w:val="24"/>
          <w:highlight w:val="none"/>
        </w:rPr>
        <w:t>9.1</w:t>
      </w:r>
      <w:r>
        <w:rPr>
          <w:rFonts w:hint="eastAsia" w:ascii="宋体" w:hAnsi="宋体" w:cs="宋体"/>
          <w:color w:val="auto"/>
          <w:sz w:val="24"/>
          <w:szCs w:val="24"/>
          <w:highlight w:val="none"/>
        </w:rPr>
        <w:t>最高投标限价的确定</w:t>
      </w:r>
      <w:bookmarkEnd w:id="74"/>
      <w:bookmarkEnd w:id="75"/>
      <w:bookmarkEnd w:id="76"/>
      <w:bookmarkEnd w:id="77"/>
      <w:bookmarkEnd w:id="78"/>
      <w:bookmarkEnd w:id="79"/>
      <w:bookmarkEnd w:id="80"/>
      <w:bookmarkEnd w:id="81"/>
      <w:bookmarkEnd w:id="82"/>
    </w:p>
    <w:p w14:paraId="419C21FF">
      <w:pPr>
        <w:pStyle w:val="23"/>
        <w:spacing w:line="480" w:lineRule="exact"/>
        <w:ind w:firstLine="420" w:firstLineChars="175"/>
        <w:rPr>
          <w:rFonts w:hint="eastAsia" w:hAnsi="宋体" w:cs="宋体"/>
          <w:color w:val="auto"/>
          <w:highlight w:val="none"/>
        </w:rPr>
      </w:pPr>
      <w:bookmarkStart w:id="83" w:name="_Hlt121630579"/>
      <w:bookmarkEnd w:id="83"/>
      <w:bookmarkStart w:id="84" w:name="_Hlt75685561"/>
      <w:bookmarkEnd w:id="84"/>
      <w:bookmarkStart w:id="85" w:name="_Hlt126039060"/>
      <w:bookmarkEnd w:id="85"/>
      <w:bookmarkStart w:id="86" w:name="_Hlt75685913"/>
      <w:bookmarkEnd w:id="86"/>
      <w:bookmarkStart w:id="87" w:name="_Toc18975"/>
      <w:bookmarkStart w:id="88" w:name="_Hlt121629839"/>
      <w:bookmarkStart w:id="89" w:name="_Hlt69335617"/>
      <w:r>
        <w:rPr>
          <w:rFonts w:hint="eastAsia" w:hAnsi="宋体" w:cs="宋体"/>
          <w:color w:val="auto"/>
          <w:highlight w:val="none"/>
        </w:rPr>
        <w:t>经研究确定，本次招标最高投标限价为：壹佰伍拾万元整（1500000.00元）</w:t>
      </w:r>
    </w:p>
    <w:p w14:paraId="1DD1077C">
      <w:pPr>
        <w:pStyle w:val="23"/>
        <w:spacing w:line="480" w:lineRule="exact"/>
        <w:ind w:firstLine="422" w:firstLineChars="175"/>
        <w:rPr>
          <w:rFonts w:hint="eastAsia" w:hAnsi="宋体" w:cs="宋体"/>
          <w:bCs/>
          <w:snapToGrid w:val="0"/>
          <w:color w:val="auto"/>
          <w:szCs w:val="24"/>
          <w:highlight w:val="none"/>
        </w:rPr>
      </w:pPr>
      <w:r>
        <w:rPr>
          <w:rFonts w:hint="eastAsia" w:hAnsi="宋体" w:cs="宋体"/>
          <w:b/>
          <w:snapToGrid w:val="0"/>
          <w:color w:val="auto"/>
          <w:szCs w:val="24"/>
          <w:highlight w:val="none"/>
        </w:rPr>
        <w:t>备注：</w:t>
      </w:r>
      <w:r>
        <w:rPr>
          <w:rFonts w:hint="eastAsia" w:hAnsi="宋体" w:cs="宋体"/>
          <w:bCs/>
          <w:snapToGrid w:val="0"/>
          <w:color w:val="auto"/>
          <w:szCs w:val="24"/>
          <w:highlight w:val="none"/>
        </w:rPr>
        <w:t>1.投标报价超过最高投标限价为无效报价。</w:t>
      </w:r>
    </w:p>
    <w:p w14:paraId="7718DD56">
      <w:pPr>
        <w:pStyle w:val="23"/>
        <w:spacing w:line="480" w:lineRule="exact"/>
        <w:ind w:firstLine="1140" w:firstLineChars="475"/>
        <w:rPr>
          <w:rFonts w:hint="eastAsia" w:hAnsi="宋体" w:cs="宋体"/>
          <w:bCs/>
          <w:snapToGrid w:val="0"/>
          <w:color w:val="auto"/>
          <w:szCs w:val="24"/>
          <w:highlight w:val="none"/>
        </w:rPr>
      </w:pPr>
      <w:r>
        <w:rPr>
          <w:rFonts w:hint="eastAsia" w:hAnsi="宋体" w:cs="宋体"/>
          <w:bCs/>
          <w:snapToGrid w:val="0"/>
          <w:color w:val="auto"/>
          <w:szCs w:val="24"/>
          <w:highlight w:val="none"/>
        </w:rPr>
        <w:t>2.投标报价均保留至小数点后两位。</w:t>
      </w:r>
    </w:p>
    <w:p w14:paraId="0FF01C6A">
      <w:pPr>
        <w:pStyle w:val="23"/>
        <w:spacing w:line="480" w:lineRule="exact"/>
        <w:ind w:firstLine="1140" w:firstLineChars="475"/>
        <w:rPr>
          <w:rFonts w:hint="eastAsia" w:hAnsi="宋体" w:cs="宋体"/>
          <w:bCs/>
          <w:snapToGrid w:val="0"/>
          <w:color w:val="auto"/>
          <w:szCs w:val="24"/>
          <w:highlight w:val="none"/>
        </w:rPr>
      </w:pPr>
      <w:r>
        <w:rPr>
          <w:rFonts w:hint="eastAsia" w:hAnsi="宋体" w:cs="宋体"/>
          <w:bCs/>
          <w:snapToGrid w:val="0"/>
          <w:color w:val="auto"/>
          <w:szCs w:val="24"/>
          <w:highlight w:val="none"/>
        </w:rPr>
        <w:t>3.以上投标报价均为含税报价（增值税）。</w:t>
      </w:r>
    </w:p>
    <w:p w14:paraId="097EBED7">
      <w:pPr>
        <w:pStyle w:val="23"/>
        <w:spacing w:line="480" w:lineRule="exact"/>
        <w:ind w:firstLine="422" w:firstLineChars="175"/>
        <w:rPr>
          <w:rFonts w:hint="eastAsia" w:hAnsi="宋体" w:cs="宋体"/>
          <w:bCs/>
          <w:snapToGrid w:val="0"/>
          <w:color w:val="auto"/>
          <w:szCs w:val="24"/>
          <w:highlight w:val="none"/>
        </w:rPr>
      </w:pPr>
      <w:r>
        <w:rPr>
          <w:rFonts w:hint="eastAsia" w:hAnsi="宋体" w:cs="宋体"/>
          <w:b/>
          <w:snapToGrid w:val="0"/>
          <w:color w:val="auto"/>
          <w:szCs w:val="24"/>
          <w:highlight w:val="none"/>
        </w:rPr>
        <w:t>9.2</w:t>
      </w:r>
      <w:bookmarkStart w:id="90" w:name="_Hlt74498519"/>
      <w:bookmarkEnd w:id="90"/>
      <w:r>
        <w:rPr>
          <w:rFonts w:hint="eastAsia" w:hAnsi="宋体" w:cs="宋体"/>
          <w:bCs/>
          <w:snapToGrid w:val="0"/>
          <w:color w:val="auto"/>
          <w:szCs w:val="24"/>
          <w:highlight w:val="none"/>
        </w:rPr>
        <w:t>投标报价的约定</w:t>
      </w:r>
    </w:p>
    <w:p w14:paraId="5E6BF7A6">
      <w:pPr>
        <w:pStyle w:val="23"/>
        <w:spacing w:line="480" w:lineRule="exact"/>
        <w:ind w:firstLine="422" w:firstLineChars="175"/>
        <w:rPr>
          <w:rFonts w:hint="eastAsia" w:hAnsi="宋体" w:cs="宋体"/>
          <w:color w:val="auto"/>
          <w:szCs w:val="24"/>
          <w:highlight w:val="none"/>
        </w:rPr>
      </w:pPr>
      <w:r>
        <w:rPr>
          <w:rFonts w:hint="eastAsia" w:hAnsi="宋体" w:cs="宋体"/>
          <w:b/>
          <w:snapToGrid w:val="0"/>
          <w:color w:val="auto"/>
          <w:szCs w:val="24"/>
          <w:highlight w:val="none"/>
        </w:rPr>
        <w:t>9.2.1</w:t>
      </w:r>
      <w:r>
        <w:rPr>
          <w:rFonts w:hint="eastAsia" w:hAnsi="宋体" w:cs="宋体"/>
          <w:bCs/>
          <w:snapToGrid w:val="0"/>
          <w:color w:val="auto"/>
          <w:szCs w:val="24"/>
          <w:highlight w:val="none"/>
        </w:rPr>
        <w:t>投标人以设计费进行投标报价。设计费可参照《工程勘察设计收费标准》（2002年版）的标准和结合企业自身情况进行报价。设计费报价不得超出最高投标限价的规定。</w:t>
      </w:r>
    </w:p>
    <w:p w14:paraId="6F088853">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9.2.2</w:t>
      </w:r>
      <w:r>
        <w:rPr>
          <w:rFonts w:hint="eastAsia" w:ascii="宋体" w:hAnsi="宋体" w:cs="宋体"/>
          <w:color w:val="auto"/>
          <w:sz w:val="24"/>
          <w:szCs w:val="24"/>
          <w:highlight w:val="none"/>
        </w:rPr>
        <w:t>设计费投标报价：设计费应包括招标文件中招标内容（范围）及设计任务书（若有）所规定的所有设计工作的所有费用，应包含各个不同专业的设计费用、进行优化设计或修改设计所增加的设计费用。</w:t>
      </w:r>
    </w:p>
    <w:p w14:paraId="3562BD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设计费投标报价：</w:t>
      </w:r>
      <w:bookmarkStart w:id="91" w:name="_（十）投标文件的编制、包装、密封"/>
      <w:bookmarkEnd w:id="91"/>
      <w:r>
        <w:rPr>
          <w:rFonts w:hint="eastAsia" w:ascii="宋体" w:hAnsi="宋体" w:cs="宋体"/>
          <w:color w:val="auto"/>
          <w:sz w:val="24"/>
          <w:szCs w:val="24"/>
          <w:highlight w:val="none"/>
        </w:rPr>
        <w:t>采用报总价方式进行报价。</w:t>
      </w:r>
    </w:p>
    <w:p w14:paraId="27F9BC16">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9.2.3</w:t>
      </w:r>
      <w:r>
        <w:rPr>
          <w:rFonts w:hint="eastAsia" w:ascii="宋体" w:hAnsi="宋体" w:cs="宋体"/>
          <w:color w:val="auto"/>
          <w:sz w:val="24"/>
          <w:szCs w:val="24"/>
          <w:highlight w:val="none"/>
        </w:rPr>
        <w:t>投标人投标报价必须按照本次招标公布的最高投标限价的相关规定进行编制。</w:t>
      </w:r>
    </w:p>
    <w:p w14:paraId="32B160F9">
      <w:pPr>
        <w:spacing w:line="360" w:lineRule="auto"/>
        <w:ind w:firstLine="482" w:firstLineChars="200"/>
        <w:rPr>
          <w:rFonts w:hint="eastAsia" w:ascii="宋体" w:hAnsi="宋体" w:cs="宋体"/>
          <w:color w:val="auto"/>
          <w:highlight w:val="none"/>
        </w:rPr>
      </w:pPr>
      <w:r>
        <w:rPr>
          <w:rFonts w:hint="eastAsia" w:ascii="宋体" w:hAnsi="宋体" w:cs="宋体"/>
          <w:b/>
          <w:bCs/>
          <w:color w:val="auto"/>
          <w:sz w:val="24"/>
          <w:szCs w:val="24"/>
          <w:highlight w:val="none"/>
        </w:rPr>
        <w:t>9.2.4</w:t>
      </w:r>
      <w:r>
        <w:rPr>
          <w:rFonts w:hint="eastAsia" w:ascii="宋体" w:hAnsi="宋体" w:cs="宋体"/>
          <w:color w:val="auto"/>
          <w:sz w:val="24"/>
          <w:highlight w:val="none"/>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59E20726">
      <w:pPr>
        <w:spacing w:line="360" w:lineRule="auto"/>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9.2.5</w:t>
      </w:r>
      <w:r>
        <w:rPr>
          <w:rFonts w:hint="eastAsia" w:ascii="宋体" w:hAnsi="宋体" w:cs="宋体"/>
          <w:color w:val="auto"/>
          <w:sz w:val="24"/>
          <w:szCs w:val="24"/>
          <w:highlight w:val="none"/>
        </w:rPr>
        <w:t>本项目投标报价应综合考虑设计总包服务费、各阶段成果文件的审查费、专家评审费，绿色建筑设计费（如有）以及所有专业及工程复杂程度相关的调整系数以及报建工作所需的内容等所包含的一切费用，还应考虑任何阶段性设计修改不增加任何费用的风险。</w:t>
      </w:r>
      <w:r>
        <w:rPr>
          <w:rFonts w:hint="eastAsia" w:ascii="宋体" w:hAnsi="宋体" w:cs="宋体"/>
          <w:color w:val="auto"/>
          <w:sz w:val="24"/>
          <w:szCs w:val="24"/>
          <w:highlight w:val="none"/>
          <w:lang w:val="zh-CN"/>
        </w:rPr>
        <w:t>设计费的报价应包含进行优化设计或修改设计所增加的设计费用。</w:t>
      </w:r>
    </w:p>
    <w:p w14:paraId="4F391CB6">
      <w:pPr>
        <w:spacing w:line="360" w:lineRule="auto"/>
        <w:ind w:firstLine="482" w:firstLineChars="200"/>
        <w:rPr>
          <w:rFonts w:hint="eastAsia" w:ascii="宋体" w:hAnsi="宋体" w:cs="宋体"/>
          <w:color w:val="auto"/>
          <w:highlight w:val="none"/>
        </w:rPr>
      </w:pPr>
      <w:r>
        <w:rPr>
          <w:rFonts w:hint="eastAsia" w:ascii="宋体" w:hAnsi="宋体" w:cs="宋体"/>
          <w:b/>
          <w:bCs/>
          <w:color w:val="auto"/>
          <w:sz w:val="24"/>
          <w:szCs w:val="24"/>
          <w:highlight w:val="none"/>
        </w:rPr>
        <w:t>9.2.6</w:t>
      </w:r>
      <w:r>
        <w:rPr>
          <w:rFonts w:hint="eastAsia" w:ascii="宋体" w:hAnsi="宋体" w:cs="宋体"/>
          <w:color w:val="auto"/>
          <w:sz w:val="24"/>
          <w:szCs w:val="24"/>
          <w:highlight w:val="none"/>
        </w:rPr>
        <w:t>投标报价时应充分考虑“拟签订合同的主要条款”及“中标人须知”中所列条款的要求及风险。</w:t>
      </w:r>
    </w:p>
    <w:p w14:paraId="5D0F5F23">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92" w:name="_Toc9910"/>
      <w:bookmarkStart w:id="93" w:name="_Toc7397"/>
      <w:r>
        <w:rPr>
          <w:rFonts w:hint="eastAsia" w:ascii="宋体" w:hAnsi="宋体" w:cs="宋体"/>
          <w:b/>
          <w:snapToGrid w:val="0"/>
          <w:color w:val="auto"/>
          <w:sz w:val="24"/>
          <w:highlight w:val="none"/>
        </w:rPr>
        <w:t>10.投标文件的编制</w:t>
      </w:r>
      <w:bookmarkStart w:id="94" w:name="_Hlt69332370"/>
      <w:bookmarkEnd w:id="94"/>
      <w:bookmarkStart w:id="95" w:name="_Hlt69208262"/>
      <w:bookmarkEnd w:id="95"/>
      <w:r>
        <w:rPr>
          <w:rFonts w:hint="eastAsia" w:ascii="宋体" w:hAnsi="宋体" w:cs="宋体"/>
          <w:b/>
          <w:snapToGrid w:val="0"/>
          <w:color w:val="auto"/>
          <w:sz w:val="24"/>
          <w:highlight w:val="none"/>
        </w:rPr>
        <w:t>要求</w:t>
      </w:r>
      <w:bookmarkEnd w:id="87"/>
      <w:bookmarkEnd w:id="92"/>
      <w:bookmarkEnd w:id="93"/>
    </w:p>
    <w:p w14:paraId="31C1A692">
      <w:pPr>
        <w:pStyle w:val="23"/>
        <w:ind w:firstLine="560"/>
        <w:rPr>
          <w:rFonts w:hint="eastAsia" w:hAnsi="宋体" w:cs="宋体"/>
          <w:color w:val="auto"/>
          <w:highlight w:val="none"/>
        </w:rPr>
      </w:pPr>
      <w:bookmarkStart w:id="96" w:name="_Hlt74495594"/>
      <w:bookmarkEnd w:id="96"/>
      <w:bookmarkStart w:id="97" w:name="_Hlt78768224"/>
      <w:bookmarkEnd w:id="97"/>
      <w:bookmarkStart w:id="98" w:name="_Hlt74497202"/>
      <w:bookmarkEnd w:id="98"/>
      <w:r>
        <w:rPr>
          <w:rFonts w:hint="eastAsia" w:hAnsi="宋体" w:cs="宋体"/>
          <w:b/>
          <w:bCs/>
          <w:color w:val="auto"/>
          <w:highlight w:val="none"/>
        </w:rPr>
        <w:t>10.1</w:t>
      </w:r>
      <w:r>
        <w:rPr>
          <w:rFonts w:hint="eastAsia" w:hAnsi="宋体" w:cs="宋体"/>
          <w:color w:val="auto"/>
          <w:highlight w:val="none"/>
        </w:rPr>
        <w:t>一般要求</w:t>
      </w:r>
    </w:p>
    <w:p w14:paraId="6D1FF53F">
      <w:pPr>
        <w:pStyle w:val="23"/>
        <w:ind w:firstLine="560"/>
        <w:rPr>
          <w:rFonts w:hint="eastAsia" w:hAnsi="宋体" w:cs="宋体"/>
          <w:color w:val="auto"/>
          <w:highlight w:val="none"/>
        </w:rPr>
      </w:pPr>
      <w:r>
        <w:rPr>
          <w:rFonts w:hint="eastAsia" w:hAnsi="宋体" w:cs="宋体"/>
          <w:color w:val="auto"/>
          <w:highlight w:val="none"/>
        </w:rPr>
        <w:t>投标文件应按第五章 投标文件格式规定的内容，投标人提交的投标文件应当使用招标文件所提供的投标文件全部格式。</w:t>
      </w:r>
    </w:p>
    <w:p w14:paraId="7E10534A">
      <w:pPr>
        <w:pStyle w:val="23"/>
        <w:spacing w:line="288" w:lineRule="auto"/>
        <w:ind w:firstLine="560"/>
        <w:rPr>
          <w:rFonts w:hint="eastAsia" w:hAnsi="宋体" w:cs="宋体"/>
          <w:color w:val="auto"/>
          <w:highlight w:val="none"/>
        </w:rPr>
      </w:pPr>
      <w:r>
        <w:rPr>
          <w:rFonts w:hint="eastAsia" w:hAnsi="宋体" w:cs="宋体"/>
          <w:color w:val="auto"/>
          <w:highlight w:val="none"/>
        </w:rPr>
        <w:t>10.1.1投标人必须响应招标文件，并在充分理解招标文件的基础</w:t>
      </w:r>
      <w:bookmarkStart w:id="99" w:name="_Hlt78709790"/>
      <w:bookmarkEnd w:id="99"/>
      <w:r>
        <w:rPr>
          <w:rFonts w:hint="eastAsia" w:hAnsi="宋体" w:cs="宋体"/>
          <w:color w:val="auto"/>
          <w:highlight w:val="none"/>
        </w:rPr>
        <w:t>上编制投标文件。因投标文件不符合招标文件的要求而造成的损失和后果，由投标人自行承担。</w:t>
      </w:r>
      <w:bookmarkStart w:id="100" w:name="_Hlt74496890"/>
      <w:bookmarkEnd w:id="100"/>
    </w:p>
    <w:p w14:paraId="5358432E">
      <w:pPr>
        <w:pStyle w:val="23"/>
        <w:spacing w:line="288" w:lineRule="auto"/>
        <w:ind w:firstLine="560"/>
        <w:rPr>
          <w:rFonts w:hint="eastAsia" w:hAnsi="宋体" w:cs="宋体"/>
          <w:color w:val="auto"/>
          <w:highlight w:val="none"/>
        </w:rPr>
      </w:pPr>
      <w:r>
        <w:rPr>
          <w:rFonts w:hint="eastAsia" w:hAnsi="宋体" w:cs="宋体"/>
          <w:color w:val="auto"/>
          <w:highlight w:val="none"/>
        </w:rPr>
        <w:t>10.1.2</w:t>
      </w:r>
      <w:r>
        <w:rPr>
          <w:rFonts w:hint="eastAsia" w:hAnsi="宋体" w:cs="宋体"/>
          <w:color w:val="auto"/>
          <w:szCs w:val="24"/>
          <w:highlight w:val="none"/>
        </w:rPr>
        <w:t>投标文件包括</w:t>
      </w:r>
      <w:r>
        <w:rPr>
          <w:rFonts w:hint="eastAsia" w:hAnsi="宋体" w:cs="宋体"/>
          <w:b/>
          <w:bCs/>
          <w:color w:val="auto"/>
          <w:szCs w:val="24"/>
          <w:highlight w:val="none"/>
        </w:rPr>
        <w:t>商务经济标书、技术标书</w:t>
      </w:r>
      <w:r>
        <w:rPr>
          <w:rFonts w:hint="eastAsia" w:hAnsi="宋体" w:cs="宋体"/>
          <w:color w:val="auto"/>
          <w:szCs w:val="24"/>
          <w:highlight w:val="none"/>
        </w:rPr>
        <w:t>两个分册。投标文件在电子投标时全部采用电子文档（中标人自中标通知书发出之日起五个工作日内再提供正本1份、副本1份的纸质版投标文件给招标人存档），</w:t>
      </w:r>
      <w:r>
        <w:rPr>
          <w:rFonts w:hint="eastAsia" w:hAnsi="宋体" w:cs="宋体"/>
          <w:color w:val="auto"/>
          <w:highlight w:val="none"/>
        </w:rPr>
        <w:t>投标文件全部采用电子文档，投标文件所附证书证件均为</w:t>
      </w:r>
      <w:r>
        <w:rPr>
          <w:rFonts w:hint="eastAsia" w:hAnsi="宋体" w:cs="宋体"/>
          <w:snapToGrid w:val="0"/>
          <w:color w:val="auto"/>
          <w:kern w:val="0"/>
          <w:highlight w:val="none"/>
        </w:rPr>
        <w:t>彩色</w:t>
      </w:r>
      <w:r>
        <w:rPr>
          <w:rFonts w:hint="eastAsia" w:hAnsi="宋体" w:cs="宋体"/>
          <w:color w:val="auto"/>
          <w:highlight w:val="none"/>
        </w:rPr>
        <w:t>扫描件，并采用单位数字证书，按招标文件要求在相应位置加盖电子印章。投标文件中需个人签字或盖章的，应加盖个人电子印章或在线下完成后扫描上传。按照交易平台关于全流程电子化项目的相关指南进行操作。</w:t>
      </w:r>
    </w:p>
    <w:p w14:paraId="7C161AF1">
      <w:pPr>
        <w:pStyle w:val="23"/>
        <w:spacing w:line="288" w:lineRule="auto"/>
        <w:ind w:firstLine="560"/>
        <w:rPr>
          <w:rFonts w:hint="eastAsia" w:hAnsi="宋体" w:cs="宋体"/>
          <w:color w:val="auto"/>
          <w:highlight w:val="none"/>
        </w:rPr>
      </w:pPr>
      <w:r>
        <w:rPr>
          <w:rFonts w:hint="eastAsia" w:hAnsi="宋体" w:cs="宋体"/>
          <w:color w:val="auto"/>
          <w:highlight w:val="none"/>
        </w:rPr>
        <w:t>10.1.3投标文件需按以下要求签字、盖章：</w:t>
      </w:r>
    </w:p>
    <w:p w14:paraId="77148A94">
      <w:pPr>
        <w:pStyle w:val="26"/>
        <w:spacing w:line="288" w:lineRule="auto"/>
        <w:ind w:firstLine="561" w:firstLineChars="0"/>
        <w:rPr>
          <w:rFonts w:hint="eastAsia" w:hAnsi="宋体" w:cs="宋体"/>
          <w:b/>
          <w:bCs/>
          <w:color w:val="auto"/>
          <w:szCs w:val="22"/>
          <w:highlight w:val="none"/>
        </w:rPr>
      </w:pPr>
      <w:r>
        <w:rPr>
          <w:rFonts w:hint="eastAsia" w:hAnsi="宋体" w:cs="宋体"/>
          <w:b/>
          <w:bCs/>
          <w:color w:val="auto"/>
          <w:szCs w:val="22"/>
          <w:highlight w:val="none"/>
        </w:rPr>
        <w:t>电子投标文件：</w:t>
      </w:r>
    </w:p>
    <w:p w14:paraId="6A1559DB">
      <w:pPr>
        <w:pStyle w:val="26"/>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10.1.3.1投标文件封面、组成内容中凡注明“签字”处由要求的人员签字或电子签章；凡注明“签字或盖章”处由要求的人员签字或盖其私章（电子印章）；凡注明“签字并盖执业印章”处由要求的人员签字并盖其执业印章。</w:t>
      </w:r>
    </w:p>
    <w:p w14:paraId="50251DC5">
      <w:pPr>
        <w:pStyle w:val="26"/>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10.1.3.2投标文件封面、组成内容中凡要求录入投标人名称且注明“盖单位章”处盖单位法人公章（电子印章）。</w:t>
      </w:r>
    </w:p>
    <w:p w14:paraId="3AF3E808">
      <w:pPr>
        <w:pStyle w:val="26"/>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10.1.3.3投标文件的签字均为签字人本人亲笔署名或签章（电子印章），其余部分的复印件无须另行签字、盖章。</w:t>
      </w:r>
    </w:p>
    <w:p w14:paraId="3A19501A">
      <w:pPr>
        <w:pStyle w:val="26"/>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10.1.3.4联合体投标的，除《联合体协议书》外，由联合体牵头人按以上要求签字（电子印章）、盖章（电子印章）即可。投标文件的签字均为签字人本人亲笔署名或签章（电子印章），其余部分的复印件无须另行签字、盖章。</w:t>
      </w:r>
    </w:p>
    <w:p w14:paraId="7822BD13">
      <w:pPr>
        <w:pStyle w:val="23"/>
        <w:ind w:firstLine="560"/>
        <w:rPr>
          <w:rFonts w:hint="eastAsia" w:hAnsi="宋体" w:cs="宋体"/>
          <w:color w:val="auto"/>
          <w:highlight w:val="none"/>
        </w:rPr>
      </w:pPr>
      <w:bookmarkStart w:id="101" w:name="_Toc31553"/>
      <w:bookmarkStart w:id="102" w:name="_Toc22153"/>
      <w:bookmarkStart w:id="103" w:name="_Toc71813699"/>
      <w:bookmarkStart w:id="104" w:name="_Toc6742"/>
      <w:bookmarkStart w:id="105" w:name="_Toc4518"/>
      <w:bookmarkStart w:id="106" w:name="_Toc15920"/>
      <w:bookmarkStart w:id="107" w:name="_Toc71811078"/>
      <w:bookmarkStart w:id="108" w:name="_Toc7377"/>
      <w:bookmarkStart w:id="109" w:name="_Toc22855"/>
      <w:bookmarkStart w:id="110" w:name="_Toc8420"/>
      <w:bookmarkStart w:id="111" w:name="_Toc71811176"/>
      <w:bookmarkStart w:id="112" w:name="_Toc274313880"/>
      <w:bookmarkStart w:id="113" w:name="_Toc496133009"/>
      <w:bookmarkStart w:id="114" w:name="_Toc71811309"/>
      <w:bookmarkStart w:id="115" w:name="_Toc257031159"/>
      <w:r>
        <w:rPr>
          <w:rFonts w:hint="eastAsia" w:hAnsi="宋体" w:cs="宋体"/>
          <w:b/>
          <w:bCs/>
          <w:color w:val="auto"/>
          <w:highlight w:val="none"/>
        </w:rPr>
        <w:t>10.2</w:t>
      </w:r>
      <w:r>
        <w:rPr>
          <w:rFonts w:hint="eastAsia" w:hAnsi="宋体" w:cs="宋体"/>
          <w:color w:val="auto"/>
          <w:highlight w:val="none"/>
        </w:rPr>
        <w:t>商务经济标书的编制要求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7BC749E">
      <w:pPr>
        <w:pStyle w:val="23"/>
        <w:spacing w:line="288" w:lineRule="auto"/>
        <w:ind w:firstLine="561"/>
        <w:rPr>
          <w:rFonts w:hint="eastAsia" w:hAnsi="宋体" w:cs="宋体"/>
          <w:color w:val="auto"/>
          <w:highlight w:val="none"/>
          <w:u w:val="single"/>
        </w:rPr>
      </w:pPr>
      <w:r>
        <w:rPr>
          <w:rFonts w:hint="eastAsia" w:hAnsi="宋体" w:cs="宋体"/>
          <w:color w:val="auto"/>
          <w:highlight w:val="none"/>
        </w:rPr>
        <w:t>10.2.1商务经济标书包括但不限于以下内容：</w:t>
      </w:r>
    </w:p>
    <w:p w14:paraId="43D2AED6">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（1）封面（格式一）；</w:t>
      </w:r>
    </w:p>
    <w:p w14:paraId="048A0EA1">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（2）目录；</w:t>
      </w:r>
    </w:p>
    <w:p w14:paraId="3F5FE385">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（3）《投标函》（格式二）；</w:t>
      </w:r>
    </w:p>
    <w:p w14:paraId="5CA84586">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（4）《各项承诺一览表》（格式三）；</w:t>
      </w:r>
    </w:p>
    <w:p w14:paraId="3E800836">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（5）《法定代表人身份证明》（格式七）；</w:t>
      </w:r>
    </w:p>
    <w:p w14:paraId="50C7D3FC">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（6）《授权委托书》（格式八）；</w:t>
      </w:r>
    </w:p>
    <w:p w14:paraId="1D1C589E">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（7）投标保证缴纳证明（投标人采用投标保证金的，附建设工程交易系统《缴纳投标保证金通知书》页面截图打印件或银行转账单复印件；采用投标保证担保的，附银行保函复印件；采用投标保证保险的，</w:t>
      </w:r>
      <w:r>
        <w:rPr>
          <w:rFonts w:hint="eastAsia" w:hAnsi="宋体" w:cs="宋体"/>
          <w:color w:val="auto"/>
          <w:highlight w:val="none"/>
        </w:rPr>
        <w:t>附电子保单和《韶关市公共资源交易一体化平台保证金缴纳信息》页面截图</w:t>
      </w:r>
      <w:r>
        <w:rPr>
          <w:rFonts w:hint="eastAsia" w:hAnsi="宋体" w:cs="宋体"/>
          <w:color w:val="auto"/>
          <w:szCs w:val="18"/>
          <w:highlight w:val="none"/>
        </w:rPr>
        <w:t>）。</w:t>
      </w:r>
    </w:p>
    <w:p w14:paraId="638078B8">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（8）《投标人基本情况表》（格式四）及所附资料；</w:t>
      </w:r>
    </w:p>
    <w:p w14:paraId="52A40415">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（9）《设计负责人简历表》（格式五）及所附资料；</w:t>
      </w:r>
    </w:p>
    <w:p w14:paraId="793D8047">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（10）《本项目拟投入的人员基本情况表》（格式六）及所附资料；</w:t>
      </w:r>
    </w:p>
    <w:p w14:paraId="476F1E27">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（11）《联合体协议书》（格式九）</w:t>
      </w:r>
    </w:p>
    <w:p w14:paraId="0CE48979">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（12）详细评审阶段要求提供的评审资料（详见综合评分表）；</w:t>
      </w:r>
    </w:p>
    <w:p w14:paraId="367AAF7D">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13）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BAB21A8">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10.2.2本节第10.2.1目中所列出的商务经济标书组成内容中，第（1）至第（11）项所有投标人均应提供。但非联合体投标的，无需提供第（11）项内容。</w:t>
      </w:r>
    </w:p>
    <w:p w14:paraId="0F36FC4E">
      <w:pPr>
        <w:pStyle w:val="23"/>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10.2.3商务经济标书应尽量避免手工涂改、行间插字或删除。如果出现上述情况，改动之处应加盖单位章或由投标人的法定代表人或其委托代理人签字确认。</w:t>
      </w:r>
    </w:p>
    <w:p w14:paraId="4B7A00BF">
      <w:pPr>
        <w:pStyle w:val="23"/>
        <w:ind w:firstLine="560"/>
        <w:rPr>
          <w:rFonts w:hint="eastAsia" w:hAnsi="宋体" w:cs="宋体"/>
          <w:color w:val="auto"/>
          <w:highlight w:val="none"/>
        </w:rPr>
      </w:pPr>
      <w:bookmarkStart w:id="116" w:name="_Toc71811310"/>
      <w:bookmarkStart w:id="117" w:name="_Toc477"/>
      <w:bookmarkStart w:id="118" w:name="_Toc71811079"/>
      <w:bookmarkStart w:id="119" w:name="_Toc14011"/>
      <w:bookmarkStart w:id="120" w:name="_Toc26984"/>
      <w:bookmarkStart w:id="121" w:name="_Toc71811177"/>
      <w:bookmarkStart w:id="122" w:name="_Toc310"/>
      <w:bookmarkStart w:id="123" w:name="_Toc71813700"/>
      <w:bookmarkStart w:id="124" w:name="_Toc8028"/>
      <w:bookmarkStart w:id="125" w:name="_Toc30837"/>
      <w:bookmarkStart w:id="126" w:name="_Toc466640590"/>
      <w:bookmarkStart w:id="127" w:name="_Toc29429"/>
      <w:bookmarkStart w:id="128" w:name="_Toc3758"/>
      <w:bookmarkStart w:id="129" w:name="_Toc496133010"/>
      <w:r>
        <w:rPr>
          <w:rFonts w:hint="eastAsia" w:hAnsi="宋体" w:cs="宋体"/>
          <w:b/>
          <w:bCs/>
          <w:color w:val="auto"/>
          <w:highlight w:val="none"/>
        </w:rPr>
        <w:t>10.3</w:t>
      </w:r>
      <w:r>
        <w:rPr>
          <w:rFonts w:hint="eastAsia" w:hAnsi="宋体" w:cs="宋体"/>
          <w:color w:val="auto"/>
          <w:highlight w:val="none"/>
        </w:rPr>
        <w:t>技术标书的编制要求</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27B7302">
      <w:pPr>
        <w:pStyle w:val="27"/>
        <w:spacing w:line="288" w:lineRule="auto"/>
        <w:ind w:firstLine="480" w:firstLineChars="200"/>
        <w:rPr>
          <w:rFonts w:hint="eastAsia" w:hAnsi="宋体" w:cs="宋体"/>
          <w:color w:val="auto"/>
          <w:highlight w:val="none"/>
          <w:u w:val="single"/>
        </w:rPr>
      </w:pPr>
      <w:r>
        <w:rPr>
          <w:rFonts w:hint="eastAsia" w:hAnsi="宋体" w:cs="宋体"/>
          <w:color w:val="auto"/>
          <w:highlight w:val="none"/>
        </w:rPr>
        <w:t>10.3.1技术标书包括但不限于以下内容：</w:t>
      </w:r>
    </w:p>
    <w:p w14:paraId="74F7E279">
      <w:pPr>
        <w:pStyle w:val="27"/>
        <w:spacing w:line="288" w:lineRule="auto"/>
        <w:ind w:firstLine="420" w:firstLineChars="175"/>
        <w:rPr>
          <w:rFonts w:hint="eastAsia" w:hAnsi="宋体" w:cs="宋体"/>
          <w:color w:val="auto"/>
          <w:highlight w:val="none"/>
        </w:rPr>
      </w:pPr>
      <w:r>
        <w:rPr>
          <w:rFonts w:hint="eastAsia" w:hAnsi="宋体" w:cs="宋体"/>
          <w:color w:val="auto"/>
          <w:highlight w:val="none"/>
        </w:rPr>
        <w:t>（1）封面</w:t>
      </w:r>
      <w:r>
        <w:rPr>
          <w:rFonts w:hint="eastAsia" w:hAnsi="宋体" w:cs="宋体"/>
          <w:color w:val="auto"/>
          <w:szCs w:val="22"/>
          <w:highlight w:val="none"/>
        </w:rPr>
        <w:t>（格式一）</w:t>
      </w:r>
      <w:r>
        <w:rPr>
          <w:rFonts w:hint="eastAsia" w:hAnsi="宋体" w:cs="宋体"/>
          <w:color w:val="auto"/>
          <w:highlight w:val="none"/>
        </w:rPr>
        <w:t>；</w:t>
      </w:r>
    </w:p>
    <w:p w14:paraId="64B8387C">
      <w:pPr>
        <w:pStyle w:val="27"/>
        <w:spacing w:line="288" w:lineRule="auto"/>
        <w:ind w:firstLine="420" w:firstLineChars="175"/>
        <w:rPr>
          <w:rFonts w:hint="eastAsia" w:hAnsi="宋体" w:cs="宋体"/>
          <w:color w:val="auto"/>
          <w:highlight w:val="none"/>
        </w:rPr>
      </w:pPr>
      <w:r>
        <w:rPr>
          <w:rFonts w:hint="eastAsia" w:hAnsi="宋体" w:cs="宋体"/>
          <w:color w:val="auto"/>
          <w:highlight w:val="none"/>
        </w:rPr>
        <w:t>（2）目录；</w:t>
      </w:r>
    </w:p>
    <w:p w14:paraId="0A5BE90F">
      <w:pPr>
        <w:pStyle w:val="27"/>
        <w:spacing w:line="288" w:lineRule="auto"/>
        <w:ind w:firstLine="420" w:firstLineChars="175"/>
        <w:rPr>
          <w:rFonts w:hint="eastAsia" w:hAnsi="宋体" w:cs="宋体"/>
          <w:color w:val="auto"/>
          <w:szCs w:val="22"/>
          <w:highlight w:val="none"/>
        </w:rPr>
      </w:pPr>
      <w:r>
        <w:rPr>
          <w:rFonts w:hint="eastAsia" w:hAnsi="宋体" w:cs="宋体"/>
          <w:color w:val="auto"/>
          <w:szCs w:val="22"/>
          <w:highlight w:val="none"/>
        </w:rPr>
        <w:t>（3）投标人根据招标文件的《综合评分表》认为需要补充的其他资料</w:t>
      </w:r>
    </w:p>
    <w:p w14:paraId="0308892B">
      <w:pPr>
        <w:pStyle w:val="27"/>
        <w:spacing w:line="288" w:lineRule="auto"/>
        <w:ind w:firstLine="420" w:firstLineChars="175"/>
        <w:rPr>
          <w:rFonts w:hint="eastAsia" w:hAnsi="宋体" w:cs="宋体"/>
          <w:color w:val="auto"/>
          <w:highlight w:val="none"/>
        </w:rPr>
      </w:pPr>
      <w:r>
        <w:rPr>
          <w:rFonts w:hint="eastAsia" w:hAnsi="宋体" w:cs="宋体"/>
          <w:color w:val="auto"/>
          <w:highlight w:val="none"/>
        </w:rPr>
        <w:t>10.3.2本节第10.3.1目中所列出的技术标书组成内容中，第（1）至第（2）项所有投标人均应提供。</w:t>
      </w:r>
      <w:bookmarkStart w:id="130" w:name="_Toc32082"/>
      <w:bookmarkStart w:id="131" w:name="_Toc14893"/>
      <w:bookmarkStart w:id="132" w:name="_Toc485111106"/>
    </w:p>
    <w:p w14:paraId="7982EA3E">
      <w:pPr>
        <w:pStyle w:val="27"/>
        <w:spacing w:line="288" w:lineRule="auto"/>
        <w:ind w:firstLine="422" w:firstLineChars="175"/>
        <w:rPr>
          <w:rFonts w:hint="eastAsia" w:hAnsi="宋体" w:cs="宋体"/>
          <w:b/>
          <w:bCs/>
          <w:color w:val="auto"/>
          <w:szCs w:val="24"/>
          <w:highlight w:val="none"/>
        </w:rPr>
      </w:pPr>
      <w:r>
        <w:rPr>
          <w:rFonts w:hint="eastAsia" w:hAnsi="宋体" w:cs="宋体"/>
          <w:b/>
          <w:bCs/>
          <w:color w:val="auto"/>
          <w:szCs w:val="24"/>
          <w:highlight w:val="none"/>
        </w:rPr>
        <w:t>10.3.3技术标书应尽量避免手工涂改、行间插字或删除。如果出现上述情况，改动之处应加盖单位章或由投标人的法定代表人或其委托代理人签字确认。</w:t>
      </w:r>
      <w:bookmarkEnd w:id="130"/>
    </w:p>
    <w:p w14:paraId="2E615280">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33" w:name="_Toc26720"/>
      <w:bookmarkStart w:id="134" w:name="_Toc29788"/>
      <w:r>
        <w:rPr>
          <w:rFonts w:hint="eastAsia" w:ascii="宋体" w:hAnsi="宋体" w:cs="宋体"/>
          <w:b/>
          <w:snapToGrid w:val="0"/>
          <w:color w:val="auto"/>
          <w:sz w:val="24"/>
          <w:highlight w:val="none"/>
        </w:rPr>
        <w:t>11.投标文件的编制依据</w:t>
      </w:r>
      <w:bookmarkEnd w:id="131"/>
      <w:bookmarkEnd w:id="132"/>
      <w:bookmarkEnd w:id="133"/>
      <w:bookmarkEnd w:id="134"/>
    </w:p>
    <w:p w14:paraId="66A6BA5C">
      <w:pPr>
        <w:adjustRightInd w:val="0"/>
        <w:spacing w:line="288"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11.1招标单位提供的前期文件等资料；</w:t>
      </w:r>
    </w:p>
    <w:p w14:paraId="25484EAA">
      <w:pPr>
        <w:adjustRightInd w:val="0"/>
        <w:spacing w:line="288"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11.2本招标文件；</w:t>
      </w:r>
    </w:p>
    <w:p w14:paraId="61FE912B">
      <w:pPr>
        <w:adjustRightInd w:val="0"/>
        <w:spacing w:line="288" w:lineRule="auto"/>
        <w:ind w:firstLine="420" w:firstLineChars="175"/>
        <w:rPr>
          <w:rFonts w:hint="eastAsia" w:ascii="宋体" w:hAnsi="宋体" w:cs="宋体"/>
          <w:color w:val="auto"/>
          <w:highlight w:val="none"/>
        </w:rPr>
      </w:pPr>
      <w:r>
        <w:rPr>
          <w:rFonts w:hint="eastAsia" w:ascii="宋体" w:hAnsi="宋体" w:cs="宋体"/>
          <w:color w:val="auto"/>
          <w:sz w:val="24"/>
          <w:szCs w:val="24"/>
          <w:highlight w:val="none"/>
        </w:rPr>
        <w:t>11.3国家、广东省现行的有关法规、规定，建筑工程验收规范和质量检验评定标准等。</w:t>
      </w:r>
    </w:p>
    <w:bookmarkEnd w:id="88"/>
    <w:bookmarkEnd w:id="89"/>
    <w:p w14:paraId="7E140E69">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35" w:name="_Toc12971"/>
      <w:bookmarkStart w:id="136" w:name="_Toc13966"/>
      <w:bookmarkStart w:id="137" w:name="_Toc20666"/>
      <w:r>
        <w:rPr>
          <w:rFonts w:hint="eastAsia" w:ascii="宋体" w:hAnsi="宋体" w:cs="宋体"/>
          <w:b/>
          <w:snapToGrid w:val="0"/>
          <w:color w:val="auto"/>
          <w:sz w:val="24"/>
          <w:highlight w:val="none"/>
        </w:rPr>
        <w:t>12</w:t>
      </w:r>
      <w:bookmarkEnd w:id="135"/>
      <w:bookmarkStart w:id="138" w:name="_Hlt88627590"/>
      <w:bookmarkEnd w:id="138"/>
      <w:r>
        <w:rPr>
          <w:rFonts w:hint="eastAsia" w:ascii="宋体" w:hAnsi="宋体" w:cs="宋体"/>
          <w:b/>
          <w:snapToGrid w:val="0"/>
          <w:color w:val="auto"/>
          <w:sz w:val="24"/>
          <w:highlight w:val="none"/>
        </w:rPr>
        <w:t>.电子投标</w:t>
      </w:r>
      <w:bookmarkEnd w:id="136"/>
      <w:bookmarkEnd w:id="137"/>
    </w:p>
    <w:p w14:paraId="6279D2A5">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12.1在交易平台上传加盖了电子印章的投标文件、录入相关信息及标书页码信息，并提交投标标书（页码起始从封面开始）。提交标书为已加密投标文件。具体操作参照《韶关市公共资源建设工程交易系统-投标人操作指南》。</w:t>
      </w:r>
    </w:p>
    <w:p w14:paraId="7692F18F">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E49F12F">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投标文件完成上传后，投标人应使用CA数字证书对投标文件进行文件加密，形成加密的投标文件并提交标书。</w:t>
      </w:r>
    </w:p>
    <w:p w14:paraId="75B68A30">
      <w:pPr>
        <w:pStyle w:val="28"/>
        <w:widowControl/>
        <w:spacing w:line="288" w:lineRule="auto"/>
        <w:ind w:firstLine="480" w:firstLineChars="200"/>
        <w:jc w:val="both"/>
        <w:textAlignment w:val="baseline"/>
        <w:rPr>
          <w:rFonts w:hint="eastAsia" w:ascii="宋体" w:hAnsi="宋体" w:cs="宋体"/>
          <w:bCs/>
          <w:snapToGrid w:val="0"/>
          <w:color w:val="auto"/>
          <w:sz w:val="24"/>
          <w:highlight w:val="none"/>
        </w:rPr>
      </w:pPr>
      <w:bookmarkStart w:id="139" w:name="_Hlt127590288"/>
      <w:bookmarkEnd w:id="139"/>
      <w:r>
        <w:rPr>
          <w:rFonts w:hint="eastAsia" w:ascii="宋体" w:hAnsi="宋体" w:cs="宋体"/>
          <w:bCs/>
          <w:snapToGrid w:val="0"/>
          <w:color w:val="auto"/>
          <w:sz w:val="24"/>
          <w:highlight w:val="none"/>
        </w:rPr>
        <w:t>12.2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6E045DA">
      <w:pPr>
        <w:pStyle w:val="23"/>
        <w:spacing w:line="288" w:lineRule="auto"/>
        <w:ind w:firstLine="480" w:firstLineChars="200"/>
        <w:rPr>
          <w:rFonts w:hint="eastAsia" w:hAnsi="宋体" w:cs="宋体"/>
          <w:color w:val="auto"/>
          <w:highlight w:val="none"/>
        </w:rPr>
      </w:pPr>
      <w:r>
        <w:rPr>
          <w:rFonts w:hint="eastAsia" w:hAnsi="宋体" w:cs="宋体"/>
          <w:bCs/>
          <w:snapToGrid w:val="0"/>
          <w:color w:val="auto"/>
          <w:kern w:val="0"/>
          <w:highlight w:val="none"/>
        </w:rPr>
        <w:t>12.3</w:t>
      </w:r>
      <w:r>
        <w:rPr>
          <w:rFonts w:hint="eastAsia" w:hAnsi="宋体" w:cs="宋体"/>
          <w:color w:val="auto"/>
          <w:highlight w:val="none"/>
        </w:rPr>
        <w:t>投标人必须在规定的截止时间前使用交易系统完成缴纳投标保证和全流程电子投标，只有满足以上所有条件，方为有效投标。</w:t>
      </w:r>
    </w:p>
    <w:p w14:paraId="14E4A420">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40" w:name="_Toc11291"/>
      <w:bookmarkStart w:id="141" w:name="_Toc11540"/>
      <w:r>
        <w:rPr>
          <w:rFonts w:hint="eastAsia" w:ascii="宋体" w:hAnsi="宋体" w:cs="宋体"/>
          <w:b/>
          <w:snapToGrid w:val="0"/>
          <w:color w:val="auto"/>
          <w:sz w:val="24"/>
          <w:highlight w:val="none"/>
        </w:rPr>
        <w:t>13.投标文件的提交</w:t>
      </w:r>
      <w:bookmarkEnd w:id="140"/>
      <w:bookmarkEnd w:id="141"/>
    </w:p>
    <w:p w14:paraId="227910B5">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13.1投标人必须在规定的截止时间前使用交易系统完成获取招标文件、缴纳投标保证和全流程电子投标，只有满足以上所有条件，方为有效投标。</w:t>
      </w:r>
    </w:p>
    <w:p w14:paraId="1982A242">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13.1.1提交电子投标文件截止时间：见本章第二节“重要事项时间地点一览表”。</w:t>
      </w:r>
    </w:p>
    <w:p w14:paraId="439781C9">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13.2投标人代表除提交电子投标文件外，投标人无须进行现场签到，如有招标文件要求提交的用于评审的证书、证件、证明原件等相关资料，投标人可在规定的地点、时间内递交至开标现场（附一式两份清单），可自行委派授权委托人（递交资料的授权委托人可与投标代理人不是同一人）（授权委托人到场的，应同时出示《授权委托书》（格式</w:t>
      </w:r>
      <w:r>
        <w:rPr>
          <w:rFonts w:hint="eastAsia" w:hAnsi="宋体" w:cs="宋体"/>
          <w:color w:val="auto"/>
          <w:highlight w:val="none"/>
          <w:lang w:val="en-US" w:eastAsia="zh-CN"/>
        </w:rPr>
        <w:t>八</w:t>
      </w:r>
      <w:r>
        <w:rPr>
          <w:rFonts w:hint="eastAsia" w:hAnsi="宋体" w:cs="宋体"/>
          <w:color w:val="auto"/>
          <w:highlight w:val="none"/>
        </w:rPr>
        <w:t>）和《法定代表人身份证明》（格式</w:t>
      </w:r>
      <w:r>
        <w:rPr>
          <w:rFonts w:hint="eastAsia" w:hAnsi="宋体" w:cs="宋体"/>
          <w:color w:val="auto"/>
          <w:highlight w:val="none"/>
          <w:lang w:val="en-US" w:eastAsia="zh-CN"/>
        </w:rPr>
        <w:t>七</w:t>
      </w:r>
      <w:r>
        <w:rPr>
          <w:rFonts w:hint="eastAsia" w:hAnsi="宋体" w:cs="宋体"/>
          <w:color w:val="auto"/>
          <w:highlight w:val="none"/>
        </w:rPr>
        <w:t>）），无原件的不作要求。</w:t>
      </w:r>
    </w:p>
    <w:p w14:paraId="265AE49F">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13.3联合体投标的，由联合体牵头人按以上要求提交电子投标文件和相关资料。</w:t>
      </w:r>
    </w:p>
    <w:p w14:paraId="0801711F">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13.4招标人或其授权的招标代理机构核对、接收投标人递交的相关资料后，应向投标人出具标明签收人和签收时间的凭证，并妥善保管。</w:t>
      </w:r>
    </w:p>
    <w:p w14:paraId="3A5D5F12">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13.5出现下述情形之一，属于未成功提交投标文件，按无效投标处理：</w:t>
      </w:r>
    </w:p>
    <w:p w14:paraId="2B1500D8">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（1）至提交投标文件截止时，投标文件未完整上传及提交标书；</w:t>
      </w:r>
    </w:p>
    <w:p w14:paraId="5FCE26FF">
      <w:pPr>
        <w:pStyle w:val="23"/>
        <w:spacing w:line="288" w:lineRule="auto"/>
        <w:ind w:firstLine="480" w:firstLineChars="200"/>
        <w:rPr>
          <w:rFonts w:hint="eastAsia" w:hAnsi="宋体" w:cs="宋体"/>
          <w:b/>
          <w:bCs/>
          <w:color w:val="auto"/>
          <w:highlight w:val="none"/>
        </w:rPr>
      </w:pPr>
      <w:r>
        <w:rPr>
          <w:rFonts w:hint="eastAsia" w:hAnsi="宋体" w:cs="宋体"/>
          <w:color w:val="auto"/>
          <w:highlight w:val="none"/>
        </w:rPr>
        <w:t>（2）解密失败且在规定时间内未重新提交投标文件的；</w:t>
      </w:r>
    </w:p>
    <w:p w14:paraId="02BAFE40">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（3）投标文件损坏或格式不正确的；</w:t>
      </w:r>
    </w:p>
    <w:p w14:paraId="5AB88928">
      <w:pPr>
        <w:pStyle w:val="23"/>
        <w:spacing w:line="288" w:lineRule="auto"/>
        <w:ind w:firstLine="480" w:firstLineChars="200"/>
        <w:rPr>
          <w:rFonts w:hint="eastAsia" w:hAnsi="宋体" w:cs="宋体"/>
          <w:color w:val="auto"/>
          <w:highlight w:val="none"/>
        </w:rPr>
      </w:pPr>
      <w:r>
        <w:rPr>
          <w:rFonts w:hint="eastAsia" w:hAnsi="宋体" w:cs="宋体"/>
          <w:color w:val="auto"/>
          <w:highlight w:val="none"/>
        </w:rPr>
        <w:t>13.6由于投标人原因导致未按投标截止时间上传完整的电子投标文件、在交易平台中上传的电子投标文件无法解密、电子投标文件损坏或格式不正确、电子投标文件未按招标文件要求加盖电子印章或电子印章不完整、电子投标文件解密失败且未按要求上传备用投标文件等情形导致投标无效的，由投标人自行负责。</w:t>
      </w:r>
    </w:p>
    <w:p w14:paraId="7472AE4E">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42" w:name="_Hlt75685366"/>
      <w:bookmarkEnd w:id="142"/>
      <w:bookmarkStart w:id="143" w:name="_Hlt74494779"/>
      <w:bookmarkEnd w:id="143"/>
      <w:bookmarkStart w:id="144" w:name="_Hlt92512875"/>
      <w:bookmarkEnd w:id="144"/>
      <w:bookmarkStart w:id="145" w:name="_Hlt66608380"/>
      <w:bookmarkEnd w:id="145"/>
      <w:bookmarkStart w:id="146" w:name="_Hlt69699424"/>
      <w:bookmarkEnd w:id="146"/>
      <w:bookmarkStart w:id="147" w:name="_Toc106418820"/>
      <w:bookmarkStart w:id="148" w:name="_Toc20473"/>
      <w:bookmarkStart w:id="149" w:name="_Toc3458"/>
      <w:bookmarkStart w:id="150" w:name="_Toc104711075"/>
      <w:bookmarkStart w:id="151" w:name="_Toc31438"/>
      <w:r>
        <w:rPr>
          <w:rFonts w:hint="eastAsia" w:ascii="宋体" w:hAnsi="宋体" w:cs="宋体"/>
          <w:b/>
          <w:snapToGrid w:val="0"/>
          <w:color w:val="auto"/>
          <w:sz w:val="24"/>
          <w:highlight w:val="none"/>
        </w:rPr>
        <w:t>14.投标有效期</w:t>
      </w:r>
      <w:bookmarkEnd w:id="147"/>
      <w:bookmarkEnd w:id="148"/>
      <w:bookmarkEnd w:id="149"/>
      <w:bookmarkEnd w:id="150"/>
      <w:bookmarkEnd w:id="151"/>
    </w:p>
    <w:p w14:paraId="6E95D0F5">
      <w:pPr>
        <w:pStyle w:val="23"/>
        <w:spacing w:line="288" w:lineRule="auto"/>
        <w:ind w:firstLine="480" w:firstLineChars="200"/>
        <w:rPr>
          <w:rFonts w:hint="eastAsia" w:hAnsi="宋体" w:cs="宋体"/>
          <w:b/>
          <w:bCs/>
          <w:color w:val="auto"/>
          <w:szCs w:val="22"/>
          <w:highlight w:val="none"/>
        </w:rPr>
      </w:pPr>
      <w:r>
        <w:rPr>
          <w:rFonts w:hint="eastAsia" w:hAnsi="宋体" w:cs="宋体"/>
          <w:color w:val="auto"/>
          <w:szCs w:val="22"/>
          <w:highlight w:val="none"/>
        </w:rPr>
        <w:t>投标有效期为</w:t>
      </w:r>
      <w:r>
        <w:rPr>
          <w:rFonts w:hint="eastAsia" w:hAnsi="宋体" w:cs="宋体"/>
          <w:color w:val="auto"/>
          <w:szCs w:val="22"/>
          <w:highlight w:val="none"/>
          <w:u w:val="single"/>
        </w:rPr>
        <w:t>90</w:t>
      </w:r>
      <w:r>
        <w:rPr>
          <w:rFonts w:hint="eastAsia" w:hAnsi="宋体" w:cs="宋体"/>
          <w:color w:val="auto"/>
          <w:szCs w:val="22"/>
          <w:highlight w:val="none"/>
        </w:rPr>
        <w:t>个日历天，自招标人或其授权的招标代理机构接收投标人递交的投标文件之日起计。在此期间，投标人不得撤销或修改其投标文件，否则其投标保证不予退还。</w:t>
      </w:r>
    </w:p>
    <w:p w14:paraId="047E3321">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52" w:name="_Toc14083"/>
      <w:bookmarkStart w:id="153" w:name="_Toc27667"/>
      <w:bookmarkStart w:id="154" w:name="_Toc10920"/>
      <w:r>
        <w:rPr>
          <w:rFonts w:hint="eastAsia" w:ascii="宋体" w:hAnsi="宋体" w:cs="宋体"/>
          <w:b/>
          <w:snapToGrid w:val="0"/>
          <w:color w:val="auto"/>
          <w:sz w:val="24"/>
          <w:highlight w:val="none"/>
        </w:rPr>
        <w:t>15.开标</w:t>
      </w:r>
      <w:bookmarkEnd w:id="152"/>
      <w:bookmarkEnd w:id="153"/>
      <w:bookmarkEnd w:id="154"/>
    </w:p>
    <w:p w14:paraId="787C30A8">
      <w:pPr>
        <w:pStyle w:val="24"/>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15.1</w:t>
      </w:r>
      <w:r>
        <w:rPr>
          <w:rFonts w:hint="eastAsia" w:ascii="宋体" w:hAnsi="宋体" w:cs="宋体"/>
          <w:snapToGrid w:val="0"/>
          <w:color w:val="auto"/>
          <w:kern w:val="0"/>
          <w:sz w:val="24"/>
          <w:highlight w:val="none"/>
        </w:rPr>
        <w:t>实行全流程电子化招标投标的项目，投标人无须进行现场签到，招标人邀请所有正确完成了获取招标文件、电子投标、缴纳投标保证的投标人参加开标，投标人可登录交易平台观看开标实况，可提出异议或进行澄清、确认等操作，投标人可自主决定是否参加，投标人不参加交易平台观看开标的，视其默认开标结果，以及放弃在开标期间见证、监督、投诉、申辩的权利。具体操作投标人可登录全国公共资源交易平台（广东省·韶关市）（https://ygp.gdzwfw.gov.cn/ggzy-portal/#/440200/index），在【服务指南】栏目中下载《韶关市公共资源建设工程交易系统-投标人操作指南（电子评标）》。</w:t>
      </w:r>
    </w:p>
    <w:p w14:paraId="4F639BA9">
      <w:pPr>
        <w:pStyle w:val="24"/>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15.1.1</w:t>
      </w:r>
      <w:r>
        <w:rPr>
          <w:rFonts w:hint="eastAsia" w:ascii="宋体" w:hAnsi="宋体" w:cs="宋体"/>
          <w:snapToGrid w:val="0"/>
          <w:color w:val="auto"/>
          <w:kern w:val="0"/>
          <w:sz w:val="24"/>
          <w:highlight w:val="none"/>
        </w:rPr>
        <w:t>开标时间和地点：见本章第二节“重要事项时间地点一览表”。</w:t>
      </w:r>
    </w:p>
    <w:p w14:paraId="3B577B56">
      <w:pPr>
        <w:pStyle w:val="24"/>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15.1.2</w:t>
      </w:r>
      <w:r>
        <w:rPr>
          <w:rFonts w:hint="eastAsia" w:ascii="宋体" w:hAnsi="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cs="宋体"/>
          <w:bCs/>
          <w:snapToGrid w:val="0"/>
          <w:color w:val="auto"/>
          <w:kern w:val="0"/>
          <w:sz w:val="24"/>
          <w:szCs w:val="20"/>
          <w:highlight w:val="none"/>
        </w:rPr>
        <w:t>全国公共资源交易平台（广东省·韶关市）（https://ygp.gdzwfw.gov.cn/ggzy-portal/#/440200/index）</w:t>
      </w:r>
      <w:r>
        <w:rPr>
          <w:rFonts w:hint="eastAsia" w:ascii="宋体" w:hAnsi="宋体" w:cs="宋体"/>
          <w:snapToGrid w:val="0"/>
          <w:color w:val="auto"/>
          <w:kern w:val="0"/>
          <w:sz w:val="24"/>
          <w:highlight w:val="none"/>
        </w:rPr>
        <w:t>查询是否发布了取消开标活动的相关信息。</w:t>
      </w:r>
    </w:p>
    <w:p w14:paraId="26235D06">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15.2</w:t>
      </w:r>
      <w:r>
        <w:rPr>
          <w:rFonts w:hint="eastAsia" w:ascii="宋体" w:hAnsi="宋体" w:cs="宋体"/>
          <w:snapToGrid w:val="0"/>
          <w:color w:val="auto"/>
          <w:kern w:val="0"/>
          <w:sz w:val="24"/>
          <w:szCs w:val="24"/>
          <w:highlight w:val="none"/>
        </w:rPr>
        <w:t>开标程序</w:t>
      </w:r>
    </w:p>
    <w:p w14:paraId="35B46D4C">
      <w:pPr>
        <w:pStyle w:val="24"/>
        <w:wordWrap w:val="0"/>
        <w:adjustRightInd w:val="0"/>
        <w:spacing w:line="288" w:lineRule="auto"/>
        <w:ind w:firstLine="480"/>
        <w:rPr>
          <w:rFonts w:hint="eastAsia" w:ascii="宋体" w:hAnsi="宋体" w:cs="宋体"/>
          <w:snapToGrid w:val="0"/>
          <w:color w:val="auto"/>
          <w:kern w:val="0"/>
          <w:sz w:val="24"/>
          <w:highlight w:val="none"/>
        </w:rPr>
      </w:pPr>
      <w:bookmarkStart w:id="155" w:name="_Toc31811"/>
      <w:bookmarkStart w:id="156" w:name="_Toc3252"/>
      <w:r>
        <w:rPr>
          <w:rFonts w:hint="eastAsia" w:ascii="宋体" w:hAnsi="宋体" w:cs="宋体"/>
          <w:bCs/>
          <w:color w:val="auto"/>
          <w:szCs w:val="22"/>
          <w:highlight w:val="none"/>
        </w:rPr>
        <w:t>（</w:t>
      </w:r>
      <w:r>
        <w:rPr>
          <w:rFonts w:hint="eastAsia" w:ascii="宋体" w:hAnsi="宋体" w:cs="宋体"/>
          <w:snapToGrid w:val="0"/>
          <w:color w:val="auto"/>
          <w:kern w:val="0"/>
          <w:sz w:val="24"/>
          <w:highlight w:val="none"/>
        </w:rPr>
        <w:t>1）主持人（招标人代表或招标人授权的招标代理机构人员）宣读开标纪律。</w:t>
      </w:r>
      <w:bookmarkEnd w:id="155"/>
      <w:bookmarkEnd w:id="156"/>
    </w:p>
    <w:p w14:paraId="65D1C656">
      <w:pPr>
        <w:pStyle w:val="24"/>
        <w:wordWrap w:val="0"/>
        <w:adjustRightInd w:val="0"/>
        <w:spacing w:line="288" w:lineRule="auto"/>
        <w:ind w:firstLine="480"/>
        <w:rPr>
          <w:rFonts w:hint="eastAsia" w:ascii="宋体" w:hAnsi="宋体" w:cs="宋体"/>
          <w:snapToGrid w:val="0"/>
          <w:color w:val="auto"/>
          <w:kern w:val="0"/>
          <w:sz w:val="24"/>
          <w:highlight w:val="none"/>
        </w:rPr>
      </w:pPr>
      <w:bookmarkStart w:id="157" w:name="_Toc3910"/>
      <w:bookmarkStart w:id="158" w:name="_Toc12253"/>
      <w:r>
        <w:rPr>
          <w:rFonts w:hint="eastAsia" w:ascii="宋体" w:hAnsi="宋体" w:cs="宋体"/>
          <w:snapToGrid w:val="0"/>
          <w:color w:val="auto"/>
          <w:kern w:val="0"/>
          <w:sz w:val="24"/>
          <w:highlight w:val="none"/>
        </w:rPr>
        <w:t>（2）主持人宣布唱标人、记录人、见证人、监督人等有关人员姓名。</w:t>
      </w:r>
      <w:bookmarkEnd w:id="157"/>
      <w:bookmarkEnd w:id="158"/>
    </w:p>
    <w:p w14:paraId="3BB2C741">
      <w:pPr>
        <w:pStyle w:val="24"/>
        <w:wordWrap w:val="0"/>
        <w:adjustRightInd w:val="0"/>
        <w:spacing w:line="288" w:lineRule="auto"/>
        <w:ind w:firstLine="480"/>
        <w:rPr>
          <w:rFonts w:hint="eastAsia" w:ascii="宋体" w:hAnsi="宋体" w:cs="宋体"/>
          <w:snapToGrid w:val="0"/>
          <w:color w:val="auto"/>
          <w:kern w:val="0"/>
          <w:sz w:val="24"/>
          <w:highlight w:val="none"/>
        </w:rPr>
      </w:pPr>
      <w:bookmarkStart w:id="159" w:name="_Toc3323"/>
      <w:bookmarkStart w:id="160" w:name="_Toc19254"/>
      <w:r>
        <w:rPr>
          <w:rFonts w:hint="eastAsia" w:ascii="宋体" w:hAnsi="宋体" w:cs="宋体"/>
          <w:snapToGrid w:val="0"/>
          <w:color w:val="auto"/>
          <w:kern w:val="0"/>
          <w:sz w:val="24"/>
          <w:highlight w:val="none"/>
        </w:rPr>
        <w:t>（3）唱标人公布在投标截止时间前提交电子投标文件的投标人数量和名称，投标人不参加开标的，视其默认开标结果，招标代理机构应将有关情形在《开标一览表》“备注”栏中注明。</w:t>
      </w:r>
      <w:bookmarkEnd w:id="159"/>
      <w:bookmarkEnd w:id="160"/>
    </w:p>
    <w:p w14:paraId="5492E5AC">
      <w:pPr>
        <w:pStyle w:val="24"/>
        <w:wordWrap w:val="0"/>
        <w:adjustRightInd w:val="0"/>
        <w:spacing w:line="288" w:lineRule="auto"/>
        <w:ind w:firstLine="480"/>
        <w:rPr>
          <w:rFonts w:hint="eastAsia" w:ascii="宋体" w:hAnsi="宋体" w:cs="宋体"/>
          <w:snapToGrid w:val="0"/>
          <w:color w:val="auto"/>
          <w:kern w:val="0"/>
          <w:sz w:val="24"/>
          <w:highlight w:val="none"/>
        </w:rPr>
      </w:pPr>
      <w:bookmarkStart w:id="161" w:name="_Toc31244"/>
      <w:bookmarkStart w:id="162" w:name="_Toc7705"/>
      <w:r>
        <w:rPr>
          <w:rFonts w:hint="eastAsia" w:ascii="宋体" w:hAnsi="宋体" w:cs="宋体"/>
          <w:snapToGrid w:val="0"/>
          <w:color w:val="auto"/>
          <w:kern w:val="0"/>
          <w:sz w:val="24"/>
          <w:highlight w:val="none"/>
        </w:rPr>
        <w:t>（4）招标代理机构在交易场所工作人员见证下，对投标人的电子投标信息进行解密，建设工程交易系统自动生成《投标保证缴纳情况表》和《开标一览表》。</w:t>
      </w:r>
      <w:bookmarkEnd w:id="161"/>
      <w:bookmarkEnd w:id="162"/>
    </w:p>
    <w:p w14:paraId="2281E841">
      <w:pPr>
        <w:pStyle w:val="24"/>
        <w:wordWrap w:val="0"/>
        <w:adjustRightInd w:val="0"/>
        <w:spacing w:line="288" w:lineRule="auto"/>
        <w:ind w:firstLine="480"/>
        <w:rPr>
          <w:rFonts w:hint="eastAsia" w:ascii="宋体" w:hAnsi="宋体" w:cs="宋体"/>
          <w:snapToGrid w:val="0"/>
          <w:color w:val="auto"/>
          <w:kern w:val="0"/>
          <w:sz w:val="24"/>
          <w:highlight w:val="none"/>
        </w:rPr>
      </w:pPr>
      <w:bookmarkStart w:id="163" w:name="_Toc8440"/>
      <w:bookmarkStart w:id="164" w:name="_Toc23641"/>
      <w:r>
        <w:rPr>
          <w:rFonts w:hint="eastAsia" w:ascii="宋体" w:hAnsi="宋体" w:cs="宋体"/>
          <w:snapToGrid w:val="0"/>
          <w:color w:val="auto"/>
          <w:kern w:val="0"/>
          <w:sz w:val="24"/>
          <w:highlight w:val="none"/>
        </w:rPr>
        <w:t>（5）唱标人检查《投标保证缴纳情况表》中各投标人所缴纳投标保证的金额、有效期是否符合招标文件规定。若不符合规定，该投标人的投标无效。将有关情形在《投标保证缴纳情况表》“备注”栏中注明。</w:t>
      </w:r>
      <w:bookmarkEnd w:id="163"/>
      <w:bookmarkEnd w:id="164"/>
    </w:p>
    <w:p w14:paraId="6CB7C740">
      <w:pPr>
        <w:pStyle w:val="24"/>
        <w:wordWrap w:val="0"/>
        <w:adjustRightInd w:val="0"/>
        <w:spacing w:line="288" w:lineRule="auto"/>
        <w:ind w:firstLine="480"/>
        <w:rPr>
          <w:rFonts w:hint="eastAsia" w:ascii="宋体" w:hAnsi="宋体" w:cs="宋体"/>
          <w:snapToGrid w:val="0"/>
          <w:color w:val="auto"/>
          <w:kern w:val="0"/>
          <w:sz w:val="24"/>
          <w:highlight w:val="none"/>
        </w:rPr>
      </w:pPr>
      <w:bookmarkStart w:id="165" w:name="_Toc16329"/>
      <w:bookmarkStart w:id="166" w:name="_Toc19411"/>
      <w:r>
        <w:rPr>
          <w:rFonts w:hint="eastAsia" w:ascii="宋体" w:hAnsi="宋体" w:cs="宋体"/>
          <w:snapToGrid w:val="0"/>
          <w:color w:val="auto"/>
          <w:kern w:val="0"/>
          <w:sz w:val="24"/>
          <w:highlight w:val="none"/>
        </w:rPr>
        <w:t>（6）唱标人检查《开标一览表》中各投标人的投标总价、质量标准、工期是否符合招标文件规定。若不符合规定，招标代理机构应将有关情形在《开标一览表》“备注”栏中注明。</w:t>
      </w:r>
      <w:bookmarkEnd w:id="165"/>
      <w:bookmarkEnd w:id="166"/>
    </w:p>
    <w:p w14:paraId="6163C095">
      <w:pPr>
        <w:pStyle w:val="24"/>
        <w:wordWrap w:val="0"/>
        <w:adjustRightInd w:val="0"/>
        <w:spacing w:line="288" w:lineRule="auto"/>
        <w:ind w:firstLine="480"/>
        <w:rPr>
          <w:rFonts w:hint="eastAsia" w:ascii="宋体" w:hAnsi="宋体" w:cs="宋体"/>
          <w:snapToGrid w:val="0"/>
          <w:color w:val="auto"/>
          <w:kern w:val="0"/>
          <w:sz w:val="24"/>
          <w:highlight w:val="none"/>
        </w:rPr>
      </w:pPr>
      <w:bookmarkStart w:id="167" w:name="_Toc20964"/>
      <w:bookmarkStart w:id="168" w:name="_Toc20169"/>
      <w:r>
        <w:rPr>
          <w:rFonts w:hint="eastAsia" w:ascii="宋体" w:hAnsi="宋体" w:cs="宋体"/>
          <w:snapToGrid w:val="0"/>
          <w:color w:val="auto"/>
          <w:kern w:val="0"/>
          <w:sz w:val="24"/>
          <w:highlight w:val="none"/>
        </w:rPr>
        <w:t>（7）招标人代表、唱标人、记录人等有关人员在《投标保证缴纳情况表》以及《开标一览表》上签字确认。</w:t>
      </w:r>
      <w:bookmarkEnd w:id="167"/>
      <w:bookmarkEnd w:id="168"/>
    </w:p>
    <w:p w14:paraId="4AE00858">
      <w:pPr>
        <w:pStyle w:val="24"/>
        <w:wordWrap w:val="0"/>
        <w:adjustRightInd w:val="0"/>
        <w:spacing w:line="288" w:lineRule="auto"/>
        <w:ind w:firstLine="48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0FACE73F">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（8）主持人宣布有关注意事项后，宣布开标结束。</w:t>
      </w:r>
    </w:p>
    <w:p w14:paraId="7730161A">
      <w:pPr>
        <w:wordWrap w:val="0"/>
        <w:adjustRightInd w:val="0"/>
        <w:spacing w:line="288" w:lineRule="auto"/>
        <w:ind w:firstLine="482" w:firstLineChars="20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4"/>
          <w:highlight w:val="none"/>
        </w:rPr>
        <w:t>15.3</w:t>
      </w:r>
      <w:r>
        <w:rPr>
          <w:rFonts w:hint="eastAsia" w:ascii="宋体" w:hAnsi="宋体" w:cs="宋体"/>
          <w:snapToGrid w:val="0"/>
          <w:color w:val="auto"/>
          <w:kern w:val="0"/>
          <w:sz w:val="24"/>
          <w:highlight w:val="none"/>
        </w:rPr>
        <w:t>投标人对开标相关事项（如开标程序、投标文件包装和密封、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0ACCE8D2">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15.4</w:t>
      </w:r>
      <w:r>
        <w:rPr>
          <w:rFonts w:hint="eastAsia" w:ascii="宋体" w:hAnsi="宋体" w:cs="宋体"/>
          <w:snapToGrid w:val="0"/>
          <w:color w:val="auto"/>
          <w:kern w:val="0"/>
          <w:sz w:val="24"/>
          <w:szCs w:val="24"/>
          <w:highlight w:val="none"/>
        </w:rPr>
        <w:t>招标代理机构将相关评审资料原件（如有）、《开标一览表》以及其他有关资料移交评标委员会。</w:t>
      </w:r>
      <w:bookmarkStart w:id="169" w:name="_Hlt127093805"/>
      <w:bookmarkEnd w:id="169"/>
    </w:p>
    <w:p w14:paraId="720C800D">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70" w:name="_Toc17305"/>
      <w:bookmarkStart w:id="171" w:name="_Toc14485"/>
      <w:r>
        <w:rPr>
          <w:rFonts w:hint="eastAsia" w:ascii="宋体" w:hAnsi="宋体" w:cs="宋体"/>
          <w:b/>
          <w:snapToGrid w:val="0"/>
          <w:color w:val="auto"/>
          <w:sz w:val="24"/>
          <w:highlight w:val="none"/>
        </w:rPr>
        <w:t>16.电子投标及评标时突发补救方案</w:t>
      </w:r>
      <w:bookmarkEnd w:id="170"/>
      <w:bookmarkEnd w:id="171"/>
      <w:bookmarkStart w:id="172" w:name="_Toc11485"/>
      <w:bookmarkStart w:id="173" w:name="_Toc2213"/>
      <w:bookmarkStart w:id="174" w:name="_Toc32344"/>
    </w:p>
    <w:p w14:paraId="649962AA">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172"/>
      <w:bookmarkEnd w:id="173"/>
      <w:bookmarkStart w:id="175" w:name="_Toc30264"/>
      <w:bookmarkStart w:id="176" w:name="_Toc18714"/>
    </w:p>
    <w:p w14:paraId="6B6AFBFB">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75"/>
      <w:bookmarkEnd w:id="176"/>
    </w:p>
    <w:p w14:paraId="0251BF6D">
      <w:pPr>
        <w:wordWrap w:val="0"/>
        <w:adjustRightInd w:val="0"/>
        <w:spacing w:line="288" w:lineRule="auto"/>
        <w:ind w:firstLine="480" w:firstLineChars="200"/>
        <w:rPr>
          <w:rFonts w:hint="eastAsia" w:ascii="宋体" w:hAnsi="宋体" w:cs="宋体"/>
          <w:snapToGrid w:val="0"/>
          <w:color w:val="auto"/>
          <w:kern w:val="0"/>
          <w:sz w:val="24"/>
          <w:highlight w:val="none"/>
        </w:rPr>
      </w:pPr>
      <w:bookmarkStart w:id="177" w:name="_Toc2533"/>
      <w:bookmarkStart w:id="178" w:name="_Toc29164"/>
      <w:r>
        <w:rPr>
          <w:rFonts w:hint="eastAsia" w:ascii="宋体" w:hAnsi="宋体" w:cs="宋体"/>
          <w:snapToGrid w:val="0"/>
          <w:color w:val="auto"/>
          <w:kern w:val="0"/>
          <w:sz w:val="24"/>
          <w:highlight w:val="none"/>
        </w:rPr>
        <w:t>（3）除发生上述情况外，开标评标均以投标人通过交易平台网上递交的电子投标文件为准。</w:t>
      </w:r>
      <w:bookmarkEnd w:id="177"/>
      <w:bookmarkEnd w:id="178"/>
    </w:p>
    <w:p w14:paraId="15297A2A">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79" w:name="_Toc26795"/>
      <w:bookmarkStart w:id="180" w:name="_Toc15522"/>
      <w:r>
        <w:rPr>
          <w:rFonts w:hint="eastAsia" w:ascii="宋体" w:hAnsi="宋体" w:cs="宋体"/>
          <w:b/>
          <w:snapToGrid w:val="0"/>
          <w:color w:val="auto"/>
          <w:sz w:val="24"/>
          <w:highlight w:val="none"/>
        </w:rPr>
        <w:t>17.评标</w:t>
      </w:r>
      <w:bookmarkEnd w:id="174"/>
      <w:bookmarkEnd w:id="179"/>
      <w:bookmarkEnd w:id="180"/>
    </w:p>
    <w:p w14:paraId="73404E43">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个中标候选人，并向招标人提交由全体评标委员会成员签字的评标报告。</w:t>
      </w:r>
    </w:p>
    <w:p w14:paraId="0507493E">
      <w:pPr>
        <w:wordWrap w:val="0"/>
        <w:adjustRightInd w:val="0"/>
        <w:spacing w:line="288" w:lineRule="auto"/>
        <w:ind w:firstLine="482" w:firstLineChars="200"/>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17.1</w:t>
      </w:r>
      <w:r>
        <w:rPr>
          <w:rFonts w:hint="eastAsia" w:ascii="宋体" w:hAnsi="宋体" w:cs="宋体"/>
          <w:bCs/>
          <w:snapToGrid w:val="0"/>
          <w:color w:val="auto"/>
          <w:kern w:val="0"/>
          <w:sz w:val="24"/>
          <w:szCs w:val="24"/>
          <w:highlight w:val="none"/>
        </w:rPr>
        <w:t>评标委员会</w:t>
      </w:r>
    </w:p>
    <w:p w14:paraId="03918E64">
      <w:pPr>
        <w:wordWrap w:val="0"/>
        <w:adjustRightInd w:val="0"/>
        <w:spacing w:line="288" w:lineRule="auto"/>
        <w:ind w:firstLine="48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17.1.1</w:t>
      </w:r>
      <w:r>
        <w:rPr>
          <w:rFonts w:hint="eastAsia" w:ascii="宋体" w:hAnsi="宋体" w:cs="宋体"/>
          <w:snapToGrid w:val="0"/>
          <w:color w:val="auto"/>
          <w:kern w:val="0"/>
          <w:sz w:val="24"/>
          <w:szCs w:val="24"/>
          <w:highlight w:val="none"/>
        </w:rPr>
        <w:t>评标委员会由</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人组成，其中招标人代表</w:t>
      </w:r>
      <w:r>
        <w:rPr>
          <w:rFonts w:hint="eastAsia" w:ascii="宋体" w:hAnsi="宋体" w:cs="宋体"/>
          <w:snapToGrid w:val="0"/>
          <w:color w:val="auto"/>
          <w:kern w:val="0"/>
          <w:sz w:val="24"/>
          <w:szCs w:val="24"/>
          <w:highlight w:val="none"/>
          <w:u w:val="single"/>
        </w:rPr>
        <w:t>0</w:t>
      </w:r>
      <w:r>
        <w:rPr>
          <w:rFonts w:hint="eastAsia" w:ascii="宋体" w:hAnsi="宋体" w:cs="宋体"/>
          <w:snapToGrid w:val="0"/>
          <w:color w:val="auto"/>
          <w:kern w:val="0"/>
          <w:sz w:val="24"/>
          <w:szCs w:val="24"/>
          <w:highlight w:val="none"/>
        </w:rPr>
        <w:t>人，专家</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人。专家从广东省综合评标评审专家库（韶关区域）中随机抽取，</w:t>
      </w:r>
      <w:r>
        <w:rPr>
          <w:rFonts w:hint="eastAsia" w:ascii="宋体" w:hAnsi="宋体" w:cs="宋体"/>
          <w:snapToGrid w:val="0"/>
          <w:color w:val="auto"/>
          <w:kern w:val="0"/>
          <w:sz w:val="24"/>
          <w:highlight w:val="none"/>
        </w:rPr>
        <w:t>其中技术类专家</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人，经济类专家</w:t>
      </w:r>
      <w:r>
        <w:rPr>
          <w:rFonts w:hint="eastAsia" w:ascii="宋体" w:hAnsi="宋体" w:cs="宋体"/>
          <w:snapToGrid w:val="0"/>
          <w:color w:val="auto"/>
          <w:kern w:val="0"/>
          <w:sz w:val="24"/>
          <w:highlight w:val="none"/>
          <w:u w:val="single"/>
        </w:rPr>
        <w:t>2</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szCs w:val="24"/>
          <w:highlight w:val="none"/>
        </w:rPr>
        <w:t>评标委员会设负责人，由评标委员会成员推举产生。评标委员会负责人与评标委员会的其他成员有同等的表决权。</w:t>
      </w:r>
    </w:p>
    <w:p w14:paraId="02105505">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17.1.2</w:t>
      </w:r>
      <w:r>
        <w:rPr>
          <w:rFonts w:hint="eastAsia" w:ascii="宋体" w:hAnsi="宋体" w:cs="宋体"/>
          <w:snapToGrid w:val="0"/>
          <w:color w:val="auto"/>
          <w:kern w:val="0"/>
          <w:sz w:val="24"/>
          <w:szCs w:val="24"/>
          <w:highlight w:val="none"/>
        </w:rPr>
        <w:t>评标委员会应认真、公正、诚实、廉洁地履行职责。有下列情形之一的，不得担任评标委员会成员：</w:t>
      </w:r>
    </w:p>
    <w:p w14:paraId="479A4741">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04AC696D">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655538C9">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11706E15">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213BE729">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121FC6F8">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17.1.3</w:t>
      </w:r>
      <w:r>
        <w:rPr>
          <w:rFonts w:hint="eastAsia" w:ascii="宋体" w:hAnsi="宋体" w:cs="宋体"/>
          <w:snapToGrid w:val="0"/>
          <w:color w:val="auto"/>
          <w:kern w:val="0"/>
          <w:sz w:val="24"/>
          <w:szCs w:val="24"/>
          <w:highlight w:val="none"/>
        </w:rPr>
        <w:t>评标全过程实行封闭式管理，在中标结果公布前，禁止评标委员会成员以任何方式私下接触投标人。</w:t>
      </w:r>
    </w:p>
    <w:p w14:paraId="6820DEF9">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17.1.4</w:t>
      </w:r>
      <w:r>
        <w:rPr>
          <w:rFonts w:hint="eastAsia" w:ascii="宋体" w:hAnsi="宋体" w:cs="宋体"/>
          <w:snapToGrid w:val="0"/>
          <w:color w:val="auto"/>
          <w:kern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16F037">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17.1.5</w:t>
      </w:r>
      <w:r>
        <w:rPr>
          <w:rFonts w:hint="eastAsia" w:ascii="宋体" w:hAnsi="宋体" w:cs="宋体"/>
          <w:snapToGrid w:val="0"/>
          <w:color w:val="auto"/>
          <w:kern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B0A4E31">
      <w:pPr>
        <w:wordWrap w:val="0"/>
        <w:adjustRightInd w:val="0"/>
        <w:spacing w:line="288" w:lineRule="auto"/>
        <w:ind w:firstLine="420"/>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17.2</w:t>
      </w:r>
      <w:r>
        <w:rPr>
          <w:rFonts w:hint="eastAsia" w:ascii="宋体" w:hAnsi="宋体" w:cs="宋体"/>
          <w:bCs/>
          <w:snapToGrid w:val="0"/>
          <w:color w:val="auto"/>
          <w:kern w:val="0"/>
          <w:sz w:val="24"/>
          <w:szCs w:val="24"/>
          <w:highlight w:val="none"/>
        </w:rPr>
        <w:t>评标方法</w:t>
      </w:r>
    </w:p>
    <w:p w14:paraId="756669F7">
      <w:pPr>
        <w:wordWrap w:val="0"/>
        <w:adjustRightInd w:val="0"/>
        <w:spacing w:line="288" w:lineRule="auto"/>
        <w:ind w:firstLine="42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根据有关法律、法规的相关规定，结合本招标项目资金来源和规模特点，本次招标采用“综合评估法”进行评标。</w:t>
      </w:r>
    </w:p>
    <w:p w14:paraId="74FC2376">
      <w:pPr>
        <w:wordWrap w:val="0"/>
        <w:adjustRightInd w:val="0"/>
        <w:spacing w:line="288"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17.3</w:t>
      </w:r>
      <w:r>
        <w:rPr>
          <w:rFonts w:hint="eastAsia" w:ascii="宋体" w:hAnsi="宋体" w:cs="宋体"/>
          <w:bCs/>
          <w:snapToGrid w:val="0"/>
          <w:color w:val="auto"/>
          <w:kern w:val="0"/>
          <w:sz w:val="24"/>
          <w:szCs w:val="24"/>
          <w:highlight w:val="none"/>
        </w:rPr>
        <w:t>评审范围：</w:t>
      </w:r>
      <w:r>
        <w:rPr>
          <w:rFonts w:hint="eastAsia" w:ascii="宋体" w:hAnsi="宋体" w:cs="宋体"/>
          <w:snapToGrid w:val="0"/>
          <w:color w:val="auto"/>
          <w:kern w:val="0"/>
          <w:sz w:val="24"/>
          <w:szCs w:val="24"/>
          <w:highlight w:val="none"/>
        </w:rPr>
        <w:t>评标委员会应对所有进入评标投标人的投标文件进行评审。</w:t>
      </w:r>
    </w:p>
    <w:p w14:paraId="07E95417">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w:t>
      </w:r>
      <w:r>
        <w:rPr>
          <w:rFonts w:hint="eastAsia" w:ascii="宋体" w:hAnsi="宋体" w:cs="宋体"/>
          <w:snapToGrid w:val="0"/>
          <w:color w:val="auto"/>
          <w:kern w:val="0"/>
          <w:sz w:val="24"/>
          <w:szCs w:val="24"/>
          <w:highlight w:val="none"/>
        </w:rPr>
        <w:t>初步评审阶段</w:t>
      </w:r>
    </w:p>
    <w:p w14:paraId="1D4BB154">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7BDE951D">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17.4.1</w:t>
      </w:r>
      <w:r>
        <w:rPr>
          <w:rFonts w:hint="eastAsia" w:ascii="宋体" w:hAnsi="宋体" w:cs="宋体"/>
          <w:snapToGrid w:val="0"/>
          <w:color w:val="auto"/>
          <w:kern w:val="0"/>
          <w:sz w:val="24"/>
          <w:szCs w:val="24"/>
          <w:highlight w:val="none"/>
        </w:rPr>
        <w:t>资格评审环节</w:t>
      </w:r>
    </w:p>
    <w:p w14:paraId="250B832E">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45B4491D">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（1）投标人是否符合本章第三节第</w:t>
      </w:r>
      <w:r>
        <w:rPr>
          <w:rFonts w:hint="eastAsia" w:ascii="宋体" w:hAnsi="宋体" w:cs="宋体"/>
          <w:b/>
          <w:bCs/>
          <w:snapToGrid w:val="0"/>
          <w:color w:val="auto"/>
          <w:kern w:val="0"/>
          <w:sz w:val="24"/>
          <w:szCs w:val="24"/>
          <w:highlight w:val="none"/>
        </w:rPr>
        <w:t>4.4</w:t>
      </w:r>
      <w:r>
        <w:rPr>
          <w:rFonts w:hint="eastAsia" w:ascii="宋体" w:hAnsi="宋体" w:cs="宋体"/>
          <w:snapToGrid w:val="0"/>
          <w:color w:val="auto"/>
          <w:kern w:val="0"/>
          <w:sz w:val="24"/>
          <w:szCs w:val="24"/>
          <w:highlight w:val="none"/>
        </w:rPr>
        <w:t>条“禁止投标条款”规定。</w:t>
      </w:r>
    </w:p>
    <w:p w14:paraId="3065A95D">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471F27BB">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11440DB3">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4"/>
          <w:highlight w:val="none"/>
        </w:rPr>
        <w:t>的条件是否符合招标文件规定。</w:t>
      </w:r>
    </w:p>
    <w:p w14:paraId="7ACE3A8E">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54A95212">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（6）投标人为外省建筑企业的，满足本节第</w:t>
      </w:r>
      <w:r>
        <w:rPr>
          <w:rFonts w:hint="eastAsia" w:ascii="宋体" w:hAnsi="宋体" w:cs="宋体"/>
          <w:b/>
          <w:bCs/>
          <w:snapToGrid w:val="0"/>
          <w:color w:val="auto"/>
          <w:kern w:val="0"/>
          <w:sz w:val="24"/>
          <w:szCs w:val="24"/>
          <w:highlight w:val="none"/>
        </w:rPr>
        <w:t>4.5</w:t>
      </w:r>
      <w:r>
        <w:rPr>
          <w:rFonts w:hint="eastAsia" w:ascii="宋体" w:hAnsi="宋体" w:cs="宋体"/>
          <w:snapToGrid w:val="0"/>
          <w:color w:val="auto"/>
          <w:kern w:val="0"/>
          <w:sz w:val="24"/>
          <w:szCs w:val="24"/>
          <w:highlight w:val="none"/>
        </w:rPr>
        <w:t>目中的规定。</w:t>
      </w:r>
    </w:p>
    <w:p w14:paraId="7EBE595F">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17.4.2</w:t>
      </w:r>
      <w:r>
        <w:rPr>
          <w:rFonts w:hint="eastAsia" w:ascii="宋体" w:hAnsi="宋体" w:cs="宋体"/>
          <w:snapToGrid w:val="0"/>
          <w:color w:val="auto"/>
          <w:kern w:val="0"/>
          <w:sz w:val="24"/>
          <w:szCs w:val="24"/>
          <w:highlight w:val="none"/>
        </w:rPr>
        <w:t>形式评审环节</w:t>
      </w:r>
    </w:p>
    <w:p w14:paraId="677793BC">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716B87CF">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4545FB59">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rPr>
        <w:t>10.2.2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rPr>
        <w:t>10.3.2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28C85595">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2887FD36">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17.4.3</w:t>
      </w:r>
      <w:r>
        <w:rPr>
          <w:rFonts w:hint="eastAsia" w:ascii="宋体" w:hAnsi="宋体" w:cs="宋体"/>
          <w:snapToGrid w:val="0"/>
          <w:color w:val="auto"/>
          <w:kern w:val="0"/>
          <w:sz w:val="24"/>
          <w:szCs w:val="24"/>
          <w:highlight w:val="none"/>
        </w:rPr>
        <w:t>响应性评审环节</w:t>
      </w:r>
    </w:p>
    <w:p w14:paraId="0409D06B">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响应性评审事项包括：</w:t>
      </w:r>
    </w:p>
    <w:p w14:paraId="078D5D82">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（1）投标有效期、质量标准、工期等是否响应招标文件实质性要求；是否擅自修改、遗漏《投标函》《各项承诺一览表》的实质性内容。</w:t>
      </w:r>
    </w:p>
    <w:p w14:paraId="55490663">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（2）投标总价是否唯一；投标报价是否超出最高投标限价。</w:t>
      </w:r>
    </w:p>
    <w:p w14:paraId="6D86ECB6">
      <w:pPr>
        <w:wordWrap w:val="0"/>
        <w:adjustRightInd w:val="0"/>
        <w:spacing w:line="288"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（3）技术标书的质量、保障措施是否符合国家和省市现行有关规范、规定、标准，是否能实现工程质量、进度管理目标。</w:t>
      </w:r>
    </w:p>
    <w:p w14:paraId="6C33FFC5">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17.4.4</w:t>
      </w:r>
      <w:r>
        <w:rPr>
          <w:rFonts w:hint="eastAsia" w:ascii="宋体" w:hAnsi="宋体" w:cs="宋体"/>
          <w:snapToGrid w:val="0"/>
          <w:color w:val="auto"/>
          <w:kern w:val="0"/>
          <w:sz w:val="24"/>
          <w:szCs w:val="24"/>
          <w:highlight w:val="none"/>
        </w:rPr>
        <w:t>否决投标说明</w:t>
      </w:r>
    </w:p>
    <w:p w14:paraId="21E819EF">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6037B8EB">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w:t>
      </w:r>
      <w:r>
        <w:rPr>
          <w:rFonts w:hint="eastAsia" w:ascii="宋体" w:hAnsi="宋体" w:cs="宋体"/>
          <w:snapToGrid w:val="0"/>
          <w:color w:val="auto"/>
          <w:kern w:val="0"/>
          <w:sz w:val="24"/>
          <w:szCs w:val="24"/>
          <w:highlight w:val="none"/>
        </w:rPr>
        <w:t>详细评审阶段</w:t>
      </w:r>
    </w:p>
    <w:p w14:paraId="54BDFA11">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17.5.1</w:t>
      </w:r>
      <w:r>
        <w:rPr>
          <w:rFonts w:hint="eastAsia" w:ascii="宋体" w:hAnsi="宋体" w:cs="宋体"/>
          <w:bCs/>
          <w:snapToGrid w:val="0"/>
          <w:color w:val="auto"/>
          <w:kern w:val="0"/>
          <w:sz w:val="24"/>
          <w:szCs w:val="24"/>
          <w:highlight w:val="none"/>
        </w:rPr>
        <w:t>“综合评估法”评审程序</w:t>
      </w:r>
    </w:p>
    <w:p w14:paraId="172F5132">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评审内容分为商务、技术和投标报价三大部分，综合得分满分为100分。其中，商务部分满分为</w:t>
      </w:r>
      <w:r>
        <w:rPr>
          <w:rFonts w:hint="eastAsia" w:ascii="宋体" w:hAnsi="宋体" w:cs="宋体"/>
          <w:snapToGrid w:val="0"/>
          <w:color w:val="auto"/>
          <w:kern w:val="0"/>
          <w:sz w:val="24"/>
          <w:szCs w:val="24"/>
          <w:highlight w:val="none"/>
          <w:u w:val="single"/>
        </w:rPr>
        <w:t>50</w:t>
      </w:r>
      <w:r>
        <w:rPr>
          <w:rFonts w:hint="eastAsia" w:ascii="宋体" w:hAnsi="宋体" w:cs="宋体"/>
          <w:snapToGrid w:val="0"/>
          <w:color w:val="auto"/>
          <w:kern w:val="0"/>
          <w:sz w:val="24"/>
          <w:szCs w:val="24"/>
          <w:highlight w:val="none"/>
        </w:rPr>
        <w:t>分，技术部分满分为</w:t>
      </w:r>
      <w:r>
        <w:rPr>
          <w:rFonts w:hint="eastAsia" w:ascii="宋体" w:hAnsi="宋体" w:cs="宋体"/>
          <w:snapToGrid w:val="0"/>
          <w:color w:val="auto"/>
          <w:kern w:val="0"/>
          <w:sz w:val="24"/>
          <w:szCs w:val="24"/>
          <w:highlight w:val="none"/>
          <w:u w:val="single"/>
        </w:rPr>
        <w:t>30</w:t>
      </w:r>
      <w:r>
        <w:rPr>
          <w:rFonts w:hint="eastAsia" w:ascii="宋体" w:hAnsi="宋体" w:cs="宋体"/>
          <w:snapToGrid w:val="0"/>
          <w:color w:val="auto"/>
          <w:kern w:val="0"/>
          <w:sz w:val="24"/>
          <w:szCs w:val="24"/>
          <w:highlight w:val="none"/>
        </w:rPr>
        <w:t>分，投标报价部分满分为</w:t>
      </w:r>
      <w:r>
        <w:rPr>
          <w:rFonts w:hint="eastAsia" w:ascii="宋体" w:hAnsi="宋体" w:cs="宋体"/>
          <w:snapToGrid w:val="0"/>
          <w:color w:val="auto"/>
          <w:kern w:val="0"/>
          <w:sz w:val="24"/>
          <w:szCs w:val="24"/>
          <w:highlight w:val="none"/>
          <w:u w:val="single"/>
        </w:rPr>
        <w:t>20</w:t>
      </w:r>
      <w:r>
        <w:rPr>
          <w:rFonts w:hint="eastAsia" w:ascii="宋体" w:hAnsi="宋体" w:cs="宋体"/>
          <w:snapToGrid w:val="0"/>
          <w:color w:val="auto"/>
          <w:kern w:val="0"/>
          <w:sz w:val="24"/>
          <w:szCs w:val="24"/>
          <w:highlight w:val="none"/>
        </w:rPr>
        <w:t>分。</w:t>
      </w:r>
    </w:p>
    <w:p w14:paraId="0D4A97AD">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除特别注明外，综合得分以及商务得分、技术得分、投标报价得分的中间过程计算值和最终值，均按“四舍五入”原则精确到两位小数。</w:t>
      </w:r>
    </w:p>
    <w:p w14:paraId="01A97748">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（1）商务得分M</w:t>
      </w:r>
      <w:r>
        <w:rPr>
          <w:rFonts w:hint="eastAsia" w:ascii="宋体" w:hAnsi="宋体" w:cs="宋体"/>
          <w:snapToGrid w:val="0"/>
          <w:color w:val="auto"/>
          <w:kern w:val="0"/>
          <w:sz w:val="24"/>
          <w:szCs w:val="22"/>
          <w:highlight w:val="none"/>
          <w:vertAlign w:val="subscript"/>
        </w:rPr>
        <w:t>1</w:t>
      </w:r>
    </w:p>
    <w:p w14:paraId="5D51B7CE">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评标委员会按照《综合评分表》商务部分指定的评分标准对各评分因素进行打分。各评分因素得分之和即为某投标人的商务得分M</w:t>
      </w:r>
      <w:r>
        <w:rPr>
          <w:rFonts w:hint="eastAsia" w:ascii="宋体" w:hAnsi="宋体" w:cs="宋体"/>
          <w:snapToGrid w:val="0"/>
          <w:color w:val="auto"/>
          <w:kern w:val="0"/>
          <w:sz w:val="24"/>
          <w:szCs w:val="22"/>
          <w:highlight w:val="none"/>
          <w:vertAlign w:val="subscript"/>
        </w:rPr>
        <w:t>1</w:t>
      </w:r>
      <w:r>
        <w:rPr>
          <w:rFonts w:hint="eastAsia" w:ascii="宋体" w:hAnsi="宋体" w:cs="宋体"/>
          <w:snapToGrid w:val="0"/>
          <w:color w:val="auto"/>
          <w:kern w:val="0"/>
          <w:sz w:val="24"/>
          <w:szCs w:val="22"/>
          <w:highlight w:val="none"/>
        </w:rPr>
        <w:t>。</w:t>
      </w:r>
    </w:p>
    <w:p w14:paraId="230551F3">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（2）技术得分M</w:t>
      </w:r>
      <w:r>
        <w:rPr>
          <w:rFonts w:hint="eastAsia" w:ascii="宋体" w:hAnsi="宋体" w:cs="宋体"/>
          <w:snapToGrid w:val="0"/>
          <w:color w:val="auto"/>
          <w:kern w:val="0"/>
          <w:sz w:val="24"/>
          <w:szCs w:val="22"/>
          <w:highlight w:val="none"/>
          <w:vertAlign w:val="subscript"/>
        </w:rPr>
        <w:t>2</w:t>
      </w:r>
    </w:p>
    <w:p w14:paraId="1E259CBD">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sz w:val="24"/>
          <w:szCs w:val="32"/>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snapToGrid w:val="0"/>
          <w:color w:val="auto"/>
          <w:kern w:val="0"/>
          <w:sz w:val="24"/>
          <w:szCs w:val="22"/>
          <w:highlight w:val="none"/>
        </w:rPr>
        <w:t>。</w:t>
      </w:r>
    </w:p>
    <w:p w14:paraId="23FAC0C0">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（3）投标报价得分M</w:t>
      </w:r>
      <w:r>
        <w:rPr>
          <w:rFonts w:hint="eastAsia" w:ascii="宋体" w:hAnsi="宋体" w:cs="宋体"/>
          <w:snapToGrid w:val="0"/>
          <w:color w:val="auto"/>
          <w:kern w:val="0"/>
          <w:sz w:val="24"/>
          <w:szCs w:val="22"/>
          <w:highlight w:val="none"/>
          <w:vertAlign w:val="subscript"/>
        </w:rPr>
        <w:t>3</w:t>
      </w:r>
    </w:p>
    <w:p w14:paraId="65C1412B">
      <w:pPr>
        <w:wordWrap w:val="0"/>
        <w:adjustRightInd w:val="0"/>
        <w:snapToGrid w:val="0"/>
        <w:spacing w:line="440" w:lineRule="exact"/>
        <w:ind w:firstLine="482" w:firstLineChars="200"/>
        <w:rPr>
          <w:rFonts w:hint="eastAsia" w:ascii="宋体" w:hAnsi="宋体" w:cs="宋体"/>
          <w:snapToGrid w:val="0"/>
          <w:color w:val="auto"/>
          <w:kern w:val="0"/>
          <w:sz w:val="24"/>
          <w:szCs w:val="22"/>
          <w:highlight w:val="none"/>
        </w:rPr>
      </w:pPr>
      <w:r>
        <w:rPr>
          <w:rFonts w:hint="eastAsia" w:ascii="宋体" w:hAnsi="宋体" w:cs="宋体"/>
          <w:b/>
          <w:bCs/>
          <w:snapToGrid w:val="0"/>
          <w:color w:val="auto"/>
          <w:kern w:val="0"/>
          <w:sz w:val="24"/>
          <w:szCs w:val="22"/>
          <w:highlight w:val="none"/>
        </w:rPr>
        <w:t>a</w:t>
      </w:r>
      <w:r>
        <w:rPr>
          <w:rFonts w:hint="eastAsia" w:ascii="宋体" w:hAnsi="宋体" w:cs="宋体"/>
          <w:snapToGrid w:val="0"/>
          <w:color w:val="auto"/>
          <w:kern w:val="0"/>
          <w:sz w:val="24"/>
          <w:szCs w:val="22"/>
          <w:highlight w:val="none"/>
        </w:rPr>
        <w:t>．评标委员会按照《综合评分表》投标报价部分指定的方法计算评标基准价D。</w:t>
      </w:r>
    </w:p>
    <w:p w14:paraId="41EDEA09">
      <w:pPr>
        <w:wordWrap w:val="0"/>
        <w:adjustRightInd w:val="0"/>
        <w:snapToGrid w:val="0"/>
        <w:spacing w:line="440" w:lineRule="exact"/>
        <w:ind w:firstLine="482" w:firstLineChars="200"/>
        <w:rPr>
          <w:rFonts w:hint="eastAsia" w:ascii="宋体" w:hAnsi="宋体" w:cs="宋体"/>
          <w:snapToGrid w:val="0"/>
          <w:color w:val="auto"/>
          <w:kern w:val="0"/>
          <w:sz w:val="24"/>
          <w:szCs w:val="22"/>
          <w:highlight w:val="none"/>
        </w:rPr>
      </w:pPr>
      <w:r>
        <w:rPr>
          <w:rFonts w:hint="eastAsia" w:ascii="宋体" w:hAnsi="宋体" w:cs="宋体"/>
          <w:b/>
          <w:bCs/>
          <w:snapToGrid w:val="0"/>
          <w:color w:val="auto"/>
          <w:kern w:val="0"/>
          <w:sz w:val="24"/>
          <w:szCs w:val="22"/>
          <w:highlight w:val="none"/>
        </w:rPr>
        <w:t>b</w:t>
      </w:r>
      <w:r>
        <w:rPr>
          <w:rFonts w:hint="eastAsia" w:ascii="宋体" w:hAnsi="宋体" w:cs="宋体"/>
          <w:snapToGrid w:val="0"/>
          <w:color w:val="auto"/>
          <w:kern w:val="0"/>
          <w:sz w:val="24"/>
          <w:szCs w:val="22"/>
          <w:highlight w:val="none"/>
        </w:rPr>
        <w:t>．采用内插法计算某投标人的投标报价得分M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，即当投标人的投标总价等于评标基准价时得20分，每高于评标基准价一个百分点扣1分，每低于评标基准价一个百分点扣0.5分，扣完为止。公式如下：</w:t>
      </w:r>
    </w:p>
    <w:p w14:paraId="5F3825D2">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＝20－（|Di－D|÷D）×100×E</w:t>
      </w:r>
    </w:p>
    <w:p w14:paraId="080FDF3B">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式中：D为评标基准价；Di为某投标人的投标总价；E为扣分因子，当Di＞D时，E＝1；当Di＜D时，E＝0.5。</w:t>
      </w:r>
    </w:p>
    <w:p w14:paraId="63F38A29">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（3）综合得分M</w:t>
      </w:r>
    </w:p>
    <w:p w14:paraId="11083BC9">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综合得分满分100分，公式如下：</w:t>
      </w:r>
    </w:p>
    <w:p w14:paraId="03EA4F49">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综合得分M＝M</w:t>
      </w:r>
      <w:r>
        <w:rPr>
          <w:rFonts w:hint="eastAsia" w:ascii="宋体" w:hAnsi="宋体" w:cs="宋体"/>
          <w:snapToGrid w:val="0"/>
          <w:color w:val="auto"/>
          <w:kern w:val="0"/>
          <w:sz w:val="24"/>
          <w:szCs w:val="22"/>
          <w:highlight w:val="none"/>
          <w:vertAlign w:val="subscript"/>
        </w:rPr>
        <w:t>1</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p>
    <w:p w14:paraId="4EF05F03">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式中：M</w:t>
      </w:r>
      <w:r>
        <w:rPr>
          <w:rFonts w:hint="eastAsia" w:ascii="宋体" w:hAnsi="宋体" w:cs="宋体"/>
          <w:color w:val="auto"/>
          <w:sz w:val="24"/>
          <w:szCs w:val="32"/>
          <w:highlight w:val="none"/>
        </w:rPr>
        <w:t>为综合得分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1</w:t>
      </w:r>
      <w:r>
        <w:rPr>
          <w:rFonts w:hint="eastAsia" w:ascii="宋体" w:hAnsi="宋体" w:cs="宋体"/>
          <w:color w:val="auto"/>
          <w:sz w:val="24"/>
          <w:szCs w:val="32"/>
          <w:highlight w:val="none"/>
        </w:rPr>
        <w:t>为商务得分，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color w:val="auto"/>
          <w:sz w:val="24"/>
          <w:szCs w:val="32"/>
          <w:highlight w:val="none"/>
        </w:rPr>
        <w:t>为技术得分，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为投标报价得分。</w:t>
      </w:r>
    </w:p>
    <w:p w14:paraId="7679D878">
      <w:pPr>
        <w:numPr>
          <w:ilvl w:val="0"/>
          <w:numId w:val="2"/>
        </w:numPr>
        <w:wordWrap w:val="0"/>
        <w:adjustRightInd w:val="0"/>
        <w:snapToGrid w:val="0"/>
        <w:spacing w:line="440" w:lineRule="exact"/>
        <w:ind w:firstLine="480" w:firstLineChars="200"/>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p>
    <w:p w14:paraId="3B726064">
      <w:pPr>
        <w:wordWrap w:val="0"/>
        <w:adjustRightInd w:val="0"/>
        <w:snapToGrid w:val="0"/>
        <w:spacing w:line="440" w:lineRule="exact"/>
        <w:rPr>
          <w:rFonts w:hint="eastAsia" w:ascii="宋体" w:hAnsi="宋体" w:cs="宋体"/>
          <w:snapToGrid w:val="0"/>
          <w:color w:val="auto"/>
          <w:kern w:val="0"/>
          <w:sz w:val="24"/>
          <w:szCs w:val="32"/>
          <w:highlight w:val="none"/>
        </w:rPr>
      </w:pPr>
    </w:p>
    <w:p w14:paraId="2DE8AC47">
      <w:pPr>
        <w:rPr>
          <w:rFonts w:hint="eastAsia" w:ascii="宋体" w:hAnsi="宋体" w:cs="宋体"/>
          <w:color w:val="auto"/>
          <w:highlight w:val="none"/>
        </w:rPr>
      </w:pPr>
    </w:p>
    <w:p w14:paraId="5225F25D">
      <w:pPr>
        <w:rPr>
          <w:rStyle w:val="25"/>
          <w:rFonts w:hint="eastAsia" w:ascii="宋体" w:hAnsi="宋体" w:cs="宋体"/>
          <w:b/>
          <w:bCs/>
          <w:color w:val="auto"/>
          <w:kern w:val="0"/>
          <w:sz w:val="30"/>
          <w:szCs w:val="30"/>
          <w:highlight w:val="none"/>
        </w:rPr>
      </w:pPr>
      <w:r>
        <w:rPr>
          <w:rStyle w:val="25"/>
          <w:rFonts w:hint="eastAsia" w:ascii="宋体" w:hAnsi="宋体" w:cs="宋体"/>
          <w:b/>
          <w:bCs/>
          <w:color w:val="auto"/>
          <w:kern w:val="0"/>
          <w:sz w:val="30"/>
          <w:szCs w:val="30"/>
          <w:highlight w:val="none"/>
        </w:rPr>
        <w:br w:type="page"/>
      </w:r>
    </w:p>
    <w:p w14:paraId="14CFBA12">
      <w:pPr>
        <w:snapToGrid w:val="0"/>
        <w:spacing w:line="360" w:lineRule="auto"/>
        <w:ind w:firstLine="602" w:firstLineChars="200"/>
        <w:jc w:val="center"/>
        <w:rPr>
          <w:rStyle w:val="25"/>
          <w:rFonts w:hint="eastAsia" w:ascii="宋体" w:hAnsi="宋体" w:cs="宋体"/>
          <w:color w:val="auto"/>
          <w:kern w:val="0"/>
          <w:highlight w:val="none"/>
        </w:rPr>
      </w:pPr>
      <w:r>
        <w:rPr>
          <w:rStyle w:val="25"/>
          <w:rFonts w:hint="eastAsia" w:ascii="宋体" w:hAnsi="宋体" w:cs="宋体"/>
          <w:b/>
          <w:bCs/>
          <w:color w:val="auto"/>
          <w:kern w:val="0"/>
          <w:sz w:val="30"/>
          <w:szCs w:val="30"/>
          <w:highlight w:val="none"/>
        </w:rPr>
        <w:t>综合评分表</w:t>
      </w:r>
    </w:p>
    <w:tbl>
      <w:tblPr>
        <w:tblStyle w:val="15"/>
        <w:tblW w:w="10615" w:type="dxa"/>
        <w:jc w:val="center"/>
        <w:tblLayout w:type="fixed"/>
        <w:tblCellMar>
          <w:top w:w="0" w:type="dxa"/>
          <w:left w:w="108" w:type="dxa"/>
          <w:bottom w:w="0" w:type="dxa"/>
          <w:right w:w="108" w:type="dxa"/>
        </w:tblCellMar>
      </w:tblPr>
      <w:tblGrid>
        <w:gridCol w:w="683"/>
        <w:gridCol w:w="1066"/>
        <w:gridCol w:w="4734"/>
        <w:gridCol w:w="4132"/>
      </w:tblGrid>
      <w:tr w14:paraId="348D4819">
        <w:tblPrEx>
          <w:tblCellMar>
            <w:top w:w="0" w:type="dxa"/>
            <w:left w:w="108" w:type="dxa"/>
            <w:bottom w:w="0" w:type="dxa"/>
            <w:right w:w="108" w:type="dxa"/>
          </w:tblCellMar>
        </w:tblPrEx>
        <w:trPr>
          <w:trHeight w:val="624" w:hRule="atLeast"/>
          <w:jc w:val="center"/>
        </w:trPr>
        <w:tc>
          <w:tcPr>
            <w:tcW w:w="10615" w:type="dxa"/>
            <w:gridSpan w:val="4"/>
            <w:tcBorders>
              <w:top w:val="single" w:color="auto" w:sz="4" w:space="0"/>
              <w:left w:val="single" w:color="auto" w:sz="4" w:space="0"/>
              <w:bottom w:val="single" w:color="auto" w:sz="4" w:space="0"/>
              <w:right w:val="single" w:color="auto" w:sz="4" w:space="0"/>
            </w:tcBorders>
            <w:shd w:val="clear" w:color="auto" w:fill="D7D7D7"/>
            <w:vAlign w:val="center"/>
          </w:tcPr>
          <w:p w14:paraId="002207AE">
            <w:pPr>
              <w:pStyle w:val="6"/>
              <w:wordWrap w:val="0"/>
              <w:autoSpaceDE w:val="0"/>
              <w:adjustRightInd w:val="0"/>
              <w:snapToGrid w:val="0"/>
              <w:spacing w:line="360" w:lineRule="auto"/>
              <w:rPr>
                <w:rFonts w:hint="eastAsia" w:asciiTheme="minorEastAsia" w:hAnsiTheme="minorEastAsia" w:eastAsiaTheme="minorEastAsia" w:cstheme="minorEastAsia"/>
                <w:color w:val="auto"/>
                <w:kern w:val="0"/>
                <w:szCs w:val="21"/>
                <w:highlight w:val="none"/>
              </w:rPr>
            </w:pPr>
            <w:bookmarkStart w:id="181" w:name="_Toc14036"/>
            <w:bookmarkStart w:id="182" w:name="_Hlt69698765"/>
            <w:bookmarkStart w:id="183" w:name="_Hlt69698713"/>
            <w:r>
              <w:rPr>
                <w:rFonts w:hint="eastAsia" w:asciiTheme="minorEastAsia" w:hAnsiTheme="minorEastAsia" w:eastAsiaTheme="minorEastAsia" w:cstheme="minorEastAsia"/>
                <w:b/>
                <w:bCs/>
                <w:color w:val="auto"/>
                <w:kern w:val="0"/>
                <w:szCs w:val="21"/>
                <w:highlight w:val="none"/>
              </w:rPr>
              <w:t>商务部分</w:t>
            </w:r>
            <w:r>
              <w:rPr>
                <w:rFonts w:hint="eastAsia" w:asciiTheme="minorEastAsia" w:hAnsiTheme="minorEastAsia" w:eastAsiaTheme="minorEastAsia" w:cstheme="minorEastAsia"/>
                <w:b/>
                <w:bCs/>
                <w:snapToGrid w:val="0"/>
                <w:color w:val="auto"/>
                <w:kern w:val="0"/>
                <w:szCs w:val="21"/>
                <w:highlight w:val="none"/>
              </w:rPr>
              <w:t>M</w:t>
            </w:r>
            <w:r>
              <w:rPr>
                <w:rFonts w:hint="eastAsia" w:asciiTheme="minorEastAsia" w:hAnsiTheme="minorEastAsia" w:eastAsiaTheme="minorEastAsia" w:cstheme="minorEastAsia"/>
                <w:b/>
                <w:bCs/>
                <w:snapToGrid w:val="0"/>
                <w:color w:val="auto"/>
                <w:kern w:val="0"/>
                <w:szCs w:val="21"/>
                <w:highlight w:val="none"/>
                <w:vertAlign w:val="subscript"/>
              </w:rPr>
              <w:t>1</w:t>
            </w:r>
            <w:r>
              <w:rPr>
                <w:rFonts w:hint="eastAsia" w:asciiTheme="minorEastAsia" w:hAnsiTheme="minorEastAsia" w:eastAsiaTheme="minorEastAsia" w:cstheme="minorEastAsia"/>
                <w:b/>
                <w:bCs/>
                <w:color w:val="auto"/>
                <w:kern w:val="0"/>
                <w:szCs w:val="21"/>
                <w:highlight w:val="none"/>
              </w:rPr>
              <w:t>，满分：50分。</w:t>
            </w:r>
          </w:p>
        </w:tc>
      </w:tr>
      <w:tr w14:paraId="55F58B29">
        <w:tblPrEx>
          <w:tblCellMar>
            <w:top w:w="0" w:type="dxa"/>
            <w:left w:w="108" w:type="dxa"/>
            <w:bottom w:w="0" w:type="dxa"/>
            <w:right w:w="108" w:type="dxa"/>
          </w:tblCellMar>
        </w:tblPrEx>
        <w:trPr>
          <w:trHeight w:val="475"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B13AF2B">
            <w:pPr>
              <w:pStyle w:val="6"/>
              <w:wordWrap w:val="0"/>
              <w:autoSpaceDE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评分因素</w:t>
            </w:r>
          </w:p>
        </w:tc>
        <w:tc>
          <w:tcPr>
            <w:tcW w:w="4734" w:type="dxa"/>
            <w:tcBorders>
              <w:top w:val="single" w:color="auto" w:sz="4" w:space="0"/>
              <w:left w:val="nil"/>
              <w:bottom w:val="single" w:color="auto" w:sz="4" w:space="0"/>
              <w:right w:val="single" w:color="auto" w:sz="4" w:space="0"/>
            </w:tcBorders>
            <w:vAlign w:val="center"/>
          </w:tcPr>
          <w:p w14:paraId="2D33BC72">
            <w:pPr>
              <w:pStyle w:val="6"/>
              <w:wordWrap w:val="0"/>
              <w:autoSpaceDE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评分标准</w:t>
            </w:r>
          </w:p>
        </w:tc>
        <w:tc>
          <w:tcPr>
            <w:tcW w:w="4132" w:type="dxa"/>
            <w:tcBorders>
              <w:top w:val="single" w:color="auto" w:sz="4" w:space="0"/>
              <w:left w:val="nil"/>
              <w:bottom w:val="single" w:color="auto" w:sz="4" w:space="0"/>
              <w:right w:val="single" w:color="auto" w:sz="4" w:space="0"/>
            </w:tcBorders>
            <w:vAlign w:val="center"/>
          </w:tcPr>
          <w:p w14:paraId="34D12141">
            <w:pPr>
              <w:pStyle w:val="6"/>
              <w:wordWrap w:val="0"/>
              <w:autoSpaceDE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14:paraId="420C40C6">
        <w:tblPrEx>
          <w:tblCellMar>
            <w:top w:w="0" w:type="dxa"/>
            <w:left w:w="108" w:type="dxa"/>
            <w:bottom w:w="0" w:type="dxa"/>
            <w:right w:w="108" w:type="dxa"/>
          </w:tblCellMar>
        </w:tblPrEx>
        <w:trPr>
          <w:trHeight w:val="3701" w:hRule="atLeast"/>
          <w:jc w:val="center"/>
        </w:trPr>
        <w:tc>
          <w:tcPr>
            <w:tcW w:w="683" w:type="dxa"/>
            <w:vMerge w:val="restart"/>
            <w:tcBorders>
              <w:left w:val="single" w:color="auto" w:sz="4" w:space="0"/>
              <w:right w:val="single" w:color="auto" w:sz="4" w:space="0"/>
            </w:tcBorders>
            <w:vAlign w:val="center"/>
          </w:tcPr>
          <w:p w14:paraId="47E887D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商务部分（50分）</w:t>
            </w:r>
          </w:p>
        </w:tc>
        <w:tc>
          <w:tcPr>
            <w:tcW w:w="1066" w:type="dxa"/>
            <w:tcBorders>
              <w:top w:val="single" w:color="auto" w:sz="4" w:space="0"/>
              <w:left w:val="nil"/>
              <w:bottom w:val="single" w:color="auto" w:sz="4" w:space="0"/>
              <w:right w:val="single" w:color="auto" w:sz="4" w:space="0"/>
            </w:tcBorders>
            <w:vAlign w:val="center"/>
          </w:tcPr>
          <w:p w14:paraId="3EB07583">
            <w:pPr>
              <w:pStyle w:val="6"/>
              <w:adjustRightInd w:val="0"/>
              <w:snapToGrid w:val="0"/>
              <w:spacing w:after="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企业业绩（15分）</w:t>
            </w:r>
          </w:p>
        </w:tc>
        <w:tc>
          <w:tcPr>
            <w:tcW w:w="4734" w:type="dxa"/>
            <w:tcBorders>
              <w:top w:val="single" w:color="auto" w:sz="4" w:space="0"/>
              <w:left w:val="nil"/>
              <w:bottom w:val="single" w:color="auto" w:sz="4" w:space="0"/>
              <w:right w:val="single" w:color="auto" w:sz="4" w:space="0"/>
            </w:tcBorders>
            <w:vAlign w:val="center"/>
          </w:tcPr>
          <w:p w14:paraId="52EA54F4">
            <w:pP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近年来</w:t>
            </w:r>
            <w:r>
              <w:rPr>
                <w:rFonts w:hint="eastAsia" w:asciiTheme="minorEastAsia" w:hAnsiTheme="minorEastAsia" w:eastAsiaTheme="minorEastAsia" w:cstheme="minorEastAsia"/>
                <w:color w:val="auto"/>
                <w:szCs w:val="21"/>
                <w:highlight w:val="none"/>
                <w:lang w:eastAsia="zh-CN"/>
              </w:rPr>
              <w:t>投标人</w:t>
            </w:r>
            <w:r>
              <w:rPr>
                <w:rFonts w:hint="eastAsia" w:asciiTheme="minorEastAsia" w:hAnsiTheme="minorEastAsia" w:eastAsiaTheme="minorEastAsia" w:cstheme="minorEastAsia"/>
                <w:color w:val="auto"/>
                <w:szCs w:val="21"/>
                <w:highlight w:val="none"/>
              </w:rPr>
              <w:t>（2019年1月1日至今）</w:t>
            </w:r>
            <w:r>
              <w:rPr>
                <w:rFonts w:hint="eastAsia" w:asciiTheme="minorEastAsia" w:hAnsiTheme="minorEastAsia" w:eastAsiaTheme="minorEastAsia" w:cstheme="minorEastAsia"/>
                <w:color w:val="auto"/>
                <w:szCs w:val="21"/>
                <w:highlight w:val="none"/>
                <w:lang w:eastAsia="zh-CN"/>
              </w:rPr>
              <w:t>业绩情况：</w:t>
            </w:r>
          </w:p>
          <w:p w14:paraId="61938A6A">
            <w:pPr>
              <w:numPr>
                <w:ilvl w:val="0"/>
                <w:numId w:val="0"/>
              </w:num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Cs w:val="21"/>
                <w:highlight w:val="none"/>
                <w:u w:val="single"/>
              </w:rPr>
              <w:t>承接</w:t>
            </w:r>
            <w:r>
              <w:rPr>
                <w:rFonts w:hint="eastAsia" w:asciiTheme="minorEastAsia" w:hAnsiTheme="minorEastAsia" w:eastAsiaTheme="minorEastAsia" w:cstheme="minorEastAsia"/>
                <w:color w:val="auto"/>
                <w:szCs w:val="21"/>
                <w:highlight w:val="none"/>
              </w:rPr>
              <w:t>过类似项目设计的，</w:t>
            </w:r>
            <w:r>
              <w:rPr>
                <w:rFonts w:hint="eastAsia" w:asciiTheme="minorEastAsia" w:hAnsiTheme="minorEastAsia" w:eastAsiaTheme="minorEastAsia" w:cstheme="minorEastAsia"/>
                <w:color w:val="auto"/>
                <w:szCs w:val="21"/>
                <w:highlight w:val="none"/>
                <w:lang w:eastAsia="zh-CN"/>
              </w:rPr>
              <w:t>每个得</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lang w:val="en-US" w:eastAsia="zh-CN"/>
              </w:rPr>
              <w:t>分；</w:t>
            </w:r>
          </w:p>
          <w:p w14:paraId="1298E8BA">
            <w:pPr>
              <w:numPr>
                <w:ilvl w:val="0"/>
                <w:numId w:val="0"/>
              </w:num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Cs w:val="21"/>
                <w:highlight w:val="none"/>
                <w:lang w:eastAsia="zh-CN"/>
              </w:rPr>
              <w:t>未</w:t>
            </w:r>
            <w:r>
              <w:rPr>
                <w:rFonts w:hint="eastAsia" w:asciiTheme="minorEastAsia" w:hAnsiTheme="minorEastAsia" w:eastAsiaTheme="minorEastAsia" w:cstheme="minorEastAsia"/>
                <w:color w:val="auto"/>
                <w:szCs w:val="21"/>
                <w:highlight w:val="none"/>
                <w:u w:val="single"/>
              </w:rPr>
              <w:t>承接</w:t>
            </w:r>
            <w:r>
              <w:rPr>
                <w:rFonts w:hint="eastAsia" w:asciiTheme="minorEastAsia" w:hAnsiTheme="minorEastAsia" w:eastAsiaTheme="minorEastAsia" w:cstheme="minorEastAsia"/>
                <w:color w:val="auto"/>
                <w:szCs w:val="21"/>
                <w:highlight w:val="none"/>
                <w:u w:val="none"/>
                <w:lang w:eastAsia="zh-CN"/>
              </w:rPr>
              <w:t>过类似项目设计的，不予计分；</w:t>
            </w:r>
          </w:p>
          <w:p w14:paraId="0F24DBA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本项最高得</w:t>
            </w:r>
            <w:r>
              <w:rPr>
                <w:rFonts w:hint="eastAsia" w:asciiTheme="minorEastAsia" w:hAnsiTheme="minorEastAsia" w:eastAsiaTheme="minorEastAsia" w:cstheme="minorEastAsia"/>
                <w:color w:val="auto"/>
                <w:szCs w:val="21"/>
                <w:highlight w:val="none"/>
                <w:u w:val="none"/>
              </w:rPr>
              <w:t>15</w:t>
            </w:r>
            <w:r>
              <w:rPr>
                <w:rFonts w:hint="eastAsia" w:asciiTheme="minorEastAsia" w:hAnsiTheme="minorEastAsia" w:eastAsiaTheme="minorEastAsia" w:cstheme="minorEastAsia"/>
                <w:color w:val="auto"/>
                <w:szCs w:val="21"/>
                <w:highlight w:val="none"/>
              </w:rPr>
              <w:t>分。</w:t>
            </w:r>
          </w:p>
        </w:tc>
        <w:tc>
          <w:tcPr>
            <w:tcW w:w="4132" w:type="dxa"/>
            <w:tcBorders>
              <w:top w:val="single" w:color="auto" w:sz="4" w:space="0"/>
              <w:left w:val="nil"/>
              <w:bottom w:val="single" w:color="auto" w:sz="4" w:space="0"/>
              <w:right w:val="single" w:color="auto" w:sz="4" w:space="0"/>
            </w:tcBorders>
            <w:vAlign w:val="center"/>
          </w:tcPr>
          <w:p w14:paraId="140B2C00">
            <w:pPr>
              <w:wordWrap w:val="0"/>
              <w:adjustRightInd w:val="0"/>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1.类似项目指：环境工程类设计项目（含设计，勘察设计，勘察设计施工总承包项目）。</w:t>
            </w:r>
          </w:p>
          <w:p w14:paraId="0BA3B46D">
            <w:pPr>
              <w:wordWrap w:val="0"/>
              <w:adjustRightInd w:val="0"/>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2.证明材料须提供设计合同关键页彩色扫描件（或彩色打印件）。</w:t>
            </w:r>
          </w:p>
          <w:p w14:paraId="224D6475">
            <w:pPr>
              <w:wordWrap w:val="0"/>
              <w:adjustRightInd w:val="0"/>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3.时间以合同签订时间为准。</w:t>
            </w:r>
          </w:p>
          <w:p w14:paraId="0E13B273">
            <w:pPr>
              <w:wordWrap w:val="0"/>
              <w:adjustRightInd w:val="0"/>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4.任一业绩有以下情形之一的，该业绩视为无效，不予计分：</w:t>
            </w:r>
          </w:p>
          <w:p w14:paraId="24B1A65E">
            <w:pPr>
              <w:wordWrap w:val="0"/>
              <w:adjustRightInd w:val="0"/>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①业绩不属于指定类别的；</w:t>
            </w:r>
          </w:p>
          <w:p w14:paraId="4E482DA7">
            <w:pPr>
              <w:wordWrap w:val="0"/>
              <w:adjustRightInd w:val="0"/>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②业绩时间不符合要求的。</w:t>
            </w:r>
          </w:p>
        </w:tc>
      </w:tr>
      <w:tr w14:paraId="1EEB3065">
        <w:tblPrEx>
          <w:tblCellMar>
            <w:top w:w="0" w:type="dxa"/>
            <w:left w:w="108" w:type="dxa"/>
            <w:bottom w:w="0" w:type="dxa"/>
            <w:right w:w="108" w:type="dxa"/>
          </w:tblCellMar>
        </w:tblPrEx>
        <w:trPr>
          <w:trHeight w:val="635" w:hRule="atLeast"/>
          <w:jc w:val="center"/>
        </w:trPr>
        <w:tc>
          <w:tcPr>
            <w:tcW w:w="683" w:type="dxa"/>
            <w:vMerge w:val="continue"/>
            <w:tcBorders>
              <w:top w:val="nil"/>
              <w:left w:val="single" w:color="auto" w:sz="4" w:space="0"/>
              <w:bottom w:val="nil"/>
              <w:right w:val="single" w:color="auto" w:sz="4" w:space="0"/>
            </w:tcBorders>
            <w:vAlign w:val="center"/>
          </w:tcPr>
          <w:p w14:paraId="6B1DD55A">
            <w:pPr>
              <w:widowControl/>
              <w:spacing w:line="360" w:lineRule="auto"/>
              <w:jc w:val="left"/>
              <w:rPr>
                <w:rFonts w:hint="eastAsia" w:asciiTheme="minorEastAsia" w:hAnsiTheme="minorEastAsia" w:eastAsiaTheme="minorEastAsia" w:cstheme="minorEastAsia"/>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728ECD5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获奖情况（10分）</w:t>
            </w:r>
          </w:p>
        </w:tc>
        <w:tc>
          <w:tcPr>
            <w:tcW w:w="4734" w:type="dxa"/>
            <w:tcBorders>
              <w:top w:val="single" w:color="auto" w:sz="4" w:space="0"/>
              <w:left w:val="nil"/>
              <w:bottom w:val="single" w:color="auto" w:sz="4" w:space="0"/>
              <w:right w:val="single" w:color="auto" w:sz="4" w:space="0"/>
            </w:tcBorders>
            <w:vAlign w:val="center"/>
          </w:tcPr>
          <w:p w14:paraId="6B684EF5">
            <w:pPr>
              <w:pStyle w:val="4"/>
              <w:spacing w:before="0" w:after="0"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投标人在2019年1月1日至今，承接过的环境工程项目设计相关工程项目业绩获得奖项情况：</w:t>
            </w:r>
          </w:p>
          <w:p w14:paraId="1BA9EA71">
            <w:pPr>
              <w:pStyle w:val="4"/>
              <w:spacing w:before="0" w:after="0"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1.获得国家级奖项的，每个得</w:t>
            </w:r>
            <w:r>
              <w:rPr>
                <w:rFonts w:hint="eastAsia" w:asciiTheme="minorEastAsia" w:hAnsiTheme="minorEastAsia" w:eastAsiaTheme="minorEastAsia" w:cstheme="minorEastAsia"/>
                <w:color w:val="auto"/>
                <w:sz w:val="21"/>
                <w:szCs w:val="21"/>
                <w:highlight w:val="none"/>
                <w:u w:val="single"/>
              </w:rPr>
              <w:t>5</w:t>
            </w:r>
            <w:r>
              <w:rPr>
                <w:rFonts w:hint="eastAsia" w:asciiTheme="minorEastAsia" w:hAnsiTheme="minorEastAsia" w:eastAsiaTheme="minorEastAsia" w:cstheme="minorEastAsia"/>
                <w:color w:val="auto"/>
                <w:sz w:val="21"/>
                <w:szCs w:val="21"/>
                <w:highlight w:val="none"/>
              </w:rPr>
              <w:t>分；</w:t>
            </w:r>
          </w:p>
          <w:p w14:paraId="6093B802">
            <w:pPr>
              <w:pStyle w:val="4"/>
              <w:spacing w:before="0" w:after="0"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2.获得省级奖项的，每个得</w:t>
            </w:r>
            <w:r>
              <w:rPr>
                <w:rFonts w:asciiTheme="minorEastAsia" w:hAnsiTheme="minorEastAsia" w:eastAsiaTheme="minorEastAsia" w:cstheme="minorEastAsia"/>
                <w:color w:val="auto"/>
                <w:sz w:val="21"/>
                <w:szCs w:val="21"/>
                <w:highlight w:val="none"/>
                <w:u w:val="single"/>
              </w:rPr>
              <w:t>2</w:t>
            </w:r>
            <w:r>
              <w:rPr>
                <w:rFonts w:hint="eastAsia" w:asciiTheme="minorEastAsia" w:hAnsiTheme="minorEastAsia" w:eastAsiaTheme="minorEastAsia" w:cstheme="minorEastAsia"/>
                <w:color w:val="auto"/>
                <w:sz w:val="21"/>
                <w:szCs w:val="21"/>
                <w:highlight w:val="none"/>
              </w:rPr>
              <w:t>分；</w:t>
            </w:r>
          </w:p>
          <w:p w14:paraId="1E06FF18">
            <w:pPr>
              <w:rPr>
                <w:color w:val="auto"/>
                <w:highlight w:val="none"/>
              </w:rPr>
            </w:pPr>
            <w:r>
              <w:rPr>
                <w:rFonts w:hint="eastAsia" w:asciiTheme="minorEastAsia" w:hAnsiTheme="minorEastAsia" w:eastAsiaTheme="minorEastAsia" w:cstheme="minorEastAsia"/>
                <w:color w:val="auto"/>
                <w:szCs w:val="21"/>
                <w:highlight w:val="none"/>
              </w:rPr>
              <w:t>3.</w:t>
            </w:r>
            <w:r>
              <w:rPr>
                <w:rFonts w:hint="eastAsia"/>
                <w:color w:val="auto"/>
                <w:highlight w:val="none"/>
              </w:rPr>
              <w:t>获得地市级奖项，每个得</w:t>
            </w:r>
            <w:r>
              <w:rPr>
                <w:rFonts w:asciiTheme="minorEastAsia" w:hAnsiTheme="minorEastAsia" w:eastAsiaTheme="minorEastAsia" w:cstheme="minorEastAsia"/>
                <w:color w:val="auto"/>
                <w:szCs w:val="21"/>
                <w:highlight w:val="none"/>
                <w:u w:val="single"/>
              </w:rPr>
              <w:t>0.5</w:t>
            </w:r>
            <w:r>
              <w:rPr>
                <w:rFonts w:hint="eastAsia"/>
                <w:color w:val="auto"/>
                <w:highlight w:val="none"/>
              </w:rPr>
              <w:t>分；</w:t>
            </w:r>
          </w:p>
          <w:p w14:paraId="0D74F172">
            <w:pPr>
              <w:pStyle w:val="4"/>
              <w:spacing w:before="0" w:after="0"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4.以上奖项均未获得的，不予计分</w:t>
            </w:r>
            <w:r>
              <w:rPr>
                <w:rFonts w:hint="eastAsia" w:asciiTheme="minorEastAsia" w:hAnsiTheme="minorEastAsia" w:eastAsiaTheme="minorEastAsia" w:cstheme="minorEastAsia"/>
                <w:color w:val="auto"/>
                <w:sz w:val="21"/>
                <w:szCs w:val="21"/>
                <w:highlight w:val="none"/>
                <w:lang w:eastAsia="zh-CN"/>
              </w:rPr>
              <w:t>；</w:t>
            </w:r>
          </w:p>
          <w:p w14:paraId="60B91DF3">
            <w:pPr>
              <w:rPr>
                <w:rFonts w:hint="default"/>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Cs w:val="21"/>
                <w:highlight w:val="none"/>
              </w:rPr>
              <w:t>本项最高得</w:t>
            </w:r>
            <w:r>
              <w:rPr>
                <w:rFonts w:hint="eastAsia" w:asciiTheme="minorEastAsia" w:hAnsiTheme="minorEastAsia" w:eastAsiaTheme="minorEastAsia" w:cstheme="minorEastAsia"/>
                <w:color w:val="auto"/>
                <w:szCs w:val="21"/>
                <w:highlight w:val="none"/>
                <w:u w:val="none"/>
              </w:rPr>
              <w:t>1</w:t>
            </w:r>
            <w:r>
              <w:rPr>
                <w:rFonts w:hint="eastAsia" w:asciiTheme="minorEastAsia" w:hAnsiTheme="minorEastAsia" w:eastAsiaTheme="minorEastAsia" w:cstheme="minorEastAsia"/>
                <w:color w:val="auto"/>
                <w:szCs w:val="21"/>
                <w:highlight w:val="none"/>
                <w:u w:val="none"/>
                <w:lang w:val="en-US" w:eastAsia="zh-CN"/>
              </w:rPr>
              <w:t>0</w:t>
            </w:r>
            <w:r>
              <w:rPr>
                <w:rFonts w:hint="eastAsia" w:asciiTheme="minorEastAsia" w:hAnsiTheme="minorEastAsia" w:eastAsiaTheme="minorEastAsia" w:cstheme="minorEastAsia"/>
                <w:color w:val="auto"/>
                <w:szCs w:val="21"/>
                <w:highlight w:val="none"/>
              </w:rPr>
              <w:t>分。</w:t>
            </w:r>
          </w:p>
        </w:tc>
        <w:tc>
          <w:tcPr>
            <w:tcW w:w="4132" w:type="dxa"/>
            <w:tcBorders>
              <w:top w:val="single" w:color="auto" w:sz="4" w:space="0"/>
              <w:left w:val="nil"/>
              <w:bottom w:val="single" w:color="auto" w:sz="4" w:space="0"/>
              <w:right w:val="single" w:color="auto" w:sz="4" w:space="0"/>
            </w:tcBorders>
            <w:vAlign w:val="center"/>
          </w:tcPr>
          <w:p w14:paraId="5A5F5EF4">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1.投标人可以提交多个等级奖项供评审，但同一项目只按最高获奖等级计分，不同项目的国家级、省级、</w:t>
            </w:r>
            <w:r>
              <w:rPr>
                <w:rFonts w:hint="eastAsia" w:asciiTheme="minorEastAsia" w:hAnsiTheme="minorEastAsia" w:eastAsiaTheme="minorEastAsia" w:cstheme="minorEastAsia"/>
                <w:snapToGrid w:val="0"/>
                <w:color w:val="auto"/>
                <w:kern w:val="0"/>
                <w:szCs w:val="21"/>
                <w:highlight w:val="none"/>
                <w:lang w:eastAsia="zh-CN"/>
              </w:rPr>
              <w:t>地</w:t>
            </w:r>
            <w:r>
              <w:rPr>
                <w:rFonts w:hint="eastAsia" w:asciiTheme="minorEastAsia" w:hAnsiTheme="minorEastAsia" w:eastAsiaTheme="minorEastAsia" w:cstheme="minorEastAsia"/>
                <w:snapToGrid w:val="0"/>
                <w:color w:val="auto"/>
                <w:kern w:val="0"/>
                <w:szCs w:val="21"/>
                <w:highlight w:val="none"/>
              </w:rPr>
              <w:t>市级奖项可累加计分。</w:t>
            </w:r>
          </w:p>
          <w:p w14:paraId="17CAADDB">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2.需附有关奖项证明彩色扫描件（或彩色打印件）。</w:t>
            </w:r>
          </w:p>
          <w:p w14:paraId="557C5DA9">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3.颁发机构限定以下范围：</w:t>
            </w:r>
          </w:p>
          <w:p w14:paraId="1F21F197">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①国家级奖项：国务院、住建部、中国建筑业协会、国家级勘察设计行业协会、勘察设计协会或勘察设计业协会；</w:t>
            </w:r>
          </w:p>
          <w:p w14:paraId="743DF57C">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②省级奖项：省级人民政府、省级住建部门、省级建筑业协会、省级建筑安全协会、省级勘察设计行业协会、勘察设计协会或勘察设计业协会；</w:t>
            </w:r>
          </w:p>
          <w:p w14:paraId="07FF88C4">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③地市级奖项：地市级人民政府、地市级住建部门、地市级建筑协会、地市级勘察设计行业协会、勘察设计协会或勘察设计业协会。</w:t>
            </w:r>
          </w:p>
          <w:p w14:paraId="712E7E46">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4.获奖时间以奖项证明的落款日期为准。</w:t>
            </w:r>
          </w:p>
          <w:p w14:paraId="1FAF30AD">
            <w:pPr>
              <w:wordWrap w:val="0"/>
              <w:adjustRightInd w:val="0"/>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5.不符合评分标准和备注规定的，不予计分。</w:t>
            </w:r>
          </w:p>
        </w:tc>
      </w:tr>
      <w:tr w14:paraId="54C122A6">
        <w:tblPrEx>
          <w:tblCellMar>
            <w:top w:w="0" w:type="dxa"/>
            <w:left w:w="108" w:type="dxa"/>
            <w:bottom w:w="0" w:type="dxa"/>
            <w:right w:w="108" w:type="dxa"/>
          </w:tblCellMar>
        </w:tblPrEx>
        <w:trPr>
          <w:trHeight w:val="1975" w:hRule="atLeast"/>
          <w:jc w:val="center"/>
        </w:trPr>
        <w:tc>
          <w:tcPr>
            <w:tcW w:w="683" w:type="dxa"/>
            <w:vMerge w:val="continue"/>
            <w:tcBorders>
              <w:top w:val="nil"/>
              <w:left w:val="single" w:color="auto" w:sz="4" w:space="0"/>
              <w:bottom w:val="nil"/>
              <w:right w:val="single" w:color="auto" w:sz="4" w:space="0"/>
            </w:tcBorders>
            <w:vAlign w:val="center"/>
          </w:tcPr>
          <w:p w14:paraId="3FAC5A79">
            <w:pPr>
              <w:widowControl/>
              <w:spacing w:line="360" w:lineRule="auto"/>
              <w:jc w:val="left"/>
              <w:rPr>
                <w:rFonts w:hint="eastAsia" w:asciiTheme="minorEastAsia" w:hAnsiTheme="minorEastAsia" w:eastAsiaTheme="minorEastAsia" w:cstheme="minorEastAsia"/>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5217AE3F">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设计项目负责人综合素质</w:t>
            </w:r>
          </w:p>
          <w:p w14:paraId="71847C01">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（3分）</w:t>
            </w:r>
          </w:p>
        </w:tc>
        <w:tc>
          <w:tcPr>
            <w:tcW w:w="4734" w:type="dxa"/>
            <w:tcBorders>
              <w:top w:val="single" w:color="auto" w:sz="4" w:space="0"/>
              <w:left w:val="nil"/>
              <w:bottom w:val="single" w:color="auto" w:sz="4" w:space="0"/>
              <w:right w:val="single" w:color="auto" w:sz="4" w:space="0"/>
            </w:tcBorders>
            <w:vAlign w:val="center"/>
          </w:tcPr>
          <w:p w14:paraId="02961965">
            <w:pPr>
              <w:pStyle w:val="4"/>
              <w:spacing w:before="0" w:after="0"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自2019年1月1日起至投标截止日期参与的类似项目获得省级或以上科学技术奖项的每项得1.0分，本项最高得3分。</w:t>
            </w:r>
          </w:p>
        </w:tc>
        <w:tc>
          <w:tcPr>
            <w:tcW w:w="4132" w:type="dxa"/>
            <w:tcBorders>
              <w:top w:val="single" w:color="auto" w:sz="4" w:space="0"/>
              <w:left w:val="nil"/>
              <w:bottom w:val="single" w:color="auto" w:sz="4" w:space="0"/>
              <w:right w:val="single" w:color="auto" w:sz="4" w:space="0"/>
            </w:tcBorders>
            <w:vAlign w:val="center"/>
          </w:tcPr>
          <w:p w14:paraId="5358E1E0">
            <w:pPr>
              <w:numPr>
                <w:ilvl w:val="0"/>
                <w:numId w:val="3"/>
              </w:num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类似项目指：</w:t>
            </w:r>
            <w:r>
              <w:rPr>
                <w:rFonts w:hint="eastAsia" w:asciiTheme="minorEastAsia" w:hAnsiTheme="minorEastAsia" w:eastAsiaTheme="minorEastAsia" w:cstheme="minorEastAsia"/>
                <w:color w:val="auto"/>
                <w:szCs w:val="21"/>
                <w:highlight w:val="none"/>
              </w:rPr>
              <w:t>环境工程相关项目</w:t>
            </w:r>
            <w:r>
              <w:rPr>
                <w:rFonts w:hint="eastAsia" w:asciiTheme="minorEastAsia" w:hAnsiTheme="minorEastAsia" w:eastAsiaTheme="minorEastAsia" w:cstheme="minorEastAsia"/>
                <w:snapToGrid w:val="0"/>
                <w:color w:val="auto"/>
                <w:kern w:val="0"/>
                <w:szCs w:val="21"/>
                <w:highlight w:val="none"/>
              </w:rPr>
              <w:t>；</w:t>
            </w:r>
          </w:p>
          <w:p w14:paraId="13DE3256">
            <w:pPr>
              <w:numPr>
                <w:ilvl w:val="0"/>
                <w:numId w:val="3"/>
              </w:num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需提供相关证明文件扫描件；</w:t>
            </w:r>
          </w:p>
          <w:p w14:paraId="4E3DBD32">
            <w:pPr>
              <w:numPr>
                <w:ilvl w:val="0"/>
                <w:numId w:val="3"/>
              </w:num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有以下情形之一的，视为无类似奖项：</w:t>
            </w:r>
          </w:p>
          <w:p w14:paraId="31900A98">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①未提供相关奖项扫描件；</w:t>
            </w:r>
          </w:p>
          <w:p w14:paraId="7DF3447A">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②奖项不属于类似项目的；</w:t>
            </w:r>
          </w:p>
          <w:p w14:paraId="789705A9">
            <w:pPr>
              <w:wordWrap w:val="0"/>
              <w:adjustRightInd w:val="0"/>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③奖项时间不符合要求的。</w:t>
            </w:r>
          </w:p>
        </w:tc>
      </w:tr>
      <w:tr w14:paraId="38154AE8">
        <w:tblPrEx>
          <w:tblCellMar>
            <w:top w:w="0" w:type="dxa"/>
            <w:left w:w="108" w:type="dxa"/>
            <w:bottom w:w="0" w:type="dxa"/>
            <w:right w:w="108" w:type="dxa"/>
          </w:tblCellMar>
        </w:tblPrEx>
        <w:trPr>
          <w:trHeight w:val="1975" w:hRule="atLeast"/>
          <w:jc w:val="center"/>
        </w:trPr>
        <w:tc>
          <w:tcPr>
            <w:tcW w:w="683" w:type="dxa"/>
            <w:vMerge w:val="continue"/>
            <w:tcBorders>
              <w:top w:val="nil"/>
              <w:left w:val="single" w:color="auto" w:sz="4" w:space="0"/>
              <w:bottom w:val="nil"/>
              <w:right w:val="single" w:color="auto" w:sz="4" w:space="0"/>
            </w:tcBorders>
            <w:vAlign w:val="center"/>
          </w:tcPr>
          <w:p w14:paraId="105B16B2">
            <w:pPr>
              <w:widowControl/>
              <w:spacing w:line="360" w:lineRule="auto"/>
              <w:jc w:val="left"/>
              <w:rPr>
                <w:rFonts w:hint="eastAsia" w:asciiTheme="minorEastAsia" w:hAnsiTheme="minorEastAsia" w:eastAsiaTheme="minorEastAsia" w:cstheme="minorEastAsia"/>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11825CB8">
            <w:pPr>
              <w:pStyle w:val="6"/>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企业获得体系认证证书</w:t>
            </w:r>
          </w:p>
          <w:p w14:paraId="512BBF35">
            <w:pPr>
              <w:pStyle w:val="6"/>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（4分）</w:t>
            </w:r>
          </w:p>
        </w:tc>
        <w:tc>
          <w:tcPr>
            <w:tcW w:w="4734" w:type="dxa"/>
            <w:tcBorders>
              <w:top w:val="single" w:color="auto" w:sz="4" w:space="0"/>
              <w:left w:val="nil"/>
              <w:bottom w:val="single" w:color="auto" w:sz="4" w:space="0"/>
              <w:right w:val="single" w:color="auto" w:sz="4" w:space="0"/>
            </w:tcBorders>
            <w:vAlign w:val="center"/>
          </w:tcPr>
          <w:p w14:paraId="16532F38">
            <w:pPr>
              <w:widowControl/>
              <w:numPr>
                <w:ilvl w:val="0"/>
                <w:numId w:val="4"/>
              </w:numP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质量管理体系认证证书、职业健康安全管理体系认证证书、环境管理体系认证证书的、信息安全管理体系认证证书，每获得1项认证得1分，最高得4分。</w:t>
            </w:r>
          </w:p>
          <w:p w14:paraId="10473E74">
            <w:pPr>
              <w:widowControl/>
              <w:numPr>
                <w:ilvl w:val="0"/>
                <w:numId w:val="4"/>
              </w:numP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未获得以上任何认证的，不予计分。</w:t>
            </w:r>
          </w:p>
        </w:tc>
        <w:tc>
          <w:tcPr>
            <w:tcW w:w="4132" w:type="dxa"/>
            <w:tcBorders>
              <w:top w:val="single" w:color="auto" w:sz="4" w:space="0"/>
              <w:left w:val="nil"/>
              <w:bottom w:val="single" w:color="auto" w:sz="4" w:space="0"/>
              <w:right w:val="single" w:color="auto" w:sz="4" w:space="0"/>
            </w:tcBorders>
            <w:vAlign w:val="center"/>
          </w:tcPr>
          <w:p w14:paraId="1110951D">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1．需附在有效期内的认证证书彩色扫描件。2．任一认证证书有以下情形之一的，该认证证书视为无效，不予计分： </w:t>
            </w:r>
          </w:p>
          <w:p w14:paraId="443536D4">
            <w:pPr>
              <w:wordWrap w:val="0"/>
              <w:adjustRightInd w:val="0"/>
              <w:spacing w:line="288"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①认证证书不在有效期内的。</w:t>
            </w:r>
          </w:p>
          <w:p w14:paraId="48852CD2">
            <w:pPr>
              <w:wordWrap w:val="0"/>
              <w:adjustRightInd w:val="0"/>
              <w:spacing w:line="288" w:lineRule="auto"/>
              <w:rPr>
                <w:rFonts w:hint="eastAsia" w:asciiTheme="minorEastAsia" w:hAnsiTheme="minorEastAsia" w:eastAsiaTheme="minorEastAsia" w:cstheme="minorEastAsia"/>
                <w:color w:val="auto"/>
                <w:szCs w:val="21"/>
                <w:highlight w:val="none"/>
              </w:rPr>
            </w:pPr>
          </w:p>
        </w:tc>
      </w:tr>
      <w:tr w14:paraId="2F808AFF">
        <w:tblPrEx>
          <w:tblCellMar>
            <w:top w:w="0" w:type="dxa"/>
            <w:left w:w="108" w:type="dxa"/>
            <w:bottom w:w="0" w:type="dxa"/>
            <w:right w:w="108" w:type="dxa"/>
          </w:tblCellMar>
        </w:tblPrEx>
        <w:trPr>
          <w:jc w:val="center"/>
        </w:trPr>
        <w:tc>
          <w:tcPr>
            <w:tcW w:w="683" w:type="dxa"/>
            <w:vMerge w:val="continue"/>
            <w:tcBorders>
              <w:top w:val="nil"/>
              <w:left w:val="single" w:color="auto" w:sz="4" w:space="0"/>
              <w:bottom w:val="nil"/>
              <w:right w:val="single" w:color="auto" w:sz="4" w:space="0"/>
            </w:tcBorders>
            <w:vAlign w:val="center"/>
          </w:tcPr>
          <w:p w14:paraId="23E77F39">
            <w:pPr>
              <w:widowControl/>
              <w:spacing w:line="360" w:lineRule="auto"/>
              <w:jc w:val="left"/>
              <w:rPr>
                <w:rFonts w:hint="eastAsia" w:asciiTheme="minorEastAsia" w:hAnsiTheme="minorEastAsia" w:eastAsiaTheme="minorEastAsia" w:cstheme="minorEastAsia"/>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0308787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行业诚信单位（4分）</w:t>
            </w:r>
          </w:p>
        </w:tc>
        <w:tc>
          <w:tcPr>
            <w:tcW w:w="4734" w:type="dxa"/>
            <w:tcBorders>
              <w:top w:val="single" w:color="auto" w:sz="4" w:space="0"/>
              <w:left w:val="nil"/>
              <w:bottom w:val="single" w:color="auto" w:sz="4" w:space="0"/>
              <w:right w:val="single" w:color="auto" w:sz="4" w:space="0"/>
            </w:tcBorders>
            <w:vAlign w:val="center"/>
          </w:tcPr>
          <w:p w14:paraId="7703118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投标人获得“全国建筑设计行业诚信单位”或“全国工程勘察与岩土行业诚信单位”证书，并在有效期内的，得4分。</w:t>
            </w:r>
          </w:p>
          <w:p w14:paraId="4BC431C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本项最高得4分。</w:t>
            </w:r>
          </w:p>
        </w:tc>
        <w:tc>
          <w:tcPr>
            <w:tcW w:w="4132" w:type="dxa"/>
            <w:tcBorders>
              <w:top w:val="single" w:color="auto" w:sz="4" w:space="0"/>
              <w:left w:val="nil"/>
              <w:bottom w:val="single" w:color="auto" w:sz="4" w:space="0"/>
              <w:right w:val="single" w:color="auto" w:sz="4" w:space="0"/>
            </w:tcBorders>
            <w:vAlign w:val="center"/>
          </w:tcPr>
          <w:p w14:paraId="40B65FA8">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需提供相关证明文件扫描件，并证明在有效内。</w:t>
            </w:r>
          </w:p>
        </w:tc>
      </w:tr>
      <w:tr w14:paraId="7D714134">
        <w:tblPrEx>
          <w:tblCellMar>
            <w:top w:w="0" w:type="dxa"/>
            <w:left w:w="108" w:type="dxa"/>
            <w:bottom w:w="0" w:type="dxa"/>
            <w:right w:w="108" w:type="dxa"/>
          </w:tblCellMar>
        </w:tblPrEx>
        <w:trPr>
          <w:jc w:val="center"/>
        </w:trPr>
        <w:tc>
          <w:tcPr>
            <w:tcW w:w="683" w:type="dxa"/>
            <w:vMerge w:val="continue"/>
            <w:tcBorders>
              <w:top w:val="nil"/>
              <w:left w:val="single" w:color="auto" w:sz="4" w:space="0"/>
              <w:bottom w:val="nil"/>
              <w:right w:val="single" w:color="auto" w:sz="4" w:space="0"/>
            </w:tcBorders>
            <w:vAlign w:val="center"/>
          </w:tcPr>
          <w:p w14:paraId="71611FBE">
            <w:pPr>
              <w:widowControl/>
              <w:spacing w:line="360" w:lineRule="auto"/>
              <w:jc w:val="left"/>
              <w:rPr>
                <w:rFonts w:hint="eastAsia" w:asciiTheme="minorEastAsia" w:hAnsiTheme="minorEastAsia" w:eastAsiaTheme="minorEastAsia" w:cstheme="minorEastAsia"/>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360BA45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先进工程勘察设计企业</w:t>
            </w:r>
          </w:p>
          <w:p w14:paraId="77ABD7F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（4分）</w:t>
            </w:r>
          </w:p>
        </w:tc>
        <w:tc>
          <w:tcPr>
            <w:tcW w:w="4734" w:type="dxa"/>
            <w:tcBorders>
              <w:top w:val="single" w:color="auto" w:sz="4" w:space="0"/>
              <w:left w:val="nil"/>
              <w:bottom w:val="single" w:color="auto" w:sz="4" w:space="0"/>
              <w:right w:val="single" w:color="auto" w:sz="4" w:space="0"/>
            </w:tcBorders>
            <w:vAlign w:val="center"/>
          </w:tcPr>
          <w:p w14:paraId="168A354B">
            <w:pPr>
              <w:numPr>
                <w:ilvl w:val="0"/>
                <w:numId w:val="5"/>
              </w:num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投标人荣获过：</w:t>
            </w:r>
          </w:p>
          <w:p w14:paraId="4F2B483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①住房城乡建设部颁发的“全国先进工程勘察设计企业”的，得4分，</w:t>
            </w:r>
          </w:p>
          <w:p w14:paraId="4A7DB11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②省住房城乡建设厅颁发的“省级先进工程勘察设计企业”的，得2分</w:t>
            </w:r>
          </w:p>
          <w:p w14:paraId="52FF435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③市级住房城乡建设局颁发的“市级先进工程勘察设计企业”的，得1分。</w:t>
            </w:r>
          </w:p>
          <w:p w14:paraId="25C6B90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本项最高得4分。</w:t>
            </w:r>
          </w:p>
        </w:tc>
        <w:tc>
          <w:tcPr>
            <w:tcW w:w="4132" w:type="dxa"/>
            <w:tcBorders>
              <w:top w:val="single" w:color="auto" w:sz="4" w:space="0"/>
              <w:left w:val="nil"/>
              <w:bottom w:val="single" w:color="auto" w:sz="4" w:space="0"/>
              <w:right w:val="single" w:color="auto" w:sz="4" w:space="0"/>
            </w:tcBorders>
            <w:vAlign w:val="center"/>
          </w:tcPr>
          <w:p w14:paraId="53B5B86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需提供相关证明文件扫描件。</w:t>
            </w:r>
          </w:p>
        </w:tc>
      </w:tr>
      <w:tr w14:paraId="023389C5">
        <w:tblPrEx>
          <w:tblCellMar>
            <w:top w:w="0" w:type="dxa"/>
            <w:left w:w="108" w:type="dxa"/>
            <w:bottom w:w="0" w:type="dxa"/>
            <w:right w:w="108" w:type="dxa"/>
          </w:tblCellMar>
        </w:tblPrEx>
        <w:trPr>
          <w:jc w:val="center"/>
        </w:trPr>
        <w:tc>
          <w:tcPr>
            <w:tcW w:w="683" w:type="dxa"/>
            <w:vMerge w:val="continue"/>
            <w:tcBorders>
              <w:top w:val="nil"/>
              <w:left w:val="single" w:color="auto" w:sz="4" w:space="0"/>
              <w:bottom w:val="nil"/>
              <w:right w:val="single" w:color="auto" w:sz="4" w:space="0"/>
            </w:tcBorders>
            <w:vAlign w:val="center"/>
          </w:tcPr>
          <w:p w14:paraId="7CDF61A5">
            <w:pPr>
              <w:widowControl/>
              <w:spacing w:line="360" w:lineRule="auto"/>
              <w:jc w:val="left"/>
              <w:rPr>
                <w:rFonts w:hint="eastAsia" w:asciiTheme="minorEastAsia" w:hAnsiTheme="minorEastAsia" w:eastAsiaTheme="minorEastAsia" w:cstheme="minorEastAsia"/>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20B1FD97">
            <w:pPr>
              <w:pStyle w:val="6"/>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本项目设计人员综合素质（10分）</w:t>
            </w:r>
          </w:p>
        </w:tc>
        <w:tc>
          <w:tcPr>
            <w:tcW w:w="4734" w:type="dxa"/>
            <w:tcBorders>
              <w:top w:val="single" w:color="auto" w:sz="4" w:space="0"/>
              <w:left w:val="nil"/>
              <w:bottom w:val="single" w:color="auto" w:sz="4" w:space="0"/>
              <w:right w:val="single" w:color="auto" w:sz="4" w:space="0"/>
            </w:tcBorders>
            <w:vAlign w:val="center"/>
          </w:tcPr>
          <w:p w14:paraId="675A4D1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1.给排水专业负责人：同时具有注册公用设备工程师(给水排水)证书及给排水设计类专业高级工程师（或以上）职称，得2分；仅具备其中一项的得1分；</w:t>
            </w:r>
          </w:p>
          <w:p w14:paraId="0E4B5C6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2.结构专业负责人：同时具有一级注册结构工程师证书及结构设计类专业高级工程师（或以上）职称，得2分；仅具备其中一项的得1分；</w:t>
            </w:r>
          </w:p>
          <w:p w14:paraId="7C2452A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3.造价专业负责人：同时具有一级注册造价工程师证书、注册咨询工程师（投资）及工程造价专业高级工程师（或以上）职称，得2分；仅具备其中一项的得0.5分、两项的得1分；</w:t>
            </w:r>
          </w:p>
          <w:p w14:paraId="1883A0D8">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4.工艺专业负责人：同时具有注册环保工程师证书及环境工程与生态类高级工程师（或以上）职称，得2分；仅具备其一项的得1分。</w:t>
            </w:r>
          </w:p>
          <w:p w14:paraId="0CBE3FB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5.建筑专业负责人：同时具有一级注册建筑师证书及建筑类专业高级工程师</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或以上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职称，得2分；仅具备其中一项的得1分；</w:t>
            </w:r>
          </w:p>
        </w:tc>
        <w:tc>
          <w:tcPr>
            <w:tcW w:w="4132" w:type="dxa"/>
            <w:tcBorders>
              <w:top w:val="single" w:color="auto" w:sz="4" w:space="0"/>
              <w:left w:val="nil"/>
              <w:bottom w:val="single" w:color="auto" w:sz="4" w:space="0"/>
              <w:right w:val="single" w:color="auto" w:sz="4" w:space="0"/>
            </w:tcBorders>
            <w:vAlign w:val="center"/>
          </w:tcPr>
          <w:p w14:paraId="799FCAC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需提供以上拟派人员的相关证书扫描件。</w:t>
            </w:r>
          </w:p>
        </w:tc>
      </w:tr>
      <w:tr w14:paraId="38911F0A">
        <w:tblPrEx>
          <w:tblCellMar>
            <w:top w:w="0" w:type="dxa"/>
            <w:left w:w="108" w:type="dxa"/>
            <w:bottom w:w="0" w:type="dxa"/>
            <w:right w:w="108" w:type="dxa"/>
          </w:tblCellMar>
        </w:tblPrEx>
        <w:trPr>
          <w:trHeight w:val="335" w:hRule="atLeast"/>
          <w:jc w:val="center"/>
        </w:trPr>
        <w:tc>
          <w:tcPr>
            <w:tcW w:w="1061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0E38EAB7">
            <w:pPr>
              <w:pStyle w:val="6"/>
              <w:wordWrap w:val="0"/>
              <w:autoSpaceDE w:val="0"/>
              <w:adjustRightInd w:val="0"/>
              <w:snapToGrid w:val="0"/>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技术部分</w:t>
            </w:r>
            <w:r>
              <w:rPr>
                <w:rFonts w:hint="eastAsia" w:asciiTheme="minorEastAsia" w:hAnsiTheme="minorEastAsia" w:eastAsiaTheme="minorEastAsia" w:cstheme="minorEastAsia"/>
                <w:snapToGrid w:val="0"/>
                <w:color w:val="auto"/>
                <w:kern w:val="0"/>
                <w:szCs w:val="21"/>
                <w:highlight w:val="none"/>
              </w:rPr>
              <w:t>M</w:t>
            </w:r>
            <w:r>
              <w:rPr>
                <w:rFonts w:hint="eastAsia" w:asciiTheme="minorEastAsia" w:hAnsiTheme="minorEastAsia" w:eastAsiaTheme="minorEastAsia" w:cstheme="minorEastAsia"/>
                <w:snapToGrid w:val="0"/>
                <w:color w:val="auto"/>
                <w:kern w:val="0"/>
                <w:szCs w:val="21"/>
                <w:highlight w:val="none"/>
                <w:vertAlign w:val="subscript"/>
              </w:rPr>
              <w:t>2</w:t>
            </w:r>
            <w:r>
              <w:rPr>
                <w:rFonts w:hint="eastAsia" w:asciiTheme="minorEastAsia" w:hAnsiTheme="minorEastAsia" w:eastAsiaTheme="minorEastAsia" w:cstheme="minorEastAsia"/>
                <w:color w:val="auto"/>
                <w:kern w:val="0"/>
                <w:szCs w:val="21"/>
                <w:highlight w:val="none"/>
              </w:rPr>
              <w:t>，满分：30分。</w:t>
            </w:r>
          </w:p>
        </w:tc>
      </w:tr>
      <w:tr w14:paraId="0A4A11EA">
        <w:tblPrEx>
          <w:tblCellMar>
            <w:top w:w="0" w:type="dxa"/>
            <w:left w:w="108" w:type="dxa"/>
            <w:bottom w:w="0" w:type="dxa"/>
            <w:right w:w="108" w:type="dxa"/>
          </w:tblCellMar>
        </w:tblPrEx>
        <w:trPr>
          <w:trHeight w:val="624"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326081B9">
            <w:pPr>
              <w:pStyle w:val="6"/>
              <w:wordWrap w:val="0"/>
              <w:autoSpaceDE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评分因素</w:t>
            </w:r>
          </w:p>
        </w:tc>
        <w:tc>
          <w:tcPr>
            <w:tcW w:w="8866" w:type="dxa"/>
            <w:gridSpan w:val="2"/>
            <w:tcBorders>
              <w:top w:val="single" w:color="auto" w:sz="4" w:space="0"/>
              <w:left w:val="nil"/>
              <w:bottom w:val="single" w:color="auto" w:sz="4" w:space="0"/>
              <w:right w:val="single" w:color="auto" w:sz="4" w:space="0"/>
            </w:tcBorders>
            <w:vAlign w:val="center"/>
          </w:tcPr>
          <w:p w14:paraId="3B5D6DCC">
            <w:pPr>
              <w:pStyle w:val="6"/>
              <w:wordWrap w:val="0"/>
              <w:autoSpaceDE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评分标准</w:t>
            </w:r>
          </w:p>
        </w:tc>
      </w:tr>
      <w:tr w14:paraId="77073445">
        <w:tblPrEx>
          <w:tblCellMar>
            <w:top w:w="0" w:type="dxa"/>
            <w:left w:w="108" w:type="dxa"/>
            <w:bottom w:w="0" w:type="dxa"/>
            <w:right w:w="108" w:type="dxa"/>
          </w:tblCellMar>
        </w:tblPrEx>
        <w:trPr>
          <w:trHeight w:val="624"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569DF993">
            <w:pPr>
              <w:pStyle w:val="6"/>
              <w:wordWrap w:val="0"/>
              <w:autoSpaceDE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对项目的概况的了解（8分）</w:t>
            </w:r>
          </w:p>
        </w:tc>
        <w:tc>
          <w:tcPr>
            <w:tcW w:w="8866" w:type="dxa"/>
            <w:gridSpan w:val="2"/>
            <w:tcBorders>
              <w:top w:val="single" w:color="auto" w:sz="4" w:space="0"/>
              <w:left w:val="nil"/>
              <w:bottom w:val="single" w:color="auto" w:sz="4" w:space="0"/>
              <w:right w:val="single" w:color="auto" w:sz="4" w:space="0"/>
            </w:tcBorders>
            <w:vAlign w:val="center"/>
          </w:tcPr>
          <w:p w14:paraId="057C65C1">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对本次招标项目的概况、规模等描述详尽、透彻的。</w:t>
            </w:r>
          </w:p>
          <w:p w14:paraId="10585F6E">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有此项描述得基本分5分。</w:t>
            </w:r>
          </w:p>
          <w:p w14:paraId="2951A8EC">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【优】得该细项分的7—8分；</w:t>
            </w:r>
          </w:p>
          <w:p w14:paraId="3CCA34C9">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【中】得该细项分的6—7分；</w:t>
            </w:r>
          </w:p>
          <w:p w14:paraId="3457CEB3">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【合格】得该细项分的5—6分；</w:t>
            </w:r>
          </w:p>
          <w:p w14:paraId="27A16E0A">
            <w:pPr>
              <w:pStyle w:val="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不提供材料或无该项描述的得0分。</w:t>
            </w:r>
          </w:p>
        </w:tc>
      </w:tr>
      <w:tr w14:paraId="231633D1">
        <w:tblPrEx>
          <w:tblCellMar>
            <w:top w:w="0" w:type="dxa"/>
            <w:left w:w="108" w:type="dxa"/>
            <w:bottom w:w="0" w:type="dxa"/>
            <w:right w:w="108" w:type="dxa"/>
          </w:tblCellMar>
        </w:tblPrEx>
        <w:trPr>
          <w:trHeight w:val="624"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6A6D3592">
            <w:pPr>
              <w:spacing w:line="400" w:lineRule="exact"/>
              <w:jc w:val="center"/>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设计方案思路</w:t>
            </w:r>
          </w:p>
          <w:p w14:paraId="7AAD21A4">
            <w:pPr>
              <w:pStyle w:val="6"/>
              <w:wordWrap w:val="0"/>
              <w:autoSpaceDE w:val="0"/>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
                <w:szCs w:val="21"/>
                <w:highlight w:val="none"/>
              </w:rPr>
              <w:t>（8分）</w:t>
            </w:r>
          </w:p>
        </w:tc>
        <w:tc>
          <w:tcPr>
            <w:tcW w:w="8866" w:type="dxa"/>
            <w:gridSpan w:val="2"/>
            <w:tcBorders>
              <w:top w:val="single" w:color="auto" w:sz="4" w:space="0"/>
              <w:left w:val="nil"/>
              <w:bottom w:val="single" w:color="auto" w:sz="4" w:space="0"/>
              <w:right w:val="single" w:color="auto" w:sz="4" w:space="0"/>
            </w:tcBorders>
            <w:vAlign w:val="center"/>
          </w:tcPr>
          <w:p w14:paraId="5EF0773A">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方案能对项目设计所涉及的相关方面问题提出合理设计思路、经济性及分析详细的。</w:t>
            </w:r>
          </w:p>
          <w:p w14:paraId="4A1AE694">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有此项描述得基本分5分。</w:t>
            </w:r>
          </w:p>
          <w:p w14:paraId="050C94EF">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【优】得该细项分的7—8分；</w:t>
            </w:r>
          </w:p>
          <w:p w14:paraId="4EBA4E25">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【中】得该细项分的6—7分；</w:t>
            </w:r>
          </w:p>
          <w:p w14:paraId="5C54B98E">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【合格】得该细项分的5—6分；</w:t>
            </w:r>
          </w:p>
          <w:p w14:paraId="4D67D2FE">
            <w:pPr>
              <w:pStyle w:val="6"/>
              <w:wordWrap w:val="0"/>
              <w:autoSpaceDE w:val="0"/>
              <w:adjustRightInd w:val="0"/>
              <w:snapToGrid w:val="0"/>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不提供材料或无该项描述的得0分。</w:t>
            </w:r>
          </w:p>
        </w:tc>
      </w:tr>
      <w:tr w14:paraId="301853C8">
        <w:tblPrEx>
          <w:tblCellMar>
            <w:top w:w="0" w:type="dxa"/>
            <w:left w:w="108" w:type="dxa"/>
            <w:bottom w:w="0" w:type="dxa"/>
            <w:right w:w="108" w:type="dxa"/>
          </w:tblCellMar>
        </w:tblPrEx>
        <w:trPr>
          <w:trHeight w:val="624"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5CE8EBA">
            <w:pPr>
              <w:wordWrap w:val="0"/>
              <w:adjustRightInd w:val="0"/>
              <w:snapToGrid w:val="0"/>
              <w:spacing w:line="400" w:lineRule="exact"/>
              <w:jc w:val="center"/>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设计进度计划安排及保证措施</w:t>
            </w:r>
          </w:p>
          <w:p w14:paraId="00463916">
            <w:pPr>
              <w:pStyle w:val="6"/>
              <w:wordWrap w:val="0"/>
              <w:autoSpaceDE w:val="0"/>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
                <w:szCs w:val="21"/>
                <w:highlight w:val="none"/>
              </w:rPr>
              <w:t>（7分</w:t>
            </w:r>
            <w:r>
              <w:rPr>
                <w:rFonts w:hint="eastAsia" w:asciiTheme="minorEastAsia" w:hAnsiTheme="minorEastAsia" w:eastAsiaTheme="minorEastAsia" w:cstheme="minorEastAsia"/>
                <w:color w:val="auto"/>
                <w:szCs w:val="21"/>
                <w:highlight w:val="none"/>
              </w:rPr>
              <w:t>）</w:t>
            </w:r>
          </w:p>
        </w:tc>
        <w:tc>
          <w:tcPr>
            <w:tcW w:w="8866" w:type="dxa"/>
            <w:gridSpan w:val="2"/>
            <w:tcBorders>
              <w:top w:val="single" w:color="auto" w:sz="4" w:space="0"/>
              <w:left w:val="nil"/>
              <w:bottom w:val="single" w:color="auto" w:sz="4" w:space="0"/>
              <w:right w:val="single" w:color="auto" w:sz="4" w:space="0"/>
            </w:tcBorders>
            <w:vAlign w:val="center"/>
          </w:tcPr>
          <w:p w14:paraId="2108A75C">
            <w:pPr>
              <w:spacing w:line="400" w:lineRule="exact"/>
              <w:jc w:val="left"/>
              <w:rPr>
                <w:rFonts w:hint="eastAsia" w:asciiTheme="minorEastAsia" w:hAnsiTheme="minorEastAsia" w:eastAsiaTheme="minorEastAsia" w:cstheme="minorEastAsia"/>
                <w:color w:val="auto"/>
                <w:spacing w:val="-2"/>
                <w:szCs w:val="21"/>
                <w:highlight w:val="none"/>
                <w:lang w:val="zh-CN"/>
              </w:rPr>
            </w:pPr>
            <w:r>
              <w:rPr>
                <w:rFonts w:hint="eastAsia" w:asciiTheme="minorEastAsia" w:hAnsiTheme="minorEastAsia" w:eastAsiaTheme="minorEastAsia" w:cstheme="minorEastAsia"/>
                <w:color w:val="auto"/>
                <w:spacing w:val="-2"/>
                <w:szCs w:val="21"/>
                <w:highlight w:val="none"/>
              </w:rPr>
              <w:t>设计进度、</w:t>
            </w:r>
            <w:r>
              <w:rPr>
                <w:rFonts w:hint="eastAsia" w:asciiTheme="minorEastAsia" w:hAnsiTheme="minorEastAsia" w:eastAsiaTheme="minorEastAsia" w:cstheme="minorEastAsia"/>
                <w:color w:val="auto"/>
                <w:spacing w:val="-2"/>
                <w:szCs w:val="21"/>
                <w:highlight w:val="none"/>
                <w:lang w:val="zh-CN"/>
              </w:rPr>
              <w:t>质量保证措施具体、针对性强。</w:t>
            </w:r>
          </w:p>
          <w:p w14:paraId="640927E6">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有此项描述得基本分4分。</w:t>
            </w:r>
          </w:p>
          <w:p w14:paraId="4E4C829D">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【优】得该细项分的6—7分；</w:t>
            </w:r>
          </w:p>
          <w:p w14:paraId="683B95A1">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【中】得该细项分的5—6分；</w:t>
            </w:r>
          </w:p>
          <w:p w14:paraId="50E81E19">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【合格】得该细项分的4—5分；</w:t>
            </w:r>
          </w:p>
          <w:p w14:paraId="73D79266">
            <w:pPr>
              <w:pStyle w:val="6"/>
              <w:wordWrap w:val="0"/>
              <w:autoSpaceDE w:val="0"/>
              <w:adjustRightInd w:val="0"/>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
                <w:szCs w:val="21"/>
                <w:highlight w:val="none"/>
              </w:rPr>
              <w:t>不提供材料或无该项描述的得0分</w:t>
            </w:r>
          </w:p>
        </w:tc>
      </w:tr>
      <w:tr w14:paraId="332D41AF">
        <w:tblPrEx>
          <w:tblCellMar>
            <w:top w:w="0" w:type="dxa"/>
            <w:left w:w="108" w:type="dxa"/>
            <w:bottom w:w="0" w:type="dxa"/>
            <w:right w:w="108" w:type="dxa"/>
          </w:tblCellMar>
        </w:tblPrEx>
        <w:trPr>
          <w:trHeight w:val="624"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3052FBE5">
            <w:pPr>
              <w:spacing w:line="400" w:lineRule="exact"/>
              <w:jc w:val="center"/>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后续服务内容及承诺</w:t>
            </w:r>
          </w:p>
          <w:p w14:paraId="7A964AAB">
            <w:pPr>
              <w:pStyle w:val="6"/>
              <w:wordWrap w:val="0"/>
              <w:autoSpaceDE w:val="0"/>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
                <w:szCs w:val="21"/>
                <w:highlight w:val="none"/>
              </w:rPr>
              <w:t>（7分）</w:t>
            </w:r>
            <w:r>
              <w:rPr>
                <w:rFonts w:hint="eastAsia" w:asciiTheme="minorEastAsia" w:hAnsiTheme="minorEastAsia" w:eastAsiaTheme="minorEastAsia" w:cstheme="minorEastAsia"/>
                <w:color w:val="auto"/>
                <w:szCs w:val="21"/>
                <w:highlight w:val="none"/>
              </w:rPr>
              <w:t>）</w:t>
            </w:r>
          </w:p>
        </w:tc>
        <w:tc>
          <w:tcPr>
            <w:tcW w:w="8866" w:type="dxa"/>
            <w:gridSpan w:val="2"/>
            <w:tcBorders>
              <w:top w:val="single" w:color="auto" w:sz="4" w:space="0"/>
              <w:left w:val="nil"/>
              <w:bottom w:val="single" w:color="auto" w:sz="4" w:space="0"/>
              <w:right w:val="single" w:color="auto" w:sz="4" w:space="0"/>
            </w:tcBorders>
            <w:vAlign w:val="center"/>
          </w:tcPr>
          <w:p w14:paraId="72BB7116">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后续服务安排措施合理、全面、切实可行并提供合理、可靠的承诺。</w:t>
            </w:r>
          </w:p>
          <w:p w14:paraId="1BEE59A6">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有此项描述得基本分4分。</w:t>
            </w:r>
          </w:p>
          <w:p w14:paraId="21F1E423">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【优】得该细项分的6—7分；</w:t>
            </w:r>
          </w:p>
          <w:p w14:paraId="57C9DA58">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【中】得该细项分的5—6分；</w:t>
            </w:r>
          </w:p>
          <w:p w14:paraId="75CA54AE">
            <w:pPr>
              <w:spacing w:line="400" w:lineRule="exact"/>
              <w:jc w:val="left"/>
              <w:rPr>
                <w:rFonts w:hint="eastAsia" w:asciiTheme="minorEastAsia" w:hAnsiTheme="minorEastAsia" w:eastAsiaTheme="minorEastAsia" w:cstheme="minorEastAsia"/>
                <w:color w:val="auto"/>
                <w:spacing w:val="-2"/>
                <w:szCs w:val="21"/>
                <w:highlight w:val="none"/>
              </w:rPr>
            </w:pPr>
            <w:r>
              <w:rPr>
                <w:rFonts w:hint="eastAsia" w:asciiTheme="minorEastAsia" w:hAnsiTheme="minorEastAsia" w:eastAsiaTheme="minorEastAsia" w:cstheme="minorEastAsia"/>
                <w:color w:val="auto"/>
                <w:spacing w:val="-2"/>
                <w:szCs w:val="21"/>
                <w:highlight w:val="none"/>
              </w:rPr>
              <w:t>【合格】得该细项分的4—5分；</w:t>
            </w:r>
          </w:p>
          <w:p w14:paraId="7CB126DF">
            <w:pPr>
              <w:pStyle w:val="6"/>
              <w:wordWrap w:val="0"/>
              <w:autoSpaceDE w:val="0"/>
              <w:adjustRightInd w:val="0"/>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
                <w:szCs w:val="21"/>
                <w:highlight w:val="none"/>
              </w:rPr>
              <w:t>不提供材料或无该项描述的得0分</w:t>
            </w:r>
          </w:p>
        </w:tc>
      </w:tr>
      <w:tr w14:paraId="57B1D1B4">
        <w:tblPrEx>
          <w:tblCellMar>
            <w:top w:w="0" w:type="dxa"/>
            <w:left w:w="108" w:type="dxa"/>
            <w:bottom w:w="0" w:type="dxa"/>
            <w:right w:w="108" w:type="dxa"/>
          </w:tblCellMar>
        </w:tblPrEx>
        <w:trPr>
          <w:trHeight w:val="624" w:hRule="atLeast"/>
          <w:jc w:val="center"/>
        </w:trPr>
        <w:tc>
          <w:tcPr>
            <w:tcW w:w="1061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6A3D9609">
            <w:pPr>
              <w:pStyle w:val="43"/>
              <w:wordWrap w:val="0"/>
              <w:autoSpaceDE w:val="0"/>
              <w:adjustRightInd w:val="0"/>
              <w:snapToGrid w:val="0"/>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投标报价部分</w:t>
            </w:r>
            <w:r>
              <w:rPr>
                <w:rFonts w:hint="eastAsia" w:asciiTheme="minorEastAsia" w:hAnsiTheme="minorEastAsia" w:eastAsiaTheme="minorEastAsia" w:cstheme="minorEastAsia"/>
                <w:snapToGrid w:val="0"/>
                <w:color w:val="auto"/>
                <w:kern w:val="0"/>
                <w:szCs w:val="21"/>
                <w:highlight w:val="none"/>
              </w:rPr>
              <w:t>M</w:t>
            </w:r>
            <w:r>
              <w:rPr>
                <w:rFonts w:hint="eastAsia" w:asciiTheme="minorEastAsia" w:hAnsiTheme="minorEastAsia" w:eastAsiaTheme="minorEastAsia" w:cstheme="minorEastAsia"/>
                <w:snapToGrid w:val="0"/>
                <w:color w:val="auto"/>
                <w:kern w:val="0"/>
                <w:szCs w:val="21"/>
                <w:highlight w:val="none"/>
                <w:vertAlign w:val="subscript"/>
              </w:rPr>
              <w:t>3</w:t>
            </w:r>
            <w:r>
              <w:rPr>
                <w:rFonts w:hint="eastAsia" w:asciiTheme="minorEastAsia" w:hAnsiTheme="minorEastAsia" w:eastAsiaTheme="minorEastAsia" w:cstheme="minorEastAsia"/>
                <w:color w:val="auto"/>
                <w:kern w:val="0"/>
                <w:szCs w:val="21"/>
                <w:highlight w:val="none"/>
              </w:rPr>
              <w:t>，满分：20分。</w:t>
            </w:r>
          </w:p>
        </w:tc>
      </w:tr>
      <w:tr w14:paraId="43C3D95A">
        <w:tblPrEx>
          <w:tblCellMar>
            <w:top w:w="0" w:type="dxa"/>
            <w:left w:w="108" w:type="dxa"/>
            <w:bottom w:w="0" w:type="dxa"/>
            <w:right w:w="108" w:type="dxa"/>
          </w:tblCellMar>
        </w:tblPrEx>
        <w:trPr>
          <w:trHeight w:val="498"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5BC6B896">
            <w:pPr>
              <w:pStyle w:val="6"/>
              <w:wordWrap w:val="0"/>
              <w:autoSpaceDE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评分事项</w:t>
            </w:r>
          </w:p>
        </w:tc>
        <w:tc>
          <w:tcPr>
            <w:tcW w:w="8866" w:type="dxa"/>
            <w:gridSpan w:val="2"/>
            <w:tcBorders>
              <w:top w:val="single" w:color="auto" w:sz="4" w:space="0"/>
              <w:left w:val="nil"/>
              <w:bottom w:val="single" w:color="auto" w:sz="4" w:space="0"/>
              <w:right w:val="single" w:color="auto" w:sz="4" w:space="0"/>
            </w:tcBorders>
            <w:vAlign w:val="center"/>
          </w:tcPr>
          <w:p w14:paraId="71A4364B">
            <w:pPr>
              <w:pStyle w:val="6"/>
              <w:wordWrap w:val="0"/>
              <w:autoSpaceDE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评分方法</w:t>
            </w:r>
          </w:p>
        </w:tc>
      </w:tr>
      <w:tr w14:paraId="7E6F5E55">
        <w:tblPrEx>
          <w:tblCellMar>
            <w:top w:w="0" w:type="dxa"/>
            <w:left w:w="108" w:type="dxa"/>
            <w:bottom w:w="0" w:type="dxa"/>
            <w:right w:w="108" w:type="dxa"/>
          </w:tblCellMar>
        </w:tblPrEx>
        <w:trPr>
          <w:trHeight w:val="632"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4B762025">
            <w:pPr>
              <w:pStyle w:val="30"/>
              <w:wordWrap w:val="0"/>
              <w:adjustRightInd w:val="0"/>
              <w:snapToGrid w:val="0"/>
              <w:spacing w:line="360" w:lineRule="auto"/>
              <w:ind w:left="525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评标基准价D</w:t>
            </w:r>
          </w:p>
        </w:tc>
        <w:tc>
          <w:tcPr>
            <w:tcW w:w="8866" w:type="dxa"/>
            <w:gridSpan w:val="2"/>
            <w:tcBorders>
              <w:top w:val="single" w:color="auto" w:sz="4" w:space="0"/>
              <w:left w:val="nil"/>
              <w:bottom w:val="single" w:color="auto" w:sz="4" w:space="0"/>
              <w:right w:val="single" w:color="auto" w:sz="4" w:space="0"/>
            </w:tcBorders>
            <w:vAlign w:val="center"/>
          </w:tcPr>
          <w:p w14:paraId="0DBC0C1A">
            <w:pPr>
              <w:numPr>
                <w:ilvl w:val="0"/>
                <w:numId w:val="6"/>
              </w:num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确定最高投标限价下浮系数n：用1～21号球分别代表一个下浮系数，由评委代表从这21个号码中随机抽取</w:t>
            </w:r>
            <w:r>
              <w:rPr>
                <w:rFonts w:hint="eastAsia" w:asciiTheme="minorEastAsia" w:hAnsiTheme="minorEastAsia" w:eastAsiaTheme="minorEastAsia" w:cstheme="minorEastAsia"/>
                <w:snapToGrid w:val="0"/>
                <w:color w:val="auto"/>
                <w:kern w:val="0"/>
                <w:szCs w:val="21"/>
                <w:highlight w:val="none"/>
                <w:u w:val="single"/>
              </w:rPr>
              <w:t xml:space="preserve"> 3 </w:t>
            </w:r>
            <w:r>
              <w:rPr>
                <w:rFonts w:hint="eastAsia" w:asciiTheme="minorEastAsia" w:hAnsiTheme="minorEastAsia" w:eastAsiaTheme="minorEastAsia" w:cstheme="minorEastAsia"/>
                <w:snapToGrid w:val="0"/>
                <w:color w:val="auto"/>
                <w:kern w:val="0"/>
                <w:szCs w:val="21"/>
                <w:highlight w:val="none"/>
              </w:rPr>
              <w:t>次，每次抽取1个号码，抽出的号球不参与下次抽取。所抽取的3个号码对应下浮系数的算术平均值作为最高投标限价下浮系数n。具体号码对应的下浮系数可参考下表。</w:t>
            </w:r>
          </w:p>
          <w:tbl>
            <w:tblPr>
              <w:tblStyle w:val="15"/>
              <w:tblW w:w="8595" w:type="dxa"/>
              <w:tblInd w:w="113" w:type="dxa"/>
              <w:tblLayout w:type="fixed"/>
              <w:tblCellMar>
                <w:top w:w="0" w:type="dxa"/>
                <w:left w:w="108" w:type="dxa"/>
                <w:bottom w:w="0" w:type="dxa"/>
                <w:right w:w="108" w:type="dxa"/>
              </w:tblCellMar>
            </w:tblPr>
            <w:tblGrid>
              <w:gridCol w:w="1718"/>
              <w:gridCol w:w="931"/>
              <w:gridCol w:w="973"/>
              <w:gridCol w:w="1013"/>
              <w:gridCol w:w="994"/>
              <w:gridCol w:w="1034"/>
              <w:gridCol w:w="972"/>
              <w:gridCol w:w="960"/>
            </w:tblGrid>
            <w:tr w14:paraId="4FEB945F">
              <w:tblPrEx>
                <w:tblCellMar>
                  <w:top w:w="0" w:type="dxa"/>
                  <w:left w:w="108" w:type="dxa"/>
                  <w:bottom w:w="0" w:type="dxa"/>
                  <w:right w:w="108" w:type="dxa"/>
                </w:tblCellMar>
              </w:tblPrEx>
              <w:trPr>
                <w:trHeight w:val="408" w:hRule="atLeast"/>
              </w:trPr>
              <w:tc>
                <w:tcPr>
                  <w:tcW w:w="1718" w:type="dxa"/>
                  <w:tcBorders>
                    <w:top w:val="single" w:color="000000" w:sz="4" w:space="0"/>
                    <w:left w:val="single" w:color="000000" w:sz="4" w:space="0"/>
                    <w:bottom w:val="single" w:color="000000" w:sz="4" w:space="0"/>
                    <w:right w:val="single" w:color="000000" w:sz="4" w:space="0"/>
                  </w:tcBorders>
                  <w:vAlign w:val="bottom"/>
                </w:tcPr>
                <w:p w14:paraId="02290110">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号球</w:t>
                  </w:r>
                </w:p>
              </w:tc>
              <w:tc>
                <w:tcPr>
                  <w:tcW w:w="931" w:type="dxa"/>
                  <w:tcBorders>
                    <w:top w:val="single" w:color="000000" w:sz="4" w:space="0"/>
                    <w:left w:val="single" w:color="000000" w:sz="4" w:space="0"/>
                    <w:bottom w:val="single" w:color="000000" w:sz="4" w:space="0"/>
                    <w:right w:val="single" w:color="000000" w:sz="4" w:space="0"/>
                  </w:tcBorders>
                  <w:vAlign w:val="bottom"/>
                </w:tcPr>
                <w:p w14:paraId="7A1A7E7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w:t>
                  </w:r>
                </w:p>
              </w:tc>
              <w:tc>
                <w:tcPr>
                  <w:tcW w:w="973" w:type="dxa"/>
                  <w:tcBorders>
                    <w:top w:val="single" w:color="000000" w:sz="4" w:space="0"/>
                    <w:left w:val="single" w:color="000000" w:sz="4" w:space="0"/>
                    <w:bottom w:val="single" w:color="000000" w:sz="4" w:space="0"/>
                    <w:right w:val="single" w:color="000000" w:sz="4" w:space="0"/>
                  </w:tcBorders>
                  <w:vAlign w:val="bottom"/>
                </w:tcPr>
                <w:p w14:paraId="6572187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w:t>
                  </w:r>
                </w:p>
              </w:tc>
              <w:tc>
                <w:tcPr>
                  <w:tcW w:w="1013" w:type="dxa"/>
                  <w:tcBorders>
                    <w:top w:val="single" w:color="000000" w:sz="4" w:space="0"/>
                    <w:left w:val="single" w:color="000000" w:sz="4" w:space="0"/>
                    <w:bottom w:val="single" w:color="000000" w:sz="4" w:space="0"/>
                    <w:right w:val="single" w:color="000000" w:sz="4" w:space="0"/>
                  </w:tcBorders>
                  <w:vAlign w:val="bottom"/>
                </w:tcPr>
                <w:p w14:paraId="65213C0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w:t>
                  </w:r>
                </w:p>
              </w:tc>
              <w:tc>
                <w:tcPr>
                  <w:tcW w:w="994" w:type="dxa"/>
                  <w:tcBorders>
                    <w:top w:val="single" w:color="000000" w:sz="4" w:space="0"/>
                    <w:left w:val="single" w:color="000000" w:sz="4" w:space="0"/>
                    <w:bottom w:val="single" w:color="000000" w:sz="4" w:space="0"/>
                    <w:right w:val="single" w:color="000000" w:sz="4" w:space="0"/>
                  </w:tcBorders>
                  <w:vAlign w:val="bottom"/>
                </w:tcPr>
                <w:p w14:paraId="4709F97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w:t>
                  </w:r>
                </w:p>
              </w:tc>
              <w:tc>
                <w:tcPr>
                  <w:tcW w:w="1034" w:type="dxa"/>
                  <w:tcBorders>
                    <w:top w:val="single" w:color="000000" w:sz="4" w:space="0"/>
                    <w:left w:val="single" w:color="000000" w:sz="4" w:space="0"/>
                    <w:bottom w:val="single" w:color="000000" w:sz="4" w:space="0"/>
                    <w:right w:val="single" w:color="000000" w:sz="4" w:space="0"/>
                  </w:tcBorders>
                  <w:vAlign w:val="bottom"/>
                </w:tcPr>
                <w:p w14:paraId="64B356C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5</w:t>
                  </w:r>
                </w:p>
              </w:tc>
              <w:tc>
                <w:tcPr>
                  <w:tcW w:w="972" w:type="dxa"/>
                  <w:tcBorders>
                    <w:top w:val="single" w:color="000000" w:sz="4" w:space="0"/>
                    <w:left w:val="single" w:color="000000" w:sz="4" w:space="0"/>
                    <w:bottom w:val="single" w:color="000000" w:sz="4" w:space="0"/>
                    <w:right w:val="single" w:color="000000" w:sz="4" w:space="0"/>
                  </w:tcBorders>
                  <w:vAlign w:val="bottom"/>
                </w:tcPr>
                <w:p w14:paraId="4F147A9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6</w:t>
                  </w:r>
                </w:p>
              </w:tc>
              <w:tc>
                <w:tcPr>
                  <w:tcW w:w="960" w:type="dxa"/>
                  <w:tcBorders>
                    <w:top w:val="single" w:color="000000" w:sz="4" w:space="0"/>
                    <w:left w:val="single" w:color="000000" w:sz="4" w:space="0"/>
                    <w:bottom w:val="single" w:color="000000" w:sz="4" w:space="0"/>
                    <w:right w:val="single" w:color="000000" w:sz="4" w:space="0"/>
                  </w:tcBorders>
                  <w:vAlign w:val="bottom"/>
                </w:tcPr>
                <w:p w14:paraId="5FAECC9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7</w:t>
                  </w:r>
                </w:p>
              </w:tc>
            </w:tr>
            <w:tr w14:paraId="5F28D6DA">
              <w:tblPrEx>
                <w:tblCellMar>
                  <w:top w:w="0" w:type="dxa"/>
                  <w:left w:w="108" w:type="dxa"/>
                  <w:bottom w:w="0" w:type="dxa"/>
                  <w:right w:w="108" w:type="dxa"/>
                </w:tblCellMar>
              </w:tblPrEx>
              <w:trPr>
                <w:trHeight w:val="433" w:hRule="atLeast"/>
              </w:trPr>
              <w:tc>
                <w:tcPr>
                  <w:tcW w:w="1718" w:type="dxa"/>
                  <w:tcBorders>
                    <w:top w:val="single" w:color="000000" w:sz="4" w:space="0"/>
                    <w:left w:val="single" w:color="000000" w:sz="4" w:space="0"/>
                    <w:bottom w:val="single" w:color="000000" w:sz="4" w:space="0"/>
                    <w:right w:val="single" w:color="000000" w:sz="4" w:space="0"/>
                  </w:tcBorders>
                  <w:vAlign w:val="bottom"/>
                </w:tcPr>
                <w:p w14:paraId="1BA7E05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下浮系数（%）</w:t>
                  </w:r>
                </w:p>
              </w:tc>
              <w:tc>
                <w:tcPr>
                  <w:tcW w:w="931" w:type="dxa"/>
                  <w:tcBorders>
                    <w:top w:val="single" w:color="000000" w:sz="4" w:space="0"/>
                    <w:left w:val="single" w:color="000000" w:sz="4" w:space="0"/>
                    <w:bottom w:val="single" w:color="000000" w:sz="4" w:space="0"/>
                    <w:right w:val="single" w:color="000000" w:sz="4" w:space="0"/>
                  </w:tcBorders>
                  <w:vAlign w:val="bottom"/>
                </w:tcPr>
                <w:p w14:paraId="12567606">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1.0</w:t>
                  </w:r>
                </w:p>
              </w:tc>
              <w:tc>
                <w:tcPr>
                  <w:tcW w:w="973" w:type="dxa"/>
                  <w:tcBorders>
                    <w:top w:val="single" w:color="000000" w:sz="4" w:space="0"/>
                    <w:left w:val="single" w:color="000000" w:sz="4" w:space="0"/>
                    <w:bottom w:val="single" w:color="000000" w:sz="4" w:space="0"/>
                    <w:right w:val="single" w:color="000000" w:sz="4" w:space="0"/>
                  </w:tcBorders>
                  <w:vAlign w:val="bottom"/>
                </w:tcPr>
                <w:p w14:paraId="19FA86C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1.1</w:t>
                  </w:r>
                </w:p>
              </w:tc>
              <w:tc>
                <w:tcPr>
                  <w:tcW w:w="1013" w:type="dxa"/>
                  <w:tcBorders>
                    <w:top w:val="single" w:color="000000" w:sz="4" w:space="0"/>
                    <w:left w:val="single" w:color="000000" w:sz="4" w:space="0"/>
                    <w:bottom w:val="single" w:color="000000" w:sz="4" w:space="0"/>
                    <w:right w:val="single" w:color="000000" w:sz="4" w:space="0"/>
                  </w:tcBorders>
                  <w:vAlign w:val="bottom"/>
                </w:tcPr>
                <w:p w14:paraId="3B11DF9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1.2</w:t>
                  </w:r>
                </w:p>
              </w:tc>
              <w:tc>
                <w:tcPr>
                  <w:tcW w:w="994" w:type="dxa"/>
                  <w:tcBorders>
                    <w:top w:val="single" w:color="000000" w:sz="4" w:space="0"/>
                    <w:left w:val="single" w:color="000000" w:sz="4" w:space="0"/>
                    <w:bottom w:val="single" w:color="000000" w:sz="4" w:space="0"/>
                    <w:right w:val="single" w:color="000000" w:sz="4" w:space="0"/>
                  </w:tcBorders>
                  <w:vAlign w:val="bottom"/>
                </w:tcPr>
                <w:p w14:paraId="37BB15B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1.3</w:t>
                  </w:r>
                </w:p>
              </w:tc>
              <w:tc>
                <w:tcPr>
                  <w:tcW w:w="1034" w:type="dxa"/>
                  <w:tcBorders>
                    <w:top w:val="single" w:color="000000" w:sz="4" w:space="0"/>
                    <w:left w:val="single" w:color="000000" w:sz="4" w:space="0"/>
                    <w:bottom w:val="single" w:color="000000" w:sz="4" w:space="0"/>
                    <w:right w:val="single" w:color="000000" w:sz="4" w:space="0"/>
                  </w:tcBorders>
                  <w:vAlign w:val="bottom"/>
                </w:tcPr>
                <w:p w14:paraId="1F3C1AD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1.4</w:t>
                  </w:r>
                </w:p>
              </w:tc>
              <w:tc>
                <w:tcPr>
                  <w:tcW w:w="972" w:type="dxa"/>
                  <w:tcBorders>
                    <w:top w:val="single" w:color="000000" w:sz="4" w:space="0"/>
                    <w:left w:val="single" w:color="000000" w:sz="4" w:space="0"/>
                    <w:bottom w:val="single" w:color="000000" w:sz="4" w:space="0"/>
                    <w:right w:val="single" w:color="000000" w:sz="4" w:space="0"/>
                  </w:tcBorders>
                  <w:vAlign w:val="bottom"/>
                </w:tcPr>
                <w:p w14:paraId="5FDE876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1.5</w:t>
                  </w:r>
                </w:p>
              </w:tc>
              <w:tc>
                <w:tcPr>
                  <w:tcW w:w="960" w:type="dxa"/>
                  <w:tcBorders>
                    <w:top w:val="single" w:color="000000" w:sz="4" w:space="0"/>
                    <w:left w:val="single" w:color="000000" w:sz="4" w:space="0"/>
                    <w:bottom w:val="single" w:color="000000" w:sz="4" w:space="0"/>
                    <w:right w:val="single" w:color="000000" w:sz="4" w:space="0"/>
                  </w:tcBorders>
                  <w:vAlign w:val="bottom"/>
                </w:tcPr>
                <w:p w14:paraId="76FCE6A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1.6</w:t>
                  </w:r>
                </w:p>
              </w:tc>
            </w:tr>
            <w:tr w14:paraId="68A0BDB8">
              <w:tblPrEx>
                <w:tblCellMar>
                  <w:top w:w="0" w:type="dxa"/>
                  <w:left w:w="108" w:type="dxa"/>
                  <w:bottom w:w="0" w:type="dxa"/>
                  <w:right w:w="108" w:type="dxa"/>
                </w:tblCellMar>
              </w:tblPrEx>
              <w:trPr>
                <w:trHeight w:val="408" w:hRule="atLeast"/>
              </w:trPr>
              <w:tc>
                <w:tcPr>
                  <w:tcW w:w="1718" w:type="dxa"/>
                  <w:tcBorders>
                    <w:top w:val="single" w:color="000000" w:sz="4" w:space="0"/>
                    <w:left w:val="single" w:color="000000" w:sz="4" w:space="0"/>
                    <w:bottom w:val="single" w:color="000000" w:sz="4" w:space="0"/>
                    <w:right w:val="single" w:color="000000" w:sz="4" w:space="0"/>
                  </w:tcBorders>
                  <w:vAlign w:val="bottom"/>
                </w:tcPr>
                <w:p w14:paraId="3CC748BB">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号球</w:t>
                  </w:r>
                </w:p>
              </w:tc>
              <w:tc>
                <w:tcPr>
                  <w:tcW w:w="931" w:type="dxa"/>
                  <w:tcBorders>
                    <w:top w:val="single" w:color="000000" w:sz="4" w:space="0"/>
                    <w:left w:val="single" w:color="000000" w:sz="4" w:space="0"/>
                    <w:bottom w:val="single" w:color="000000" w:sz="4" w:space="0"/>
                    <w:right w:val="single" w:color="000000" w:sz="4" w:space="0"/>
                  </w:tcBorders>
                  <w:vAlign w:val="bottom"/>
                </w:tcPr>
                <w:p w14:paraId="443DF81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8</w:t>
                  </w:r>
                </w:p>
              </w:tc>
              <w:tc>
                <w:tcPr>
                  <w:tcW w:w="973" w:type="dxa"/>
                  <w:tcBorders>
                    <w:top w:val="single" w:color="000000" w:sz="4" w:space="0"/>
                    <w:left w:val="single" w:color="000000" w:sz="4" w:space="0"/>
                    <w:bottom w:val="single" w:color="000000" w:sz="4" w:space="0"/>
                    <w:right w:val="single" w:color="000000" w:sz="4" w:space="0"/>
                  </w:tcBorders>
                  <w:vAlign w:val="bottom"/>
                </w:tcPr>
                <w:p w14:paraId="186443A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9</w:t>
                  </w:r>
                </w:p>
              </w:tc>
              <w:tc>
                <w:tcPr>
                  <w:tcW w:w="1013" w:type="dxa"/>
                  <w:tcBorders>
                    <w:top w:val="single" w:color="000000" w:sz="4" w:space="0"/>
                    <w:left w:val="single" w:color="000000" w:sz="4" w:space="0"/>
                    <w:bottom w:val="single" w:color="000000" w:sz="4" w:space="0"/>
                    <w:right w:val="single" w:color="000000" w:sz="4" w:space="0"/>
                  </w:tcBorders>
                  <w:vAlign w:val="bottom"/>
                </w:tcPr>
                <w:p w14:paraId="5983622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10</w:t>
                  </w:r>
                </w:p>
              </w:tc>
              <w:tc>
                <w:tcPr>
                  <w:tcW w:w="994" w:type="dxa"/>
                  <w:tcBorders>
                    <w:top w:val="single" w:color="000000" w:sz="4" w:space="0"/>
                    <w:left w:val="single" w:color="000000" w:sz="4" w:space="0"/>
                    <w:bottom w:val="single" w:color="000000" w:sz="4" w:space="0"/>
                    <w:right w:val="single" w:color="000000" w:sz="4" w:space="0"/>
                  </w:tcBorders>
                  <w:vAlign w:val="bottom"/>
                </w:tcPr>
                <w:p w14:paraId="205A981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11</w:t>
                  </w:r>
                </w:p>
              </w:tc>
              <w:tc>
                <w:tcPr>
                  <w:tcW w:w="1034" w:type="dxa"/>
                  <w:tcBorders>
                    <w:top w:val="single" w:color="000000" w:sz="4" w:space="0"/>
                    <w:left w:val="single" w:color="000000" w:sz="4" w:space="0"/>
                    <w:bottom w:val="single" w:color="000000" w:sz="4" w:space="0"/>
                    <w:right w:val="single" w:color="000000" w:sz="4" w:space="0"/>
                  </w:tcBorders>
                  <w:vAlign w:val="bottom"/>
                </w:tcPr>
                <w:p w14:paraId="4E897D3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12</w:t>
                  </w:r>
                </w:p>
              </w:tc>
              <w:tc>
                <w:tcPr>
                  <w:tcW w:w="972" w:type="dxa"/>
                  <w:tcBorders>
                    <w:top w:val="single" w:color="000000" w:sz="4" w:space="0"/>
                    <w:left w:val="single" w:color="000000" w:sz="4" w:space="0"/>
                    <w:bottom w:val="single" w:color="000000" w:sz="4" w:space="0"/>
                    <w:right w:val="single" w:color="000000" w:sz="4" w:space="0"/>
                  </w:tcBorders>
                  <w:vAlign w:val="bottom"/>
                </w:tcPr>
                <w:p w14:paraId="0B95EFDE">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13</w:t>
                  </w:r>
                </w:p>
              </w:tc>
              <w:tc>
                <w:tcPr>
                  <w:tcW w:w="960" w:type="dxa"/>
                  <w:tcBorders>
                    <w:top w:val="single" w:color="000000" w:sz="4" w:space="0"/>
                    <w:left w:val="single" w:color="000000" w:sz="4" w:space="0"/>
                    <w:bottom w:val="single" w:color="000000" w:sz="4" w:space="0"/>
                    <w:right w:val="single" w:color="000000" w:sz="4" w:space="0"/>
                  </w:tcBorders>
                  <w:vAlign w:val="bottom"/>
                </w:tcPr>
                <w:p w14:paraId="121FCA4E">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14</w:t>
                  </w:r>
                </w:p>
              </w:tc>
            </w:tr>
            <w:tr w14:paraId="1CE9BBD5">
              <w:tblPrEx>
                <w:tblCellMar>
                  <w:top w:w="0" w:type="dxa"/>
                  <w:left w:w="108" w:type="dxa"/>
                  <w:bottom w:w="0" w:type="dxa"/>
                  <w:right w:w="108" w:type="dxa"/>
                </w:tblCellMar>
              </w:tblPrEx>
              <w:trPr>
                <w:trHeight w:val="408" w:hRule="atLeast"/>
              </w:trPr>
              <w:tc>
                <w:tcPr>
                  <w:tcW w:w="1718" w:type="dxa"/>
                  <w:tcBorders>
                    <w:top w:val="single" w:color="000000" w:sz="4" w:space="0"/>
                    <w:left w:val="single" w:color="000000" w:sz="4" w:space="0"/>
                    <w:bottom w:val="single" w:color="000000" w:sz="4" w:space="0"/>
                    <w:right w:val="single" w:color="000000" w:sz="4" w:space="0"/>
                  </w:tcBorders>
                  <w:vAlign w:val="bottom"/>
                </w:tcPr>
                <w:p w14:paraId="799B1C33">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下浮系数（%）</w:t>
                  </w:r>
                </w:p>
              </w:tc>
              <w:tc>
                <w:tcPr>
                  <w:tcW w:w="931" w:type="dxa"/>
                  <w:tcBorders>
                    <w:top w:val="single" w:color="000000" w:sz="4" w:space="0"/>
                    <w:left w:val="single" w:color="000000" w:sz="4" w:space="0"/>
                    <w:bottom w:val="single" w:color="000000" w:sz="4" w:space="0"/>
                    <w:right w:val="single" w:color="000000" w:sz="4" w:space="0"/>
                  </w:tcBorders>
                  <w:vAlign w:val="bottom"/>
                </w:tcPr>
                <w:p w14:paraId="4E95C0F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1.7</w:t>
                  </w:r>
                </w:p>
              </w:tc>
              <w:tc>
                <w:tcPr>
                  <w:tcW w:w="973" w:type="dxa"/>
                  <w:tcBorders>
                    <w:top w:val="single" w:color="000000" w:sz="4" w:space="0"/>
                    <w:left w:val="single" w:color="000000" w:sz="4" w:space="0"/>
                    <w:bottom w:val="single" w:color="000000" w:sz="4" w:space="0"/>
                    <w:right w:val="single" w:color="000000" w:sz="4" w:space="0"/>
                  </w:tcBorders>
                  <w:vAlign w:val="bottom"/>
                </w:tcPr>
                <w:p w14:paraId="6219C2D6">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1.8</w:t>
                  </w:r>
                </w:p>
              </w:tc>
              <w:tc>
                <w:tcPr>
                  <w:tcW w:w="1013" w:type="dxa"/>
                  <w:tcBorders>
                    <w:top w:val="single" w:color="000000" w:sz="4" w:space="0"/>
                    <w:left w:val="single" w:color="000000" w:sz="4" w:space="0"/>
                    <w:bottom w:val="single" w:color="000000" w:sz="4" w:space="0"/>
                    <w:right w:val="single" w:color="000000" w:sz="4" w:space="0"/>
                  </w:tcBorders>
                  <w:vAlign w:val="bottom"/>
                </w:tcPr>
                <w:p w14:paraId="1154818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1.9</w:t>
                  </w:r>
                </w:p>
              </w:tc>
              <w:tc>
                <w:tcPr>
                  <w:tcW w:w="994" w:type="dxa"/>
                  <w:tcBorders>
                    <w:top w:val="single" w:color="000000" w:sz="4" w:space="0"/>
                    <w:left w:val="single" w:color="000000" w:sz="4" w:space="0"/>
                    <w:bottom w:val="single" w:color="000000" w:sz="4" w:space="0"/>
                    <w:right w:val="single" w:color="000000" w:sz="4" w:space="0"/>
                  </w:tcBorders>
                  <w:vAlign w:val="bottom"/>
                </w:tcPr>
                <w:p w14:paraId="71FA068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2.0</w:t>
                  </w:r>
                </w:p>
              </w:tc>
              <w:tc>
                <w:tcPr>
                  <w:tcW w:w="1034" w:type="dxa"/>
                  <w:tcBorders>
                    <w:top w:val="single" w:color="000000" w:sz="4" w:space="0"/>
                    <w:left w:val="single" w:color="000000" w:sz="4" w:space="0"/>
                    <w:bottom w:val="single" w:color="000000" w:sz="4" w:space="0"/>
                    <w:right w:val="single" w:color="000000" w:sz="4" w:space="0"/>
                  </w:tcBorders>
                  <w:vAlign w:val="bottom"/>
                </w:tcPr>
                <w:p w14:paraId="1FDA991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2.1</w:t>
                  </w:r>
                </w:p>
              </w:tc>
              <w:tc>
                <w:tcPr>
                  <w:tcW w:w="972" w:type="dxa"/>
                  <w:tcBorders>
                    <w:top w:val="single" w:color="000000" w:sz="4" w:space="0"/>
                    <w:left w:val="single" w:color="000000" w:sz="4" w:space="0"/>
                    <w:bottom w:val="single" w:color="000000" w:sz="4" w:space="0"/>
                    <w:right w:val="single" w:color="000000" w:sz="4" w:space="0"/>
                  </w:tcBorders>
                  <w:vAlign w:val="bottom"/>
                </w:tcPr>
                <w:p w14:paraId="202F7B4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2.2</w:t>
                  </w:r>
                </w:p>
              </w:tc>
              <w:tc>
                <w:tcPr>
                  <w:tcW w:w="960" w:type="dxa"/>
                  <w:tcBorders>
                    <w:top w:val="single" w:color="000000" w:sz="4" w:space="0"/>
                    <w:left w:val="single" w:color="000000" w:sz="4" w:space="0"/>
                    <w:bottom w:val="single" w:color="000000" w:sz="4" w:space="0"/>
                    <w:right w:val="single" w:color="000000" w:sz="4" w:space="0"/>
                  </w:tcBorders>
                  <w:vAlign w:val="bottom"/>
                </w:tcPr>
                <w:p w14:paraId="5899BCB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2.3</w:t>
                  </w:r>
                </w:p>
              </w:tc>
            </w:tr>
            <w:tr w14:paraId="645DAD68">
              <w:tblPrEx>
                <w:tblCellMar>
                  <w:top w:w="0" w:type="dxa"/>
                  <w:left w:w="108" w:type="dxa"/>
                  <w:bottom w:w="0" w:type="dxa"/>
                  <w:right w:w="108" w:type="dxa"/>
                </w:tblCellMar>
              </w:tblPrEx>
              <w:trPr>
                <w:trHeight w:val="408" w:hRule="atLeast"/>
              </w:trPr>
              <w:tc>
                <w:tcPr>
                  <w:tcW w:w="1718" w:type="dxa"/>
                  <w:tcBorders>
                    <w:top w:val="single" w:color="000000" w:sz="4" w:space="0"/>
                    <w:left w:val="single" w:color="000000" w:sz="4" w:space="0"/>
                    <w:bottom w:val="single" w:color="000000" w:sz="4" w:space="0"/>
                    <w:right w:val="single" w:color="000000" w:sz="4" w:space="0"/>
                  </w:tcBorders>
                  <w:vAlign w:val="bottom"/>
                </w:tcPr>
                <w:p w14:paraId="4DD79DD0">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号球</w:t>
                  </w:r>
                </w:p>
              </w:tc>
              <w:tc>
                <w:tcPr>
                  <w:tcW w:w="931" w:type="dxa"/>
                  <w:tcBorders>
                    <w:top w:val="single" w:color="000000" w:sz="4" w:space="0"/>
                    <w:left w:val="single" w:color="000000" w:sz="4" w:space="0"/>
                    <w:bottom w:val="single" w:color="000000" w:sz="4" w:space="0"/>
                    <w:right w:val="single" w:color="000000" w:sz="4" w:space="0"/>
                  </w:tcBorders>
                  <w:vAlign w:val="bottom"/>
                </w:tcPr>
                <w:p w14:paraId="63CE20A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15</w:t>
                  </w:r>
                </w:p>
              </w:tc>
              <w:tc>
                <w:tcPr>
                  <w:tcW w:w="973" w:type="dxa"/>
                  <w:tcBorders>
                    <w:top w:val="single" w:color="000000" w:sz="4" w:space="0"/>
                    <w:left w:val="single" w:color="000000" w:sz="4" w:space="0"/>
                    <w:bottom w:val="single" w:color="000000" w:sz="4" w:space="0"/>
                    <w:right w:val="single" w:color="000000" w:sz="4" w:space="0"/>
                  </w:tcBorders>
                  <w:vAlign w:val="bottom"/>
                </w:tcPr>
                <w:p w14:paraId="75C8B78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16</w:t>
                  </w:r>
                </w:p>
              </w:tc>
              <w:tc>
                <w:tcPr>
                  <w:tcW w:w="1013" w:type="dxa"/>
                  <w:tcBorders>
                    <w:top w:val="single" w:color="000000" w:sz="4" w:space="0"/>
                    <w:left w:val="single" w:color="000000" w:sz="4" w:space="0"/>
                    <w:bottom w:val="single" w:color="000000" w:sz="4" w:space="0"/>
                    <w:right w:val="single" w:color="000000" w:sz="4" w:space="0"/>
                  </w:tcBorders>
                  <w:vAlign w:val="bottom"/>
                </w:tcPr>
                <w:p w14:paraId="3035D411">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17</w:t>
                  </w:r>
                </w:p>
              </w:tc>
              <w:tc>
                <w:tcPr>
                  <w:tcW w:w="994" w:type="dxa"/>
                  <w:tcBorders>
                    <w:top w:val="single" w:color="000000" w:sz="4" w:space="0"/>
                    <w:left w:val="single" w:color="000000" w:sz="4" w:space="0"/>
                    <w:bottom w:val="single" w:color="000000" w:sz="4" w:space="0"/>
                    <w:right w:val="single" w:color="000000" w:sz="4" w:space="0"/>
                  </w:tcBorders>
                  <w:vAlign w:val="bottom"/>
                </w:tcPr>
                <w:p w14:paraId="1C156D2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18</w:t>
                  </w:r>
                </w:p>
              </w:tc>
              <w:tc>
                <w:tcPr>
                  <w:tcW w:w="1034" w:type="dxa"/>
                  <w:tcBorders>
                    <w:top w:val="single" w:color="000000" w:sz="4" w:space="0"/>
                    <w:left w:val="single" w:color="000000" w:sz="4" w:space="0"/>
                    <w:bottom w:val="single" w:color="000000" w:sz="4" w:space="0"/>
                    <w:right w:val="single" w:color="000000" w:sz="4" w:space="0"/>
                  </w:tcBorders>
                  <w:vAlign w:val="bottom"/>
                </w:tcPr>
                <w:p w14:paraId="7D09A7B1">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19</w:t>
                  </w:r>
                </w:p>
              </w:tc>
              <w:tc>
                <w:tcPr>
                  <w:tcW w:w="972" w:type="dxa"/>
                  <w:tcBorders>
                    <w:top w:val="single" w:color="000000" w:sz="4" w:space="0"/>
                    <w:left w:val="single" w:color="000000" w:sz="4" w:space="0"/>
                    <w:bottom w:val="single" w:color="000000" w:sz="4" w:space="0"/>
                    <w:right w:val="single" w:color="000000" w:sz="4" w:space="0"/>
                  </w:tcBorders>
                  <w:vAlign w:val="bottom"/>
                </w:tcPr>
                <w:p w14:paraId="76731D6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20</w:t>
                  </w:r>
                </w:p>
              </w:tc>
              <w:tc>
                <w:tcPr>
                  <w:tcW w:w="960" w:type="dxa"/>
                  <w:tcBorders>
                    <w:top w:val="single" w:color="000000" w:sz="4" w:space="0"/>
                    <w:left w:val="single" w:color="000000" w:sz="4" w:space="0"/>
                    <w:bottom w:val="single" w:color="000000" w:sz="4" w:space="0"/>
                    <w:right w:val="single" w:color="000000" w:sz="4" w:space="0"/>
                  </w:tcBorders>
                  <w:vAlign w:val="bottom"/>
                </w:tcPr>
                <w:p w14:paraId="393C964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21</w:t>
                  </w:r>
                </w:p>
              </w:tc>
            </w:tr>
            <w:tr w14:paraId="5797429A">
              <w:tblPrEx>
                <w:tblCellMar>
                  <w:top w:w="0" w:type="dxa"/>
                  <w:left w:w="108" w:type="dxa"/>
                  <w:bottom w:w="0" w:type="dxa"/>
                  <w:right w:w="108" w:type="dxa"/>
                </w:tblCellMar>
              </w:tblPrEx>
              <w:trPr>
                <w:trHeight w:val="467" w:hRule="atLeast"/>
              </w:trPr>
              <w:tc>
                <w:tcPr>
                  <w:tcW w:w="1718" w:type="dxa"/>
                  <w:tcBorders>
                    <w:top w:val="single" w:color="000000" w:sz="4" w:space="0"/>
                    <w:left w:val="single" w:color="000000" w:sz="4" w:space="0"/>
                    <w:bottom w:val="single" w:color="000000" w:sz="4" w:space="0"/>
                    <w:right w:val="single" w:color="000000" w:sz="4" w:space="0"/>
                  </w:tcBorders>
                  <w:vAlign w:val="bottom"/>
                </w:tcPr>
                <w:p w14:paraId="78D24E8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下浮系数（%）</w:t>
                  </w:r>
                </w:p>
              </w:tc>
              <w:tc>
                <w:tcPr>
                  <w:tcW w:w="931" w:type="dxa"/>
                  <w:tcBorders>
                    <w:top w:val="single" w:color="000000" w:sz="4" w:space="0"/>
                    <w:left w:val="single" w:color="000000" w:sz="4" w:space="0"/>
                    <w:bottom w:val="single" w:color="000000" w:sz="4" w:space="0"/>
                    <w:right w:val="single" w:color="000000" w:sz="4" w:space="0"/>
                  </w:tcBorders>
                  <w:vAlign w:val="bottom"/>
                </w:tcPr>
                <w:p w14:paraId="371BE33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2.4</w:t>
                  </w:r>
                </w:p>
              </w:tc>
              <w:tc>
                <w:tcPr>
                  <w:tcW w:w="973" w:type="dxa"/>
                  <w:tcBorders>
                    <w:top w:val="single" w:color="000000" w:sz="4" w:space="0"/>
                    <w:left w:val="single" w:color="000000" w:sz="4" w:space="0"/>
                    <w:bottom w:val="single" w:color="000000" w:sz="4" w:space="0"/>
                    <w:right w:val="single" w:color="000000" w:sz="4" w:space="0"/>
                  </w:tcBorders>
                  <w:vAlign w:val="bottom"/>
                </w:tcPr>
                <w:p w14:paraId="43E8A22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2.5</w:t>
                  </w:r>
                </w:p>
              </w:tc>
              <w:tc>
                <w:tcPr>
                  <w:tcW w:w="1013" w:type="dxa"/>
                  <w:tcBorders>
                    <w:top w:val="single" w:color="000000" w:sz="4" w:space="0"/>
                    <w:left w:val="single" w:color="000000" w:sz="4" w:space="0"/>
                    <w:bottom w:val="single" w:color="000000" w:sz="4" w:space="0"/>
                    <w:right w:val="single" w:color="000000" w:sz="4" w:space="0"/>
                  </w:tcBorders>
                  <w:vAlign w:val="bottom"/>
                </w:tcPr>
                <w:p w14:paraId="4EA17E9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2.6</w:t>
                  </w:r>
                </w:p>
              </w:tc>
              <w:tc>
                <w:tcPr>
                  <w:tcW w:w="994" w:type="dxa"/>
                  <w:tcBorders>
                    <w:top w:val="single" w:color="000000" w:sz="4" w:space="0"/>
                    <w:left w:val="single" w:color="000000" w:sz="4" w:space="0"/>
                    <w:bottom w:val="single" w:color="000000" w:sz="4" w:space="0"/>
                    <w:right w:val="single" w:color="000000" w:sz="4" w:space="0"/>
                  </w:tcBorders>
                  <w:vAlign w:val="bottom"/>
                </w:tcPr>
                <w:p w14:paraId="2482718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2.7</w:t>
                  </w:r>
                </w:p>
              </w:tc>
              <w:tc>
                <w:tcPr>
                  <w:tcW w:w="1034" w:type="dxa"/>
                  <w:tcBorders>
                    <w:top w:val="single" w:color="000000" w:sz="4" w:space="0"/>
                    <w:left w:val="single" w:color="000000" w:sz="4" w:space="0"/>
                    <w:bottom w:val="single" w:color="000000" w:sz="4" w:space="0"/>
                    <w:right w:val="single" w:color="000000" w:sz="4" w:space="0"/>
                  </w:tcBorders>
                  <w:vAlign w:val="bottom"/>
                </w:tcPr>
                <w:p w14:paraId="3B4AEA0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2.8</w:t>
                  </w:r>
                </w:p>
              </w:tc>
              <w:tc>
                <w:tcPr>
                  <w:tcW w:w="972" w:type="dxa"/>
                  <w:tcBorders>
                    <w:top w:val="single" w:color="000000" w:sz="4" w:space="0"/>
                    <w:left w:val="single" w:color="000000" w:sz="4" w:space="0"/>
                    <w:bottom w:val="single" w:color="000000" w:sz="4" w:space="0"/>
                    <w:right w:val="single" w:color="000000" w:sz="4" w:space="0"/>
                  </w:tcBorders>
                  <w:vAlign w:val="bottom"/>
                </w:tcPr>
                <w:p w14:paraId="4400735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2.9</w:t>
                  </w:r>
                </w:p>
              </w:tc>
              <w:tc>
                <w:tcPr>
                  <w:tcW w:w="960" w:type="dxa"/>
                  <w:tcBorders>
                    <w:top w:val="single" w:color="000000" w:sz="4" w:space="0"/>
                    <w:left w:val="single" w:color="000000" w:sz="4" w:space="0"/>
                    <w:bottom w:val="single" w:color="000000" w:sz="4" w:space="0"/>
                    <w:right w:val="single" w:color="000000" w:sz="4" w:space="0"/>
                  </w:tcBorders>
                  <w:vAlign w:val="bottom"/>
                </w:tcPr>
                <w:p w14:paraId="6055D34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3.0</w:t>
                  </w:r>
                </w:p>
              </w:tc>
            </w:tr>
          </w:tbl>
          <w:p w14:paraId="60E2F8CB">
            <w:pPr>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（2）评标基准价D＝最高投标限价×（1－n）</w:t>
            </w:r>
          </w:p>
        </w:tc>
      </w:tr>
      <w:tr w14:paraId="767A8D70">
        <w:tblPrEx>
          <w:tblCellMar>
            <w:top w:w="0" w:type="dxa"/>
            <w:left w:w="108" w:type="dxa"/>
            <w:bottom w:w="0" w:type="dxa"/>
            <w:right w:w="108" w:type="dxa"/>
          </w:tblCellMar>
        </w:tblPrEx>
        <w:trPr>
          <w:trHeight w:val="2492"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1182D3E0">
            <w:pPr>
              <w:pStyle w:val="30"/>
              <w:wordWrap w:val="0"/>
              <w:adjustRightInd w:val="0"/>
              <w:snapToGrid w:val="0"/>
              <w:spacing w:line="360" w:lineRule="auto"/>
              <w:ind w:left="5250"/>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投标报价</w:t>
            </w:r>
          </w:p>
          <w:p w14:paraId="6306E88D">
            <w:pPr>
              <w:pStyle w:val="30"/>
              <w:wordWrap w:val="0"/>
              <w:adjustRightInd w:val="0"/>
              <w:snapToGrid w:val="0"/>
              <w:spacing w:line="360" w:lineRule="auto"/>
              <w:ind w:left="525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得分N</w:t>
            </w:r>
          </w:p>
        </w:tc>
        <w:tc>
          <w:tcPr>
            <w:tcW w:w="8866" w:type="dxa"/>
            <w:gridSpan w:val="2"/>
            <w:tcBorders>
              <w:top w:val="single" w:color="auto" w:sz="4" w:space="0"/>
              <w:left w:val="nil"/>
              <w:bottom w:val="single" w:color="auto" w:sz="4" w:space="0"/>
              <w:right w:val="single" w:color="auto" w:sz="4" w:space="0"/>
            </w:tcBorders>
            <w:vAlign w:val="center"/>
          </w:tcPr>
          <w:p w14:paraId="1B14618F">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采用内插法计算某投标人的投标报价得分N，即当投标人的投标总价等于评标基准价时得20分，每高于评标基准价一个百分点扣1 分, 每低于评标基准价一个百分点扣0.5分，扣完为止。公式如下：</w:t>
            </w:r>
          </w:p>
          <w:p w14:paraId="77EF79D8">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N＝20－（| Di－D | ÷D）×100×E</w:t>
            </w:r>
          </w:p>
          <w:p w14:paraId="39225DF0">
            <w:pPr>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式中：D为评标基准价；Di为某投标人的投标总价；E为扣分因子，当Di＞D时，E＝1；当Di＜D时，E＝0.5。</w:t>
            </w:r>
          </w:p>
        </w:tc>
      </w:tr>
    </w:tbl>
    <w:p w14:paraId="5690E5F1">
      <w:pPr>
        <w:spacing w:line="360" w:lineRule="auto"/>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备注：评分如出现小数点，则保留小数点后两位，第三位四舍五入。</w:t>
      </w:r>
    </w:p>
    <w:p w14:paraId="0FD229E4">
      <w:pPr>
        <w:spacing w:line="360" w:lineRule="auto"/>
        <w:ind w:firstLine="422" w:firstLineChars="175"/>
        <w:rPr>
          <w:rFonts w:hint="eastAsia" w:ascii="宋体" w:hAnsi="宋体" w:cs="宋体"/>
          <w:b/>
          <w:bCs/>
          <w:snapToGrid w:val="0"/>
          <w:color w:val="auto"/>
          <w:kern w:val="0"/>
          <w:sz w:val="24"/>
          <w:szCs w:val="24"/>
          <w:highlight w:val="none"/>
        </w:rPr>
      </w:pPr>
    </w:p>
    <w:p w14:paraId="0C9DD36B">
      <w:pPr>
        <w:spacing w:line="360" w:lineRule="auto"/>
        <w:ind w:firstLine="422" w:firstLineChars="175"/>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17.5.2</w:t>
      </w:r>
      <w:r>
        <w:rPr>
          <w:rFonts w:hint="eastAsia" w:ascii="宋体" w:hAnsi="宋体" w:cs="宋体"/>
          <w:snapToGrid w:val="0"/>
          <w:color w:val="auto"/>
          <w:kern w:val="0"/>
          <w:sz w:val="24"/>
          <w:szCs w:val="24"/>
          <w:highlight w:val="none"/>
        </w:rPr>
        <w:t>否决投标说明</w:t>
      </w:r>
    </w:p>
    <w:p w14:paraId="1DC45D35">
      <w:pPr>
        <w:wordWrap w:val="0"/>
        <w:adjustRightInd w:val="0"/>
        <w:snapToGrid w:val="0"/>
        <w:spacing w:line="360"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1138699D">
      <w:pPr>
        <w:wordWrap w:val="0"/>
        <w:adjustRightInd w:val="0"/>
        <w:snapToGrid w:val="0"/>
        <w:spacing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3C3857B8">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84" w:name="_Toc29578"/>
      <w:bookmarkStart w:id="185" w:name="_Toc32706"/>
      <w:bookmarkStart w:id="186" w:name="_Toc19759"/>
      <w:r>
        <w:rPr>
          <w:rFonts w:hint="eastAsia" w:ascii="宋体" w:hAnsi="宋体" w:cs="宋体"/>
          <w:b/>
          <w:snapToGrid w:val="0"/>
          <w:color w:val="auto"/>
          <w:sz w:val="24"/>
          <w:highlight w:val="none"/>
        </w:rPr>
        <w:t>18.推荐中标候选人</w:t>
      </w:r>
      <w:bookmarkEnd w:id="184"/>
      <w:bookmarkEnd w:id="185"/>
      <w:bookmarkEnd w:id="186"/>
    </w:p>
    <w:p w14:paraId="588A03B6">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18.1</w:t>
      </w:r>
      <w:r>
        <w:rPr>
          <w:rFonts w:hint="eastAsia" w:ascii="宋体" w:hAnsi="宋体" w:cs="宋体"/>
          <w:snapToGrid w:val="0"/>
          <w:color w:val="auto"/>
          <w:kern w:val="0"/>
          <w:sz w:val="24"/>
          <w:szCs w:val="24"/>
          <w:highlight w:val="none"/>
        </w:rPr>
        <w:t>确定排名</w:t>
      </w:r>
    </w:p>
    <w:p w14:paraId="41BD3D1A">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r>
        <w:rPr>
          <w:rFonts w:hint="eastAsia" w:ascii="宋体" w:hAnsi="宋体" w:cs="宋体"/>
          <w:snapToGrid w:val="0"/>
          <w:color w:val="auto"/>
          <w:kern w:val="0"/>
          <w:sz w:val="24"/>
          <w:szCs w:val="24"/>
          <w:highlight w:val="none"/>
        </w:rPr>
        <w:t>。</w:t>
      </w:r>
    </w:p>
    <w:p w14:paraId="13DDDC13">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18.2</w:t>
      </w:r>
      <w:r>
        <w:rPr>
          <w:rFonts w:hint="eastAsia" w:ascii="宋体" w:hAnsi="宋体" w:cs="宋体"/>
          <w:snapToGrid w:val="0"/>
          <w:color w:val="auto"/>
          <w:kern w:val="0"/>
          <w:sz w:val="24"/>
          <w:szCs w:val="24"/>
          <w:highlight w:val="none"/>
        </w:rPr>
        <w:t>推荐方法</w:t>
      </w:r>
    </w:p>
    <w:p w14:paraId="41507F46">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（1）有效投标人数量达到或超过3个的，评标委员会将前三名投标人作为中标候选人向招标人推荐，并标明排列顺序。</w:t>
      </w:r>
    </w:p>
    <w:p w14:paraId="482F6703">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5D8FBBF9">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18.3</w:t>
      </w:r>
      <w:r>
        <w:rPr>
          <w:rFonts w:hint="eastAsia" w:ascii="宋体" w:hAnsi="宋体" w:cs="宋体"/>
          <w:snapToGrid w:val="0"/>
          <w:color w:val="auto"/>
          <w:kern w:val="0"/>
          <w:sz w:val="24"/>
          <w:szCs w:val="24"/>
          <w:highlight w:val="none"/>
        </w:rPr>
        <w:t>评标委员会完成评标后，应向招标人提交由全体评标委员会成员签字的评标报告和中标候选人名单。</w:t>
      </w:r>
    </w:p>
    <w:p w14:paraId="6E2B3026">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87" w:name="_Toc4825"/>
      <w:bookmarkStart w:id="188" w:name="_Toc26821"/>
      <w:bookmarkStart w:id="189" w:name="_Toc854"/>
      <w:r>
        <w:rPr>
          <w:rFonts w:hint="eastAsia" w:ascii="宋体" w:hAnsi="宋体" w:cs="宋体"/>
          <w:b/>
          <w:snapToGrid w:val="0"/>
          <w:color w:val="auto"/>
          <w:sz w:val="24"/>
          <w:highlight w:val="none"/>
        </w:rPr>
        <w:t>19.中标候选人公示</w:t>
      </w:r>
      <w:bookmarkEnd w:id="187"/>
      <w:bookmarkEnd w:id="188"/>
      <w:bookmarkEnd w:id="189"/>
    </w:p>
    <w:p w14:paraId="09E302D7">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19.1</w:t>
      </w:r>
      <w:r>
        <w:rPr>
          <w:rFonts w:hint="eastAsia" w:ascii="宋体" w:hAnsi="宋体" w:cs="宋体"/>
          <w:snapToGrid w:val="0"/>
          <w:color w:val="auto"/>
          <w:kern w:val="0"/>
          <w:sz w:val="24"/>
          <w:szCs w:val="24"/>
          <w:highlight w:val="none"/>
        </w:rPr>
        <w:t>招标人自收到评标委员会提交的书面评标报告和中标候选人名单之日起3日内，将评标结果（即中标候选人名单）、中标候选人投标文件（商务经济标书分册）、评标过程（评标专家姓名用代码标记）一并在广东省招标投标监管网（http://zbtb.gd.gov.cn）及全国公共资源交易平台（广东省·韶关市）（https://ygp.gdzwfw.gov.cn/ggzy-portal/#/440200/index）进行公示，公示期不得少于3天。</w:t>
      </w:r>
    </w:p>
    <w:p w14:paraId="64F0AE45">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19.2</w:t>
      </w:r>
      <w:r>
        <w:rPr>
          <w:rFonts w:hint="eastAsia" w:ascii="宋体" w:hAnsi="宋体" w:cs="宋体"/>
          <w:snapToGrid w:val="0"/>
          <w:color w:val="auto"/>
          <w:kern w:val="0"/>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韶关市公共资源交易服务平台”提出异议，投标人必须上传提交异议书扫描件（作为附件），异议书格式内容按照《韶关市工程建设项目招标投标活动异议和投诉处理办法（韶发改(2021]44号）执行，否则招标人不予受理。投标人提出异议后，必须及时通知招标人查收，否则，由此造成的超出法律规定时限的后果，由投标人自行承担。招标人受理异议后，投标人须及时向招标人提交书面异议。</w:t>
      </w:r>
    </w:p>
    <w:p w14:paraId="005A87CE">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19.3</w:t>
      </w:r>
      <w:r>
        <w:rPr>
          <w:rFonts w:hint="eastAsia" w:ascii="宋体" w:hAnsi="宋体" w:cs="宋体"/>
          <w:snapToGrid w:val="0"/>
          <w:color w:val="auto"/>
          <w:kern w:val="0"/>
          <w:sz w:val="24"/>
          <w:szCs w:val="24"/>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2C188B2E">
      <w:pPr>
        <w:rPr>
          <w:rFonts w:hint="eastAsia" w:ascii="宋体" w:hAnsi="宋体" w:cs="宋体"/>
          <w:color w:val="auto"/>
          <w:highlight w:val="none"/>
        </w:rPr>
      </w:pPr>
    </w:p>
    <w:p w14:paraId="44A03708">
      <w:pPr>
        <w:rPr>
          <w:rFonts w:hint="eastAsia" w:ascii="宋体" w:hAnsi="宋体" w:cs="宋体"/>
          <w:color w:val="auto"/>
          <w:highlight w:val="none"/>
        </w:rPr>
      </w:pPr>
    </w:p>
    <w:p w14:paraId="516C1588">
      <w:pPr>
        <w:rPr>
          <w:rFonts w:hint="eastAsia" w:ascii="宋体" w:hAnsi="宋体" w:cs="宋体"/>
          <w:color w:val="auto"/>
          <w:highlight w:val="none"/>
        </w:rPr>
      </w:pPr>
    </w:p>
    <w:p w14:paraId="3A82E443">
      <w:pPr>
        <w:rPr>
          <w:rFonts w:hint="eastAsia" w:ascii="宋体" w:hAnsi="宋体" w:cs="宋体"/>
          <w:color w:val="auto"/>
          <w:highlight w:val="none"/>
        </w:rPr>
      </w:pPr>
    </w:p>
    <w:p w14:paraId="4A7BC0B8">
      <w:pPr>
        <w:rPr>
          <w:rFonts w:hint="eastAsia" w:ascii="宋体" w:hAnsi="宋体" w:cs="宋体"/>
          <w:color w:val="auto"/>
          <w:highlight w:val="none"/>
        </w:rPr>
      </w:pPr>
    </w:p>
    <w:p w14:paraId="089D3FA5">
      <w:pPr>
        <w:wordWrap w:val="0"/>
        <w:snapToGrid w:val="0"/>
        <w:spacing w:before="260" w:after="260"/>
        <w:rPr>
          <w:rFonts w:hint="eastAsia" w:ascii="宋体" w:hAnsi="宋体" w:cs="宋体"/>
          <w:b/>
          <w:snapToGrid w:val="0"/>
          <w:color w:val="auto"/>
          <w:sz w:val="24"/>
          <w:highlight w:val="none"/>
        </w:rPr>
      </w:pPr>
      <w:bookmarkStart w:id="190" w:name="_Toc31980"/>
      <w:bookmarkStart w:id="191" w:name="_Toc2752"/>
      <w:bookmarkStart w:id="192" w:name="_Toc32190"/>
    </w:p>
    <w:p w14:paraId="139F4688">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60617B9D">
      <w:pPr>
        <w:pStyle w:val="3"/>
        <w:wordWrap w:val="0"/>
        <w:autoSpaceDE/>
        <w:autoSpaceDN/>
        <w:snapToGrid w:val="0"/>
        <w:spacing w:before="260" w:after="260"/>
        <w:jc w:val="both"/>
        <w:rPr>
          <w:rFonts w:hint="eastAsia" w:ascii="宋体" w:hAnsi="宋体" w:cs="宋体"/>
          <w:b/>
          <w:snapToGrid w:val="0"/>
          <w:color w:val="auto"/>
          <w:sz w:val="24"/>
          <w:highlight w:val="none"/>
        </w:rPr>
      </w:pPr>
      <w:bookmarkStart w:id="193" w:name="_Toc13205"/>
      <w:r>
        <w:rPr>
          <w:rFonts w:hint="eastAsia" w:ascii="宋体" w:hAnsi="宋体" w:cs="宋体"/>
          <w:b/>
          <w:snapToGrid w:val="0"/>
          <w:color w:val="auto"/>
          <w:sz w:val="24"/>
          <w:highlight w:val="none"/>
        </w:rPr>
        <w:t>第四节   否决投标条件</w:t>
      </w:r>
      <w:bookmarkEnd w:id="190"/>
      <w:bookmarkEnd w:id="191"/>
      <w:bookmarkEnd w:id="192"/>
      <w:bookmarkEnd w:id="193"/>
    </w:p>
    <w:p w14:paraId="16D01652">
      <w:pPr>
        <w:wordWrap w:val="0"/>
        <w:adjustRightInd w:val="0"/>
        <w:snapToGrid w:val="0"/>
        <w:spacing w:line="360" w:lineRule="auto"/>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47F50AED">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94" w:name="_Toc4139"/>
      <w:bookmarkStart w:id="195" w:name="_Toc11881"/>
      <w:bookmarkStart w:id="196" w:name="_Toc13604"/>
      <w:r>
        <w:rPr>
          <w:rFonts w:hint="eastAsia" w:ascii="宋体" w:hAnsi="宋体" w:cs="宋体"/>
          <w:b/>
          <w:snapToGrid w:val="0"/>
          <w:color w:val="auto"/>
          <w:sz w:val="24"/>
          <w:highlight w:val="none"/>
        </w:rPr>
        <w:t>1.资格评审环节</w:t>
      </w:r>
      <w:bookmarkEnd w:id="194"/>
      <w:bookmarkEnd w:id="195"/>
      <w:bookmarkEnd w:id="196"/>
    </w:p>
    <w:p w14:paraId="1EB0F659">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05E77C6B">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4.4</w:t>
      </w:r>
      <w:r>
        <w:rPr>
          <w:rFonts w:hint="eastAsia" w:ascii="宋体" w:hAnsi="宋体" w:cs="宋体"/>
          <w:snapToGrid w:val="0"/>
          <w:color w:val="auto"/>
          <w:kern w:val="0"/>
          <w:sz w:val="24"/>
          <w:szCs w:val="22"/>
          <w:highlight w:val="none"/>
        </w:rPr>
        <w:t>条“禁止投标条款”规定的任何一种情形；</w:t>
      </w:r>
    </w:p>
    <w:p w14:paraId="1C9CBE4F">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443DA155">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0B632268">
      <w:pPr>
        <w:wordWrap w:val="0"/>
        <w:adjustRightInd w:val="0"/>
        <w:snapToGrid w:val="0"/>
        <w:spacing w:line="360" w:lineRule="auto"/>
        <w:ind w:firstLine="480"/>
        <w:rPr>
          <w:rFonts w:hint="eastAsia"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注：投标人已经工商变更，但其企业资质证书的企业名称未完成变更的，不得否决其投标；投标人营业执照、资质证书之间登记的信息不一致，应当允许投标人澄清，不得直接否决其投标。</w:t>
      </w:r>
    </w:p>
    <w:p w14:paraId="752BB22A">
      <w:pPr>
        <w:pStyle w:val="31"/>
        <w:ind w:firstLine="482" w:firstLineChars="200"/>
        <w:rPr>
          <w:rFonts w:hint="eastAsia" w:hAnsi="宋体" w:cs="宋体"/>
          <w:color w:val="auto"/>
          <w:highlight w:val="none"/>
        </w:rPr>
      </w:pPr>
      <w:r>
        <w:rPr>
          <w:rFonts w:hint="eastAsia" w:hAnsi="宋体" w:cs="宋体"/>
          <w:b/>
          <w:bCs/>
          <w:snapToGrid w:val="0"/>
          <w:color w:val="auto"/>
          <w:kern w:val="0"/>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285EF2EA">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2"/>
          <w:highlight w:val="none"/>
        </w:rPr>
        <w:t>的条件不符合规定的；</w:t>
      </w:r>
    </w:p>
    <w:p w14:paraId="5D99C602">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（5）拟派人员的各类证书、证件、证明不在有效期内的；或注册单位与投标人不一致的；</w:t>
      </w:r>
    </w:p>
    <w:p w14:paraId="6F4E341C">
      <w:pPr>
        <w:wordWrap w:val="0"/>
        <w:adjustRightInd w:val="0"/>
        <w:snapToGrid w:val="0"/>
        <w:spacing w:line="360" w:lineRule="auto"/>
        <w:ind w:firstLine="480"/>
        <w:rPr>
          <w:rFonts w:hint="eastAsia" w:ascii="宋体" w:hAnsi="宋体" w:cs="宋体"/>
          <w:color w:val="auto"/>
          <w:highlight w:val="none"/>
        </w:rPr>
      </w:pPr>
      <w:r>
        <w:rPr>
          <w:rFonts w:hint="eastAsia" w:ascii="宋体" w:hAnsi="宋体" w:cs="宋体"/>
          <w:b/>
          <w:bCs/>
          <w:snapToGrid w:val="0"/>
          <w:color w:val="auto"/>
          <w:kern w:val="0"/>
          <w:sz w:val="24"/>
          <w:szCs w:val="22"/>
          <w:highlight w:val="none"/>
        </w:rPr>
        <w:t>注：投标人已经工商变更，但其员工执业资格注册证书的注册单位名称未完成变更的，不得否决其投标。</w:t>
      </w:r>
    </w:p>
    <w:p w14:paraId="2631F9E7">
      <w:pPr>
        <w:pStyle w:val="23"/>
        <w:ind w:firstLine="480" w:firstLineChars="200"/>
        <w:rPr>
          <w:rFonts w:hint="eastAsia" w:hAnsi="宋体" w:cs="宋体"/>
          <w:color w:val="auto"/>
          <w:highlight w:val="none"/>
        </w:rPr>
      </w:pPr>
      <w:r>
        <w:rPr>
          <w:rFonts w:hint="eastAsia" w:hAnsi="宋体" w:cs="宋体"/>
          <w:snapToGrid w:val="0"/>
          <w:color w:val="auto"/>
          <w:kern w:val="0"/>
          <w:szCs w:val="22"/>
          <w:highlight w:val="none"/>
        </w:rPr>
        <w:t>（6）联合体投标，未提交</w:t>
      </w:r>
      <w:r>
        <w:rPr>
          <w:rFonts w:hint="eastAsia" w:hAnsi="宋体" w:cs="宋体"/>
          <w:snapToGrid w:val="0"/>
          <w:color w:val="auto"/>
          <w:kern w:val="0"/>
          <w:szCs w:val="21"/>
          <w:highlight w:val="none"/>
        </w:rPr>
        <w:t>《联合体协议书》的；</w:t>
      </w:r>
      <w:r>
        <w:rPr>
          <w:rFonts w:hint="eastAsia" w:hAnsi="宋体" w:cs="宋体"/>
          <w:snapToGrid w:val="0"/>
          <w:color w:val="auto"/>
          <w:kern w:val="0"/>
          <w:szCs w:val="22"/>
          <w:highlight w:val="none"/>
        </w:rPr>
        <w:t>擅自修改、遗漏</w:t>
      </w:r>
      <w:r>
        <w:rPr>
          <w:rFonts w:hint="eastAsia" w:hAnsi="宋体" w:cs="宋体"/>
          <w:snapToGrid w:val="0"/>
          <w:color w:val="auto"/>
          <w:kern w:val="0"/>
          <w:szCs w:val="21"/>
          <w:highlight w:val="none"/>
        </w:rPr>
        <w:t>《联合体协议书》</w:t>
      </w:r>
      <w:r>
        <w:rPr>
          <w:rFonts w:hint="eastAsia" w:hAnsi="宋体" w:cs="宋体"/>
          <w:snapToGrid w:val="0"/>
          <w:color w:val="auto"/>
          <w:kern w:val="0"/>
          <w:szCs w:val="22"/>
          <w:highlight w:val="none"/>
        </w:rPr>
        <w:t>实质性内容的；</w:t>
      </w:r>
      <w:r>
        <w:rPr>
          <w:rFonts w:hint="eastAsia" w:hAnsi="宋体" w:cs="宋体"/>
          <w:snapToGrid w:val="0"/>
          <w:color w:val="auto"/>
          <w:kern w:val="0"/>
          <w:szCs w:val="21"/>
          <w:highlight w:val="none"/>
        </w:rPr>
        <w:t>联合体成员的数量、资质不符合规定的；联合体成员同时以自己名义单独投标或者参加其他联合体投标的；</w:t>
      </w:r>
    </w:p>
    <w:p w14:paraId="664CE3C3">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（7）投标人为外省企业，但未提供“进粤企业和人员诚信信息登记平台”企业信息和拟派人员情况打印页的。</w:t>
      </w:r>
    </w:p>
    <w:p w14:paraId="2ECAAFAB">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97" w:name="_Toc32171"/>
      <w:bookmarkStart w:id="198" w:name="_Toc22692"/>
      <w:bookmarkStart w:id="199" w:name="_Toc6748"/>
      <w:r>
        <w:rPr>
          <w:rFonts w:hint="eastAsia" w:ascii="宋体" w:hAnsi="宋体" w:cs="宋体"/>
          <w:b/>
          <w:snapToGrid w:val="0"/>
          <w:color w:val="auto"/>
          <w:sz w:val="24"/>
          <w:highlight w:val="none"/>
        </w:rPr>
        <w:t>2.形式评审环节</w:t>
      </w:r>
      <w:bookmarkEnd w:id="197"/>
      <w:bookmarkEnd w:id="198"/>
      <w:bookmarkEnd w:id="199"/>
    </w:p>
    <w:p w14:paraId="30C20851">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1EC5D30F">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rPr>
        <w:t>10.2.2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rPr>
        <w:t>10</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263EB2CE">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bCs/>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；出现手工涂改、行间插字或删除，但未加盖单位章或由投标人的法定代表人或其委托代理人签字确认的；</w:t>
      </w:r>
    </w:p>
    <w:p w14:paraId="4E5E3FD5">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10C3B4A9">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00" w:name="_Toc26983"/>
      <w:bookmarkStart w:id="201" w:name="_Toc29122"/>
      <w:bookmarkStart w:id="202" w:name="_Toc11636"/>
      <w:r>
        <w:rPr>
          <w:rFonts w:hint="eastAsia" w:ascii="宋体" w:hAnsi="宋体" w:cs="宋体"/>
          <w:b/>
          <w:snapToGrid w:val="0"/>
          <w:color w:val="auto"/>
          <w:sz w:val="24"/>
          <w:highlight w:val="none"/>
        </w:rPr>
        <w:t>3.响应性评审环节</w:t>
      </w:r>
      <w:bookmarkEnd w:id="200"/>
      <w:bookmarkEnd w:id="201"/>
      <w:bookmarkEnd w:id="202"/>
    </w:p>
    <w:p w14:paraId="3EF6688C">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0E15A2B2">
      <w:pPr>
        <w:wordWrap w:val="0"/>
        <w:adjustRightInd w:val="0"/>
        <w:snapToGrid w:val="0"/>
        <w:spacing w:line="360" w:lineRule="auto"/>
        <w:ind w:firstLine="480"/>
        <w:rPr>
          <w:rFonts w:hint="eastAsia" w:ascii="宋体" w:hAnsi="宋体" w:cs="宋体"/>
          <w:snapToGrid w:val="0"/>
          <w:color w:val="auto"/>
          <w:kern w:val="0"/>
          <w:sz w:val="24"/>
          <w:szCs w:val="22"/>
          <w:highlight w:val="none"/>
        </w:rPr>
      </w:pPr>
      <w:bookmarkStart w:id="203" w:name="_Toc6331"/>
      <w:bookmarkStart w:id="204" w:name="_Toc19353"/>
      <w:r>
        <w:rPr>
          <w:rFonts w:hint="eastAsia" w:ascii="宋体" w:hAnsi="宋体" w:cs="宋体"/>
          <w:snapToGrid w:val="0"/>
          <w:color w:val="auto"/>
          <w:kern w:val="0"/>
          <w:sz w:val="24"/>
          <w:szCs w:val="22"/>
          <w:highlight w:val="none"/>
        </w:rPr>
        <w:t>（11）承诺的投标有效期短于规定的；质量标准低于规定的；工期超出规定的；擅自修改、遗漏《投标函》《各项承诺一览表》实质性内容的；</w:t>
      </w:r>
    </w:p>
    <w:p w14:paraId="6F0F465A">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（12）出现两个或两个以上投标总价的（同一个投标总价大、小写不一致的除外）；投标总价超出最高投标限价的。</w:t>
      </w:r>
    </w:p>
    <w:p w14:paraId="380AD3AC">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12673365">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05" w:name="_Toc27293"/>
      <w:r>
        <w:rPr>
          <w:rFonts w:hint="eastAsia" w:ascii="宋体" w:hAnsi="宋体" w:cs="宋体"/>
          <w:b/>
          <w:snapToGrid w:val="0"/>
          <w:color w:val="auto"/>
          <w:sz w:val="24"/>
          <w:highlight w:val="none"/>
        </w:rPr>
        <w:t>4.其他</w:t>
      </w:r>
      <w:bookmarkEnd w:id="203"/>
      <w:bookmarkEnd w:id="204"/>
      <w:bookmarkEnd w:id="205"/>
    </w:p>
    <w:p w14:paraId="1C2B6F3A">
      <w:pPr>
        <w:wordWrap w:val="0"/>
        <w:adjustRightInd w:val="0"/>
        <w:snapToGrid w:val="0"/>
        <w:spacing w:line="360" w:lineRule="auto"/>
        <w:ind w:firstLine="480"/>
        <w:rPr>
          <w:rFonts w:hint="eastAsia"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4956CD20">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2208224A">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2D18264F">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12826BBC">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306BC644">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31A1F6AC">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2D80E167">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4453F9BE">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64A0D93E">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09BB1CF5">
      <w:pPr>
        <w:rPr>
          <w:rFonts w:hint="eastAsia" w:ascii="宋体" w:hAnsi="宋体" w:cs="宋体"/>
          <w:color w:val="auto"/>
          <w:highlight w:val="none"/>
        </w:rPr>
      </w:pPr>
    </w:p>
    <w:p w14:paraId="6A529906">
      <w:pPr>
        <w:rPr>
          <w:rFonts w:hint="eastAsia" w:ascii="宋体" w:hAnsi="宋体" w:cs="宋体"/>
          <w:color w:val="auto"/>
          <w:highlight w:val="none"/>
        </w:rPr>
      </w:pPr>
    </w:p>
    <w:p w14:paraId="7DC579F4">
      <w:pPr>
        <w:rPr>
          <w:rFonts w:hint="eastAsia" w:ascii="宋体" w:hAnsi="宋体" w:cs="宋体"/>
          <w:color w:val="auto"/>
          <w:highlight w:val="none"/>
        </w:rPr>
      </w:pPr>
    </w:p>
    <w:p w14:paraId="1BE492BC">
      <w:pPr>
        <w:rPr>
          <w:rFonts w:hint="eastAsia" w:ascii="宋体" w:hAnsi="宋体" w:cs="宋体"/>
          <w:b/>
          <w:snapToGrid w:val="0"/>
          <w:color w:val="auto"/>
          <w:sz w:val="24"/>
          <w:highlight w:val="none"/>
        </w:rPr>
      </w:pPr>
      <w:bookmarkStart w:id="206" w:name="_Toc32329"/>
      <w:r>
        <w:rPr>
          <w:rFonts w:hint="eastAsia" w:ascii="宋体" w:hAnsi="宋体" w:cs="宋体"/>
          <w:b/>
          <w:snapToGrid w:val="0"/>
          <w:color w:val="auto"/>
          <w:sz w:val="24"/>
          <w:highlight w:val="none"/>
        </w:rPr>
        <w:br w:type="page"/>
      </w:r>
    </w:p>
    <w:p w14:paraId="2ADDEAF9">
      <w:pPr>
        <w:pStyle w:val="2"/>
        <w:wordWrap w:val="0"/>
        <w:autoSpaceDE/>
        <w:autoSpaceDN/>
        <w:snapToGrid w:val="0"/>
        <w:spacing w:line="440" w:lineRule="exact"/>
        <w:jc w:val="center"/>
        <w:rPr>
          <w:rFonts w:hint="eastAsia" w:ascii="宋体" w:hAnsi="宋体" w:cs="宋体"/>
          <w:b/>
          <w:snapToGrid w:val="0"/>
          <w:color w:val="auto"/>
          <w:sz w:val="24"/>
          <w:highlight w:val="none"/>
        </w:rPr>
      </w:pPr>
      <w:bookmarkStart w:id="207" w:name="_Toc21443"/>
      <w:r>
        <w:rPr>
          <w:rFonts w:hint="eastAsia" w:ascii="宋体" w:hAnsi="宋体" w:cs="宋体"/>
          <w:b/>
          <w:snapToGrid w:val="0"/>
          <w:color w:val="auto"/>
          <w:sz w:val="24"/>
          <w:highlight w:val="none"/>
        </w:rPr>
        <w:t>第二章</w:t>
      </w:r>
      <w:bookmarkEnd w:id="181"/>
      <w:bookmarkStart w:id="208" w:name="_Hlt87793831"/>
      <w:bookmarkEnd w:id="208"/>
      <w:r>
        <w:rPr>
          <w:rFonts w:hint="eastAsia" w:ascii="宋体" w:hAnsi="宋体" w:cs="宋体"/>
          <w:b/>
          <w:snapToGrid w:val="0"/>
          <w:color w:val="auto"/>
          <w:sz w:val="24"/>
          <w:highlight w:val="none"/>
        </w:rPr>
        <w:t xml:space="preserve">   拟签订合同的主要条款</w:t>
      </w:r>
      <w:bookmarkEnd w:id="207"/>
    </w:p>
    <w:bookmarkEnd w:id="182"/>
    <w:bookmarkEnd w:id="183"/>
    <w:bookmarkEnd w:id="206"/>
    <w:p w14:paraId="1E8C2089">
      <w:pPr>
        <w:wordWrap w:val="0"/>
        <w:snapToGrid w:val="0"/>
        <w:spacing w:line="360" w:lineRule="auto"/>
        <w:ind w:firstLine="480"/>
        <w:outlineLvl w:val="1"/>
        <w:rPr>
          <w:rFonts w:hint="eastAsia" w:ascii="宋体" w:hAnsi="宋体" w:cs="宋体"/>
          <w:b/>
          <w:snapToGrid w:val="0"/>
          <w:color w:val="auto"/>
          <w:sz w:val="24"/>
          <w:highlight w:val="none"/>
        </w:rPr>
      </w:pPr>
      <w:bookmarkStart w:id="209" w:name="_Toc27297"/>
      <w:bookmarkStart w:id="210" w:name="_Toc322793288"/>
      <w:bookmarkStart w:id="211" w:name="_Hlt87951777"/>
      <w:bookmarkStart w:id="212" w:name="_Toc326916629"/>
      <w:bookmarkStart w:id="213" w:name="_Toc26730"/>
      <w:bookmarkStart w:id="214" w:name="_Hlt69698722"/>
      <w:bookmarkStart w:id="215" w:name="_Hlt69698769"/>
      <w:bookmarkStart w:id="216" w:name="_Hlt69698741"/>
      <w:r>
        <w:rPr>
          <w:rFonts w:hint="eastAsia" w:ascii="宋体" w:hAnsi="宋体" w:cs="宋体"/>
          <w:b/>
          <w:snapToGrid w:val="0"/>
          <w:color w:val="auto"/>
          <w:sz w:val="24"/>
          <w:highlight w:val="none"/>
        </w:rPr>
        <w:t>1．工程承包方式</w:t>
      </w:r>
      <w:bookmarkEnd w:id="209"/>
    </w:p>
    <w:p w14:paraId="00C8E597">
      <w:pPr>
        <w:wordWrap w:val="0"/>
        <w:snapToGrid w:val="0"/>
        <w:spacing w:line="360" w:lineRule="auto"/>
        <w:ind w:firstLine="480"/>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中标人以中标价按合同约定和招标文件内容要求，法律法规及国家强制性标准要求，提供完整的各子项的初步设计，施工图设计文件和建设期的服务内容，不允许转包和违法分包，如确需分包须与招标人协商并得到招标人和监理单位同意并报工程主管部门备案。</w:t>
      </w:r>
    </w:p>
    <w:p w14:paraId="361C7FB6">
      <w:pPr>
        <w:wordWrap w:val="0"/>
        <w:snapToGrid w:val="0"/>
        <w:spacing w:line="360" w:lineRule="auto"/>
        <w:ind w:firstLine="480"/>
        <w:rPr>
          <w:rFonts w:hint="eastAsia" w:ascii="宋体" w:hAnsi="宋体" w:cs="宋体"/>
          <w:b/>
          <w:snapToGrid w:val="0"/>
          <w:color w:val="auto"/>
          <w:sz w:val="24"/>
          <w:highlight w:val="none"/>
        </w:rPr>
      </w:pPr>
      <w:bookmarkStart w:id="217" w:name="_2、工程结算原则"/>
      <w:bookmarkEnd w:id="217"/>
      <w:bookmarkStart w:id="218" w:name="_Toc326916630"/>
      <w:bookmarkStart w:id="219" w:name="_Toc322793289"/>
      <w:bookmarkStart w:id="220" w:name="_Toc8670"/>
      <w:bookmarkStart w:id="221" w:name="_Toc9707"/>
      <w:bookmarkStart w:id="222" w:name="_Toc28380"/>
      <w:bookmarkStart w:id="223" w:name="_Hlt87948447"/>
      <w:bookmarkStart w:id="224" w:name="_Hlt87948449"/>
    </w:p>
    <w:p w14:paraId="7E5C493F">
      <w:pPr>
        <w:wordWrap w:val="0"/>
        <w:snapToGrid w:val="0"/>
        <w:spacing w:line="360" w:lineRule="auto"/>
        <w:ind w:firstLine="480"/>
        <w:outlineLvl w:val="1"/>
        <w:rPr>
          <w:rFonts w:hint="eastAsia" w:ascii="宋体" w:hAnsi="宋体" w:cs="宋体"/>
          <w:b/>
          <w:snapToGrid w:val="0"/>
          <w:color w:val="auto"/>
          <w:sz w:val="24"/>
          <w:highlight w:val="none"/>
        </w:rPr>
      </w:pPr>
      <w:bookmarkStart w:id="225" w:name="_Toc21122"/>
      <w:bookmarkStart w:id="226" w:name="_Toc14668"/>
      <w:r>
        <w:rPr>
          <w:rFonts w:hint="eastAsia" w:ascii="宋体" w:hAnsi="宋体" w:cs="宋体"/>
          <w:b/>
          <w:snapToGrid w:val="0"/>
          <w:color w:val="auto"/>
          <w:sz w:val="24"/>
          <w:highlight w:val="none"/>
        </w:rPr>
        <w:t>2．</w:t>
      </w:r>
      <w:bookmarkEnd w:id="218"/>
      <w:bookmarkEnd w:id="219"/>
      <w:r>
        <w:rPr>
          <w:rFonts w:hint="eastAsia" w:ascii="宋体" w:hAnsi="宋体" w:cs="宋体"/>
          <w:b/>
          <w:snapToGrid w:val="0"/>
          <w:color w:val="auto"/>
          <w:sz w:val="24"/>
          <w:highlight w:val="none"/>
        </w:rPr>
        <w:t>合同价款支付办法</w:t>
      </w:r>
      <w:bookmarkEnd w:id="220"/>
      <w:bookmarkEnd w:id="221"/>
      <w:bookmarkEnd w:id="222"/>
      <w:bookmarkEnd w:id="225"/>
      <w:bookmarkEnd w:id="226"/>
    </w:p>
    <w:bookmarkEnd w:id="223"/>
    <w:bookmarkEnd w:id="224"/>
    <w:p w14:paraId="35730347">
      <w:pPr>
        <w:wordWrap w:val="0"/>
        <w:snapToGrid w:val="0"/>
        <w:spacing w:line="360" w:lineRule="auto"/>
        <w:ind w:firstLine="480"/>
        <w:rPr>
          <w:rFonts w:hint="eastAsia" w:ascii="宋体" w:hAnsi="宋体" w:cs="宋体"/>
          <w:bCs/>
          <w:snapToGrid w:val="0"/>
          <w:color w:val="auto"/>
          <w:sz w:val="24"/>
          <w:highlight w:val="none"/>
        </w:rPr>
      </w:pPr>
      <w:bookmarkStart w:id="227" w:name="_Hlt88974053"/>
      <w:bookmarkEnd w:id="227"/>
      <w:bookmarkStart w:id="228" w:name="_Toc322793290"/>
      <w:bookmarkStart w:id="229" w:name="_Toc326916631"/>
      <w:r>
        <w:rPr>
          <w:rFonts w:hint="eastAsia" w:ascii="宋体" w:hAnsi="宋体" w:cs="宋体"/>
          <w:bCs/>
          <w:snapToGrid w:val="0"/>
          <w:color w:val="auto"/>
          <w:sz w:val="24"/>
          <w:highlight w:val="none"/>
        </w:rPr>
        <w:t>2.1 本合同工程按中标人的投标报价，中标价即为合同价。</w:t>
      </w:r>
    </w:p>
    <w:p w14:paraId="18518B58">
      <w:pPr>
        <w:wordWrap w:val="0"/>
        <w:snapToGrid w:val="0"/>
        <w:spacing w:line="360" w:lineRule="auto"/>
        <w:ind w:firstLine="480"/>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2.2 设计费支付方式</w:t>
      </w:r>
    </w:p>
    <w:p w14:paraId="0B5B6C90">
      <w:pPr>
        <w:wordWrap w:val="0"/>
        <w:snapToGrid w:val="0"/>
        <w:spacing w:line="360" w:lineRule="auto"/>
        <w:ind w:firstLine="480"/>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设计费的支付：</w:t>
      </w:r>
    </w:p>
    <w:p w14:paraId="4D608FA0">
      <w:pPr>
        <w:wordWrap w:val="0"/>
        <w:snapToGrid w:val="0"/>
        <w:spacing w:line="360" w:lineRule="auto"/>
        <w:ind w:firstLine="480"/>
        <w:rPr>
          <w:rFonts w:hint="eastAsia" w:ascii="宋体" w:hAnsi="宋体" w:cs="宋体"/>
          <w:bCs/>
          <w:snapToGrid w:val="0"/>
          <w:color w:val="auto"/>
          <w:sz w:val="24"/>
          <w:highlight w:val="none"/>
        </w:rPr>
      </w:pPr>
      <w:bookmarkStart w:id="230" w:name="_Toc21984"/>
      <w:bookmarkStart w:id="231" w:name="_Toc23969"/>
      <w:bookmarkStart w:id="232" w:name="_Toc24507"/>
      <w:r>
        <w:rPr>
          <w:rFonts w:hint="eastAsia" w:ascii="宋体" w:hAnsi="宋体" w:cs="宋体"/>
          <w:bCs/>
          <w:snapToGrid w:val="0"/>
          <w:color w:val="auto"/>
          <w:sz w:val="24"/>
          <w:highlight w:val="none"/>
        </w:rPr>
        <w:t>1、业主根据不同时间段内各子项目的需要，进一步明确中标人对于各子项目具体项目的设计需求，中标人根据要求做好各子项的设计服务工作。每个子项目提交合格成果文件及得到业主认可后，支付该子项目设计费的80%；</w:t>
      </w:r>
    </w:p>
    <w:p w14:paraId="0C72D9A0">
      <w:pPr>
        <w:wordWrap w:val="0"/>
        <w:snapToGrid w:val="0"/>
        <w:spacing w:line="360" w:lineRule="auto"/>
        <w:ind w:firstLine="480"/>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2、工程竣工验收合格后支付该子项目的剩余设计费。</w:t>
      </w:r>
    </w:p>
    <w:p w14:paraId="2D138334">
      <w:pPr>
        <w:wordWrap w:val="0"/>
        <w:snapToGrid w:val="0"/>
        <w:spacing w:line="360" w:lineRule="auto"/>
        <w:ind w:firstLine="480"/>
        <w:rPr>
          <w:rFonts w:hint="eastAsia" w:ascii="宋体" w:hAnsi="宋体" w:cs="宋体"/>
          <w:b/>
          <w:snapToGrid w:val="0"/>
          <w:color w:val="auto"/>
          <w:sz w:val="24"/>
          <w:highlight w:val="none"/>
        </w:rPr>
      </w:pPr>
    </w:p>
    <w:p w14:paraId="609D1E95">
      <w:pPr>
        <w:wordWrap w:val="0"/>
        <w:snapToGrid w:val="0"/>
        <w:spacing w:line="360" w:lineRule="auto"/>
        <w:ind w:firstLine="480"/>
        <w:outlineLvl w:val="1"/>
        <w:rPr>
          <w:rFonts w:hint="eastAsia" w:ascii="宋体" w:hAnsi="宋体" w:cs="宋体"/>
          <w:b/>
          <w:snapToGrid w:val="0"/>
          <w:color w:val="auto"/>
          <w:sz w:val="24"/>
          <w:highlight w:val="none"/>
        </w:rPr>
      </w:pPr>
      <w:bookmarkStart w:id="233" w:name="_Toc12954"/>
      <w:bookmarkStart w:id="234" w:name="_Toc27426"/>
      <w:r>
        <w:rPr>
          <w:rFonts w:hint="eastAsia" w:ascii="宋体" w:hAnsi="宋体" w:cs="宋体"/>
          <w:b/>
          <w:snapToGrid w:val="0"/>
          <w:color w:val="auto"/>
          <w:sz w:val="24"/>
          <w:highlight w:val="none"/>
        </w:rPr>
        <w:t>3．</w:t>
      </w:r>
      <w:bookmarkEnd w:id="228"/>
      <w:bookmarkEnd w:id="229"/>
      <w:bookmarkStart w:id="235" w:name="_Hlt88976467"/>
      <w:bookmarkEnd w:id="235"/>
      <w:bookmarkStart w:id="236" w:name="_Hlt66608388"/>
      <w:bookmarkEnd w:id="236"/>
      <w:bookmarkStart w:id="237" w:name="_Hlt69669774"/>
      <w:bookmarkEnd w:id="237"/>
      <w:bookmarkStart w:id="238" w:name="_Hlt69700007"/>
      <w:bookmarkEnd w:id="238"/>
      <w:bookmarkStart w:id="239" w:name="_Hlt66591689"/>
      <w:bookmarkEnd w:id="239"/>
      <w:bookmarkStart w:id="240" w:name="_Hlt66593437"/>
      <w:bookmarkEnd w:id="240"/>
      <w:bookmarkStart w:id="241" w:name="_Hlt70150985"/>
      <w:bookmarkEnd w:id="241"/>
      <w:bookmarkStart w:id="242" w:name="_Hlt69114106"/>
      <w:bookmarkEnd w:id="242"/>
      <w:r>
        <w:rPr>
          <w:rFonts w:hint="eastAsia" w:ascii="宋体" w:hAnsi="宋体" w:cs="宋体"/>
          <w:b/>
          <w:snapToGrid w:val="0"/>
          <w:color w:val="auto"/>
          <w:sz w:val="24"/>
          <w:highlight w:val="none"/>
        </w:rPr>
        <w:t>结算原则</w:t>
      </w:r>
      <w:bookmarkEnd w:id="230"/>
      <w:bookmarkEnd w:id="231"/>
      <w:bookmarkEnd w:id="232"/>
      <w:bookmarkEnd w:id="233"/>
      <w:bookmarkEnd w:id="234"/>
    </w:p>
    <w:p w14:paraId="06AB18EB">
      <w:pPr>
        <w:wordWrap w:val="0"/>
        <w:snapToGrid w:val="0"/>
        <w:spacing w:line="360" w:lineRule="auto"/>
        <w:ind w:firstLine="480"/>
        <w:rPr>
          <w:rFonts w:hint="eastAsia" w:ascii="宋体" w:hAnsi="宋体" w:cs="宋体"/>
          <w:b/>
          <w:snapToGrid w:val="0"/>
          <w:color w:val="auto"/>
          <w:sz w:val="24"/>
          <w:highlight w:val="none"/>
        </w:rPr>
      </w:pPr>
      <w:r>
        <w:rPr>
          <w:rFonts w:hint="eastAsia" w:ascii="宋体" w:hAnsi="宋体" w:cs="宋体"/>
          <w:bCs/>
          <w:snapToGrid w:val="0"/>
          <w:color w:val="auto"/>
          <w:sz w:val="24"/>
          <w:highlight w:val="none"/>
        </w:rPr>
        <w:t>3.1结算原则：</w:t>
      </w:r>
    </w:p>
    <w:p w14:paraId="6CE79A3A">
      <w:pPr>
        <w:wordWrap w:val="0"/>
        <w:snapToGrid w:val="0"/>
        <w:spacing w:line="360" w:lineRule="auto"/>
        <w:ind w:firstLine="480"/>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3.2各子项的工程设计收费参照计价格[2002]10号收费标准，以第三方造价公司编制的各子项目施工图预算价作为工程设计收费计费额，并通过对应的工程设计收费调整系数计算得出的工程设计收费基准价后再下浮40%进行结算。</w:t>
      </w:r>
    </w:p>
    <w:p w14:paraId="0C149F61">
      <w:pPr>
        <w:wordWrap w:val="0"/>
        <w:snapToGrid w:val="0"/>
        <w:spacing w:line="360" w:lineRule="auto"/>
        <w:ind w:firstLine="480"/>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3.3 结算上限价为本项目的最高投标限价（1500000.00元）。</w:t>
      </w:r>
    </w:p>
    <w:p w14:paraId="0E330CE8">
      <w:pPr>
        <w:wordWrap w:val="0"/>
        <w:snapToGrid w:val="0"/>
        <w:spacing w:line="360" w:lineRule="auto"/>
        <w:ind w:firstLine="480"/>
        <w:rPr>
          <w:rFonts w:hint="eastAsia" w:ascii="宋体" w:hAnsi="宋体" w:cs="宋体"/>
          <w:bCs/>
          <w:snapToGrid w:val="0"/>
          <w:color w:val="auto"/>
          <w:sz w:val="24"/>
          <w:highlight w:val="none"/>
        </w:rPr>
      </w:pPr>
    </w:p>
    <w:p w14:paraId="5782CA64">
      <w:pPr>
        <w:rPr>
          <w:rFonts w:hint="eastAsia" w:ascii="宋体" w:hAnsi="宋体" w:cs="宋体"/>
          <w:color w:val="auto"/>
          <w:highlight w:val="none"/>
        </w:rPr>
      </w:pPr>
    </w:p>
    <w:p w14:paraId="4F9B3B50">
      <w:pPr>
        <w:rPr>
          <w:rFonts w:hint="eastAsia" w:ascii="宋体" w:hAnsi="宋体" w:cs="宋体"/>
          <w:color w:val="auto"/>
          <w:highlight w:val="none"/>
        </w:rPr>
      </w:pPr>
    </w:p>
    <w:p w14:paraId="113F55DD">
      <w:pPr>
        <w:rPr>
          <w:rFonts w:hint="eastAsia" w:ascii="宋体" w:hAnsi="宋体" w:cs="宋体"/>
          <w:color w:val="auto"/>
          <w:highlight w:val="none"/>
        </w:rPr>
      </w:pPr>
    </w:p>
    <w:p w14:paraId="45CDC50B">
      <w:pPr>
        <w:rPr>
          <w:rFonts w:hint="eastAsia" w:ascii="宋体" w:hAnsi="宋体" w:cs="宋体"/>
          <w:color w:val="auto"/>
          <w:highlight w:val="none"/>
        </w:rPr>
      </w:pPr>
    </w:p>
    <w:p w14:paraId="020D14F6">
      <w:pPr>
        <w:rPr>
          <w:rFonts w:hint="eastAsia" w:ascii="宋体" w:hAnsi="宋体" w:cs="宋体"/>
          <w:color w:val="auto"/>
          <w:highlight w:val="none"/>
        </w:rPr>
      </w:pPr>
    </w:p>
    <w:p w14:paraId="4AE9CC4D">
      <w:pPr>
        <w:rPr>
          <w:rFonts w:hint="eastAsia" w:ascii="宋体" w:hAnsi="宋体" w:cs="宋体"/>
          <w:color w:val="auto"/>
          <w:highlight w:val="none"/>
        </w:rPr>
      </w:pPr>
    </w:p>
    <w:p w14:paraId="064F82E4">
      <w:pPr>
        <w:rPr>
          <w:rFonts w:hint="eastAsia" w:ascii="宋体" w:hAnsi="宋体" w:cs="宋体"/>
          <w:color w:val="auto"/>
          <w:highlight w:val="none"/>
        </w:rPr>
      </w:pPr>
    </w:p>
    <w:p w14:paraId="335D11F0">
      <w:pPr>
        <w:rPr>
          <w:rFonts w:hint="eastAsia" w:ascii="宋体" w:hAnsi="宋体" w:cs="宋体"/>
          <w:color w:val="auto"/>
          <w:highlight w:val="none"/>
        </w:rPr>
      </w:pPr>
    </w:p>
    <w:p w14:paraId="1485E501">
      <w:pPr>
        <w:rPr>
          <w:rFonts w:hint="eastAsia" w:ascii="宋体" w:hAnsi="宋体" w:cs="宋体"/>
          <w:color w:val="auto"/>
          <w:highlight w:val="none"/>
        </w:rPr>
      </w:pPr>
    </w:p>
    <w:p w14:paraId="6FAF0F68">
      <w:pPr>
        <w:rPr>
          <w:rFonts w:hint="eastAsia" w:ascii="宋体" w:hAnsi="宋体" w:cs="宋体"/>
          <w:color w:val="auto"/>
          <w:highlight w:val="none"/>
        </w:rPr>
      </w:pPr>
    </w:p>
    <w:bookmarkEnd w:id="210"/>
    <w:bookmarkEnd w:id="211"/>
    <w:bookmarkEnd w:id="212"/>
    <w:p w14:paraId="29EF03E4">
      <w:pPr>
        <w:pStyle w:val="2"/>
        <w:wordWrap w:val="0"/>
        <w:autoSpaceDE/>
        <w:autoSpaceDN/>
        <w:snapToGrid w:val="0"/>
        <w:spacing w:line="440" w:lineRule="exact"/>
        <w:jc w:val="center"/>
        <w:rPr>
          <w:rFonts w:hint="eastAsia" w:ascii="宋体" w:hAnsi="宋体" w:cs="宋体"/>
          <w:b/>
          <w:snapToGrid w:val="0"/>
          <w:color w:val="auto"/>
          <w:sz w:val="24"/>
          <w:highlight w:val="none"/>
        </w:rPr>
      </w:pPr>
      <w:bookmarkStart w:id="243" w:name="_Toc28520"/>
      <w:bookmarkStart w:id="244" w:name="_Toc6622"/>
      <w:r>
        <w:rPr>
          <w:rFonts w:hint="eastAsia" w:ascii="宋体" w:hAnsi="宋体" w:cs="宋体"/>
          <w:b/>
          <w:snapToGrid w:val="0"/>
          <w:color w:val="auto"/>
          <w:sz w:val="24"/>
          <w:highlight w:val="none"/>
        </w:rPr>
        <w:t>第</w:t>
      </w:r>
      <w:bookmarkStart w:id="245" w:name="_Hlt69669171"/>
      <w:bookmarkEnd w:id="245"/>
      <w:r>
        <w:rPr>
          <w:rFonts w:hint="eastAsia" w:ascii="宋体" w:hAnsi="宋体" w:cs="宋体"/>
          <w:b/>
          <w:snapToGrid w:val="0"/>
          <w:color w:val="auto"/>
          <w:sz w:val="24"/>
          <w:highlight w:val="none"/>
        </w:rPr>
        <w:t>三章</w:t>
      </w:r>
      <w:bookmarkStart w:id="246" w:name="_Hlt87793839"/>
      <w:bookmarkEnd w:id="246"/>
      <w:r>
        <w:rPr>
          <w:rFonts w:hint="eastAsia" w:ascii="宋体" w:hAnsi="宋体" w:cs="宋体"/>
          <w:b/>
          <w:snapToGrid w:val="0"/>
          <w:color w:val="auto"/>
          <w:sz w:val="24"/>
          <w:highlight w:val="none"/>
        </w:rPr>
        <w:t xml:space="preserve">   中标人须知</w:t>
      </w:r>
      <w:bookmarkEnd w:id="213"/>
      <w:bookmarkEnd w:id="243"/>
      <w:bookmarkEnd w:id="244"/>
    </w:p>
    <w:bookmarkEnd w:id="214"/>
    <w:bookmarkEnd w:id="215"/>
    <w:bookmarkEnd w:id="216"/>
    <w:p w14:paraId="51750616">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47" w:name="_Toc31569"/>
      <w:bookmarkStart w:id="248" w:name="_Hlt69698776"/>
      <w:r>
        <w:rPr>
          <w:rFonts w:hint="eastAsia" w:ascii="宋体" w:hAnsi="宋体" w:cs="宋体"/>
          <w:b/>
          <w:snapToGrid w:val="0"/>
          <w:color w:val="auto"/>
          <w:sz w:val="24"/>
          <w:highlight w:val="none"/>
        </w:rPr>
        <w:t>1.中标通知书</w:t>
      </w:r>
      <w:bookmarkEnd w:id="247"/>
    </w:p>
    <w:p w14:paraId="1177660B">
      <w:pPr>
        <w:wordWrap w:val="0"/>
        <w:adjustRightInd w:val="0"/>
        <w:snapToGrid w:val="0"/>
        <w:spacing w:line="360"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2C9264A0">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49" w:name="_Toc17365"/>
      <w:r>
        <w:rPr>
          <w:rFonts w:hint="eastAsia" w:ascii="宋体" w:hAnsi="宋体" w:cs="宋体"/>
          <w:b/>
          <w:snapToGrid w:val="0"/>
          <w:color w:val="auto"/>
          <w:sz w:val="24"/>
          <w:highlight w:val="none"/>
        </w:rPr>
        <w:t>2.中标结果公示</w:t>
      </w:r>
      <w:bookmarkEnd w:id="249"/>
    </w:p>
    <w:p w14:paraId="072B238C">
      <w:pPr>
        <w:wordWrap w:val="0"/>
        <w:adjustRightInd w:val="0"/>
        <w:snapToGrid w:val="0"/>
        <w:spacing w:line="360" w:lineRule="auto"/>
        <w:ind w:firstLine="561"/>
        <w:jc w:val="left"/>
        <w:rPr>
          <w:rFonts w:hint="eastAsia" w:ascii="宋体" w:hAnsi="宋体" w:cs="宋体"/>
          <w:color w:val="auto"/>
          <w:highlight w:val="none"/>
        </w:rPr>
      </w:pPr>
      <w:r>
        <w:rPr>
          <w:rFonts w:hint="eastAsia" w:ascii="宋体" w:hAnsi="宋体" w:cs="宋体"/>
          <w:snapToGrid w:val="0"/>
          <w:color w:val="auto"/>
          <w:kern w:val="0"/>
          <w:sz w:val="24"/>
          <w:szCs w:val="24"/>
          <w:highlight w:val="none"/>
        </w:rPr>
        <w:t>中标通知书发出后15日内，招标人应将中标结果在广东省招标投标监管网（http://zbtb.gd.gov.cn）及全国公共资源交易平台（广东省·韶关市）（https://ygp.gdzwfw.gov.cn/ggzy-portal/#/440200/index）进行公示。</w:t>
      </w:r>
    </w:p>
    <w:p w14:paraId="1CFF6809">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0" w:name="_Toc16956"/>
      <w:r>
        <w:rPr>
          <w:rFonts w:hint="eastAsia" w:ascii="宋体" w:hAnsi="宋体" w:cs="宋体"/>
          <w:b/>
          <w:snapToGrid w:val="0"/>
          <w:color w:val="auto"/>
          <w:sz w:val="24"/>
          <w:highlight w:val="none"/>
        </w:rPr>
        <w:t>3.履约保证</w:t>
      </w:r>
      <w:bookmarkEnd w:id="250"/>
    </w:p>
    <w:p w14:paraId="0D46E143">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3.1中标人须在领取中标通知书之日起</w:t>
      </w:r>
      <w:r>
        <w:rPr>
          <w:rFonts w:hint="eastAsia" w:ascii="宋体" w:hAnsi="宋体" w:cs="宋体"/>
          <w:snapToGrid w:val="0"/>
          <w:color w:val="auto"/>
          <w:kern w:val="0"/>
          <w:sz w:val="24"/>
          <w:szCs w:val="24"/>
          <w:highlight w:val="none"/>
          <w:u w:val="single"/>
        </w:rPr>
        <w:t>10</w:t>
      </w:r>
      <w:r>
        <w:rPr>
          <w:rFonts w:hint="eastAsia" w:ascii="宋体" w:hAnsi="宋体" w:cs="宋体"/>
          <w:snapToGrid w:val="0"/>
          <w:color w:val="auto"/>
          <w:kern w:val="0"/>
          <w:sz w:val="24"/>
          <w:szCs w:val="24"/>
          <w:highlight w:val="none"/>
        </w:rPr>
        <w:t>个工作日内、签订合同前向招标人提交金额为中标价</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的履约保证。</w:t>
      </w:r>
    </w:p>
    <w:p w14:paraId="733C7F75">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3.2</w:t>
      </w:r>
      <w:r>
        <w:rPr>
          <w:rFonts w:hint="eastAsia" w:ascii="宋体" w:hAnsi="宋体" w:cs="宋体"/>
          <w:snapToGrid w:val="0"/>
          <w:color w:val="auto"/>
          <w:kern w:val="0"/>
          <w:sz w:val="24"/>
          <w:highlight w:val="none"/>
        </w:rPr>
        <w:t>履约保证的形式包括履约保证金、履约保证担保、履约保证保险三种，由中标人自主选择。中标通知书发出时，招标人发起收缴履约保证金并填写保证金金额、缴交时限和项目工期；由中标人在建设工程交易系统中自主选择一种进行缴交。项目竣工后，由招标人发起退保。</w:t>
      </w:r>
    </w:p>
    <w:p w14:paraId="72F2AD94">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62F9ED31">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290D5655">
      <w:pPr>
        <w:adjustRightInd w:val="0"/>
        <w:snapToGrid w:val="0"/>
        <w:spacing w:line="360" w:lineRule="auto"/>
        <w:ind w:firstLine="560"/>
        <w:rPr>
          <w:rFonts w:hint="eastAsia" w:ascii="宋体" w:hAnsi="宋体" w:cs="宋体"/>
          <w:color w:val="auto"/>
          <w:highlight w:val="none"/>
        </w:rPr>
      </w:pPr>
      <w:r>
        <w:rPr>
          <w:rFonts w:hint="eastAsia" w:ascii="宋体" w:hAnsi="宋体" w:cs="宋体"/>
          <w:snapToGrid w:val="0"/>
          <w:color w:val="auto"/>
          <w:kern w:val="0"/>
          <w:sz w:val="24"/>
          <w:szCs w:val="24"/>
          <w:highlight w:val="none"/>
        </w:rPr>
        <w:t>3.5项目通过竣工验收之日后起28天内，招标人将履约保证退还给承包人。</w:t>
      </w:r>
    </w:p>
    <w:p w14:paraId="7FB5B312">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1" w:name="_Toc10529"/>
      <w:r>
        <w:rPr>
          <w:rFonts w:hint="eastAsia" w:ascii="宋体" w:hAnsi="宋体" w:cs="宋体"/>
          <w:b/>
          <w:snapToGrid w:val="0"/>
          <w:color w:val="auto"/>
          <w:sz w:val="24"/>
          <w:highlight w:val="none"/>
        </w:rPr>
        <w:t>4.合同订立</w:t>
      </w:r>
      <w:bookmarkEnd w:id="251"/>
    </w:p>
    <w:p w14:paraId="78A3C294">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4.1招标人应当自中标通知书发出之日起</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日内，按照招标文件、中标人的投标文件与中标人订立书面合同。</w:t>
      </w:r>
    </w:p>
    <w:p w14:paraId="3D6CB083">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4.2本招标项目合同计价方式为：</w:t>
      </w:r>
      <w:r>
        <w:rPr>
          <w:rFonts w:hint="eastAsia" w:ascii="宋体" w:hAnsi="宋体" w:cs="宋体"/>
          <w:color w:val="auto"/>
          <w:sz w:val="24"/>
          <w:szCs w:val="24"/>
          <w:highlight w:val="none"/>
          <w:u w:val="single"/>
        </w:rPr>
        <w:t>总价合同</w:t>
      </w:r>
      <w:r>
        <w:rPr>
          <w:rFonts w:hint="eastAsia" w:ascii="宋体" w:hAnsi="宋体" w:cs="宋体"/>
          <w:color w:val="auto"/>
          <w:sz w:val="24"/>
          <w:szCs w:val="24"/>
          <w:highlight w:val="none"/>
        </w:rPr>
        <w:t>。</w:t>
      </w:r>
    </w:p>
    <w:p w14:paraId="0DBC581A">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4.3合同的标的、质量、履行期限条款和合同的价款、单价、比例条款等主要条款，应当与招标文件、中标人的投标文件的内容一致。中标人在签订合同时不得向招标人提出附加条件。</w:t>
      </w:r>
    </w:p>
    <w:p w14:paraId="0D8C8E01">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4.4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4306473">
      <w:pPr>
        <w:adjustRightInd w:val="0"/>
        <w:snapToGrid w:val="0"/>
        <w:spacing w:line="360" w:lineRule="auto"/>
        <w:ind w:firstLine="560"/>
        <w:rPr>
          <w:rFonts w:hint="eastAsia" w:ascii="宋体" w:hAnsi="宋体" w:cs="宋体"/>
          <w:color w:val="auto"/>
          <w:highlight w:val="none"/>
        </w:rPr>
      </w:pPr>
      <w:r>
        <w:rPr>
          <w:rFonts w:hint="eastAsia" w:ascii="宋体" w:hAnsi="宋体" w:cs="宋体"/>
          <w:color w:val="auto"/>
          <w:sz w:val="24"/>
          <w:szCs w:val="24"/>
          <w:highlight w:val="none"/>
        </w:rPr>
        <w:t>4.5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2F8A7070">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2" w:name="_Toc20562"/>
      <w:r>
        <w:rPr>
          <w:rFonts w:hint="eastAsia" w:ascii="宋体" w:hAnsi="宋体" w:cs="宋体"/>
          <w:b/>
          <w:snapToGrid w:val="0"/>
          <w:color w:val="auto"/>
          <w:sz w:val="24"/>
          <w:highlight w:val="none"/>
        </w:rPr>
        <w:t>5.放弃中标的处理</w:t>
      </w:r>
      <w:bookmarkEnd w:id="252"/>
    </w:p>
    <w:p w14:paraId="6D08384D">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5.1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6F64C3FA">
      <w:pPr>
        <w:adjustRightInd w:val="0"/>
        <w:snapToGrid w:val="0"/>
        <w:spacing w:line="360" w:lineRule="auto"/>
        <w:ind w:firstLine="560"/>
        <w:rPr>
          <w:rFonts w:hint="eastAsia" w:ascii="宋体" w:hAnsi="宋体" w:cs="宋体"/>
          <w:color w:val="auto"/>
          <w:highlight w:val="none"/>
        </w:rPr>
      </w:pPr>
      <w:r>
        <w:rPr>
          <w:rFonts w:hint="eastAsia" w:ascii="宋体" w:hAnsi="宋体" w:cs="宋体"/>
          <w:bCs/>
          <w:color w:val="auto"/>
          <w:sz w:val="24"/>
          <w:szCs w:val="24"/>
          <w:highlight w:val="none"/>
        </w:rPr>
        <w:t>5.2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bookmarkEnd w:id="1"/>
    <w:bookmarkEnd w:id="248"/>
    <w:p w14:paraId="07BF3E24">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3" w:name="_Toc5762"/>
      <w:bookmarkStart w:id="254" w:name="_Toc144"/>
      <w:bookmarkStart w:id="255" w:name="_Toc28264"/>
      <w:bookmarkStart w:id="256" w:name="_Toc466640610"/>
      <w:r>
        <w:rPr>
          <w:rFonts w:hint="eastAsia" w:ascii="宋体" w:hAnsi="宋体" w:cs="宋体"/>
          <w:b/>
          <w:snapToGrid w:val="0"/>
          <w:color w:val="auto"/>
          <w:sz w:val="24"/>
          <w:highlight w:val="none"/>
        </w:rPr>
        <w:t>6</w:t>
      </w:r>
      <w:bookmarkEnd w:id="253"/>
      <w:r>
        <w:rPr>
          <w:rFonts w:hint="eastAsia" w:ascii="宋体" w:hAnsi="宋体" w:cs="宋体"/>
          <w:b/>
          <w:snapToGrid w:val="0"/>
          <w:color w:val="auto"/>
          <w:sz w:val="24"/>
          <w:highlight w:val="none"/>
        </w:rPr>
        <w:t>.诚信登记</w:t>
      </w:r>
      <w:bookmarkEnd w:id="254"/>
    </w:p>
    <w:p w14:paraId="4EBFA958">
      <w:pPr>
        <w:wordWrap w:val="0"/>
        <w:snapToGrid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p>
    <w:p w14:paraId="29D06CA3">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7" w:name="_Toc4627"/>
      <w:r>
        <w:rPr>
          <w:rFonts w:hint="eastAsia" w:ascii="宋体" w:hAnsi="宋体" w:cs="宋体"/>
          <w:b/>
          <w:snapToGrid w:val="0"/>
          <w:color w:val="auto"/>
          <w:sz w:val="24"/>
          <w:highlight w:val="none"/>
        </w:rPr>
        <w:t>7.项目管理机构</w:t>
      </w:r>
      <w:bookmarkEnd w:id="257"/>
    </w:p>
    <w:p w14:paraId="3BE4709F">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7.1承包人派驻的项目管理班子成员必须为其投标文件确定的人员，否则发包人有权终止合同。</w:t>
      </w:r>
    </w:p>
    <w:p w14:paraId="45C16192">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7.2项目管理班子成员不得擅自变更。其中，投标文件确定的设计负责人除发生下列情形之一外，不得更换：</w:t>
      </w:r>
    </w:p>
    <w:p w14:paraId="26C907C4">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（一）因重病或重伤（持有县、区以上医院证明）两个月以上不能履行职责的；</w:t>
      </w:r>
    </w:p>
    <w:p w14:paraId="093BA8FF">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（二）调离原工作单位的；</w:t>
      </w:r>
    </w:p>
    <w:p w14:paraId="50CEFA5B">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（三）无能力履行合同的责任和义务，造成严重后果，建设单位要求更换的；</w:t>
      </w:r>
    </w:p>
    <w:p w14:paraId="2F6745FC">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（四）因违法被责令停止执业的；</w:t>
      </w:r>
    </w:p>
    <w:p w14:paraId="27F48E9E">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（五）因犯罪被羁押或判刑的；</w:t>
      </w:r>
    </w:p>
    <w:p w14:paraId="6C101478">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（六）死亡。</w:t>
      </w:r>
    </w:p>
    <w:p w14:paraId="3FEE2DF7">
      <w:pPr>
        <w:adjustRightInd w:val="0"/>
        <w:snapToGrid w:val="0"/>
        <w:spacing w:line="360" w:lineRule="auto"/>
        <w:ind w:firstLine="560"/>
        <w:rPr>
          <w:rFonts w:hint="eastAsia" w:ascii="宋体" w:hAnsi="宋体" w:cs="宋体"/>
          <w:snapToGrid w:val="0"/>
          <w:color w:val="auto"/>
          <w:kern w:val="0"/>
          <w:szCs w:val="24"/>
          <w:highlight w:val="none"/>
        </w:rPr>
      </w:pPr>
      <w:r>
        <w:rPr>
          <w:rFonts w:hint="eastAsia" w:ascii="宋体" w:hAnsi="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2F6625A3">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8" w:name="_Toc31686"/>
      <w:bookmarkStart w:id="259" w:name="_Toc12700"/>
      <w:r>
        <w:rPr>
          <w:rFonts w:hint="eastAsia" w:ascii="宋体" w:hAnsi="宋体" w:cs="宋体"/>
          <w:b/>
          <w:snapToGrid w:val="0"/>
          <w:color w:val="auto"/>
          <w:sz w:val="24"/>
          <w:highlight w:val="none"/>
        </w:rPr>
        <w:t>8.监督实施</w:t>
      </w:r>
      <w:bookmarkEnd w:id="258"/>
      <w:bookmarkEnd w:id="259"/>
    </w:p>
    <w:p w14:paraId="7CBEADEF">
      <w:pPr>
        <w:pStyle w:val="32"/>
        <w:spacing w:line="360" w:lineRule="auto"/>
        <w:ind w:firstLine="480" w:firstLineChars="200"/>
        <w:jc w:val="both"/>
        <w:rPr>
          <w:rFonts w:hint="eastAsia" w:ascii="宋体" w:hAnsi="宋体" w:cs="宋体"/>
          <w:bCs/>
          <w:snapToGrid w:val="0"/>
          <w:color w:val="auto"/>
          <w:kern w:val="0"/>
          <w:highlight w:val="none"/>
        </w:rPr>
      </w:pPr>
      <w:r>
        <w:rPr>
          <w:rFonts w:hint="eastAsia" w:ascii="宋体" w:hAnsi="宋体" w:cs="宋体"/>
          <w:b w:val="0"/>
          <w:bCs/>
          <w:color w:val="auto"/>
          <w:sz w:val="24"/>
          <w:highlight w:val="none"/>
        </w:rPr>
        <w:t>承包人须服从发包人对工程质量、进度、成本的全方位的监督，项目资料应及时报送招标人审查备案。</w:t>
      </w:r>
    </w:p>
    <w:p w14:paraId="3A23B438">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0" w:name="_Toc5420"/>
      <w:bookmarkStart w:id="261" w:name="_Toc14276"/>
      <w:r>
        <w:rPr>
          <w:rFonts w:hint="eastAsia" w:ascii="宋体" w:hAnsi="宋体" w:cs="宋体"/>
          <w:b/>
          <w:snapToGrid w:val="0"/>
          <w:color w:val="auto"/>
          <w:sz w:val="24"/>
          <w:highlight w:val="none"/>
        </w:rPr>
        <w:t>9.其他事项</w:t>
      </w:r>
      <w:bookmarkEnd w:id="260"/>
      <w:bookmarkEnd w:id="261"/>
    </w:p>
    <w:p w14:paraId="06C58EB5">
      <w:pPr>
        <w:pStyle w:val="32"/>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9.1中标人须在收到中标通知书之日两天内向招标人提交各阶段详细的工期计划承诺书。</w:t>
      </w:r>
    </w:p>
    <w:p w14:paraId="6400585E">
      <w:pPr>
        <w:pStyle w:val="32"/>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9.2签订合同后，中标人的法人代表或其授权委托人、项目设计负责人须参加招标人组织的廉政谈话。</w:t>
      </w:r>
    </w:p>
    <w:p w14:paraId="7C4B0B33">
      <w:pPr>
        <w:pStyle w:val="32"/>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9.3本项目各个阶段的设计成果必须经招标人及有关审批部门同意后方可进行下一工序的设计工作，设计工程中，中标人需对接市自然资源局、市交通局、市公安局及市政各职能部门了解相关设施的设计要求（如道路、给水、管网等），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应予以顺延，招标人不再支付由此而增加的设计费。</w:t>
      </w:r>
    </w:p>
    <w:p w14:paraId="65F9A9CC">
      <w:pPr>
        <w:pStyle w:val="32"/>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9.4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设计工期应予以顺延，招标人不再支付由此而增加的设计费用。</w:t>
      </w:r>
    </w:p>
    <w:p w14:paraId="35F3E422">
      <w:pPr>
        <w:pStyle w:val="32"/>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9.5设计人必须严格按有关设计规范设计图纸，设计人须秉承合理、经济、环保、适用等原则进行施工图设计，发包人有权委托第三方对设计人每阶段的设计成果文件（含节能、结构计算模型等）进行精细化审图、各专业优化工作，发包人将根据第三方出具的有关报告及优化金额，以优化金额的10%从设计费用中扣取违约金（违约金总额以设计费为限，扣取的违约金作为第三方的咨询费），设计人需无条件根据经发包人确认的精细化审图、结构优化报告进行设计文件修改，费用不另计；如设计人成果的建安投资与优化金额（各分项工程进行对比）误差率在3%范围内（含3%），不作处罚。</w:t>
      </w:r>
    </w:p>
    <w:p w14:paraId="6883AAD7">
      <w:pPr>
        <w:rPr>
          <w:rFonts w:hint="eastAsia" w:ascii="宋体" w:hAnsi="宋体" w:cs="宋体"/>
          <w:snapToGrid w:val="0"/>
          <w:color w:val="auto"/>
          <w:kern w:val="0"/>
          <w:sz w:val="24"/>
          <w:highlight w:val="none"/>
        </w:rPr>
      </w:pPr>
    </w:p>
    <w:p w14:paraId="1E3DE6AE">
      <w:pPr>
        <w:rPr>
          <w:rFonts w:hint="eastAsia" w:ascii="宋体" w:hAnsi="宋体" w:cs="宋体"/>
          <w:snapToGrid w:val="0"/>
          <w:color w:val="auto"/>
          <w:kern w:val="0"/>
          <w:sz w:val="24"/>
          <w:highlight w:val="none"/>
        </w:rPr>
      </w:pPr>
    </w:p>
    <w:p w14:paraId="47C75C41">
      <w:pPr>
        <w:rPr>
          <w:rFonts w:hint="eastAsia" w:ascii="宋体" w:hAnsi="宋体" w:cs="宋体"/>
          <w:snapToGrid w:val="0"/>
          <w:color w:val="auto"/>
          <w:kern w:val="0"/>
          <w:sz w:val="24"/>
          <w:highlight w:val="none"/>
        </w:rPr>
      </w:pPr>
    </w:p>
    <w:p w14:paraId="462B088C">
      <w:pPr>
        <w:rPr>
          <w:rFonts w:hint="eastAsia" w:ascii="宋体" w:hAnsi="宋体" w:cs="宋体"/>
          <w:snapToGrid w:val="0"/>
          <w:color w:val="auto"/>
          <w:kern w:val="0"/>
          <w:sz w:val="24"/>
          <w:highlight w:val="none"/>
        </w:rPr>
      </w:pPr>
    </w:p>
    <w:p w14:paraId="7BF3C204">
      <w:pPr>
        <w:rPr>
          <w:rFonts w:hint="eastAsia" w:ascii="宋体" w:hAnsi="宋体" w:cs="宋体"/>
          <w:snapToGrid w:val="0"/>
          <w:color w:val="auto"/>
          <w:kern w:val="0"/>
          <w:sz w:val="24"/>
          <w:highlight w:val="none"/>
        </w:rPr>
      </w:pPr>
    </w:p>
    <w:p w14:paraId="51670784">
      <w:pPr>
        <w:rPr>
          <w:rFonts w:hint="eastAsia" w:ascii="宋体" w:hAnsi="宋体" w:cs="宋体"/>
          <w:snapToGrid w:val="0"/>
          <w:color w:val="auto"/>
          <w:kern w:val="0"/>
          <w:sz w:val="24"/>
          <w:highlight w:val="none"/>
        </w:rPr>
      </w:pPr>
    </w:p>
    <w:p w14:paraId="78983ABA">
      <w:pPr>
        <w:pStyle w:val="32"/>
        <w:spacing w:line="360" w:lineRule="auto"/>
        <w:ind w:firstLine="482" w:firstLineChars="200"/>
        <w:outlineLvl w:val="0"/>
        <w:rPr>
          <w:rFonts w:hint="eastAsia" w:ascii="宋体" w:hAnsi="宋体" w:cs="宋体"/>
          <w:b w:val="0"/>
          <w:color w:val="auto"/>
          <w:kern w:val="44"/>
          <w:sz w:val="30"/>
          <w:szCs w:val="30"/>
          <w:highlight w:val="none"/>
        </w:rPr>
      </w:pPr>
      <w:bookmarkStart w:id="262" w:name="_Toc192"/>
      <w:bookmarkStart w:id="263" w:name="_Toc29162"/>
      <w:r>
        <w:rPr>
          <w:rFonts w:hint="eastAsia" w:ascii="宋体" w:hAnsi="宋体" w:cs="宋体"/>
          <w:snapToGrid w:val="0"/>
          <w:color w:val="auto"/>
          <w:kern w:val="0"/>
          <w:sz w:val="24"/>
          <w:highlight w:val="none"/>
        </w:rPr>
        <w:t>第四章</w:t>
      </w:r>
      <w:bookmarkEnd w:id="255"/>
      <w:bookmarkEnd w:id="256"/>
      <w:r>
        <w:rPr>
          <w:rFonts w:hint="eastAsia" w:ascii="宋体" w:hAnsi="宋体" w:cs="宋体"/>
          <w:snapToGrid w:val="0"/>
          <w:color w:val="auto"/>
          <w:kern w:val="0"/>
          <w:sz w:val="24"/>
          <w:highlight w:val="none"/>
        </w:rPr>
        <w:t xml:space="preserve">   招标项目的设计要求</w:t>
      </w:r>
      <w:bookmarkEnd w:id="262"/>
      <w:bookmarkEnd w:id="263"/>
    </w:p>
    <w:p w14:paraId="0311E15E">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4" w:name="_Hlt69359335"/>
      <w:bookmarkEnd w:id="264"/>
      <w:bookmarkStart w:id="265" w:name="_Hlt68774758"/>
      <w:bookmarkEnd w:id="265"/>
      <w:bookmarkStart w:id="266" w:name="_Hlt80411122"/>
      <w:bookmarkEnd w:id="266"/>
      <w:bookmarkStart w:id="267" w:name="_Hlt87793370"/>
      <w:bookmarkEnd w:id="267"/>
      <w:bookmarkStart w:id="268" w:name="_Hlt69265216"/>
      <w:bookmarkEnd w:id="268"/>
      <w:bookmarkStart w:id="269" w:name="_Hlt66104926"/>
      <w:bookmarkEnd w:id="269"/>
      <w:bookmarkStart w:id="270" w:name="_Hlt69358207"/>
      <w:bookmarkEnd w:id="270"/>
      <w:bookmarkStart w:id="271" w:name="_Hlt75685840"/>
      <w:bookmarkEnd w:id="271"/>
      <w:bookmarkStart w:id="272" w:name="_Hlt69116854"/>
      <w:bookmarkEnd w:id="272"/>
      <w:bookmarkStart w:id="273" w:name="_Hlt87793346"/>
      <w:bookmarkEnd w:id="273"/>
      <w:bookmarkStart w:id="274" w:name="_Hlt69357851"/>
      <w:bookmarkEnd w:id="274"/>
      <w:bookmarkStart w:id="275" w:name="_Toc22720"/>
      <w:bookmarkStart w:id="276" w:name="_Toc7059"/>
      <w:bookmarkStart w:id="277" w:name="_Toc15165"/>
      <w:bookmarkStart w:id="278" w:name="_Toc27527"/>
      <w:bookmarkStart w:id="279" w:name="_Toc27055"/>
      <w:bookmarkStart w:id="280" w:name="_Toc4029"/>
      <w:bookmarkStart w:id="281" w:name="_Toc9294"/>
      <w:bookmarkStart w:id="282" w:name="_Toc15661"/>
      <w:bookmarkStart w:id="283" w:name="_Toc466640612"/>
      <w:r>
        <w:rPr>
          <w:rFonts w:hint="eastAsia" w:ascii="宋体" w:hAnsi="宋体" w:cs="宋体"/>
          <w:b/>
          <w:snapToGrid w:val="0"/>
          <w:color w:val="auto"/>
          <w:sz w:val="24"/>
          <w:highlight w:val="none"/>
        </w:rPr>
        <w:t>1.工程的技术要求</w:t>
      </w:r>
      <w:bookmarkEnd w:id="275"/>
      <w:bookmarkEnd w:id="276"/>
      <w:bookmarkEnd w:id="277"/>
      <w:bookmarkEnd w:id="278"/>
      <w:bookmarkEnd w:id="279"/>
      <w:bookmarkEnd w:id="280"/>
      <w:bookmarkEnd w:id="281"/>
      <w:bookmarkEnd w:id="282"/>
    </w:p>
    <w:p w14:paraId="5FFF86EC">
      <w:pPr>
        <w:wordWrap w:val="0"/>
        <w:adjustRightInd w:val="0"/>
        <w:snapToGrid w:val="0"/>
        <w:spacing w:line="360" w:lineRule="auto"/>
        <w:ind w:firstLine="480" w:firstLineChars="200"/>
        <w:rPr>
          <w:rFonts w:hint="eastAsia" w:ascii="宋体" w:hAnsi="宋体" w:cs="宋体"/>
          <w:color w:val="auto"/>
          <w:sz w:val="24"/>
          <w:szCs w:val="24"/>
          <w:highlight w:val="none"/>
        </w:rPr>
      </w:pPr>
      <w:bookmarkStart w:id="284" w:name="_Toc16151"/>
      <w:r>
        <w:rPr>
          <w:rFonts w:hint="eastAsia" w:ascii="宋体" w:hAnsi="宋体" w:cs="宋体"/>
          <w:color w:val="auto"/>
          <w:sz w:val="24"/>
          <w:szCs w:val="24"/>
          <w:highlight w:val="none"/>
        </w:rPr>
        <w:t>一、工程设计标准规范</w:t>
      </w:r>
      <w:bookmarkEnd w:id="284"/>
    </w:p>
    <w:p w14:paraId="68E7F948">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w:t>
      </w:r>
      <w:r>
        <w:rPr>
          <w:rFonts w:hint="eastAsia" w:ascii="宋体" w:hAnsi="宋体" w:cs="宋体"/>
          <w:color w:val="auto"/>
          <w:sz w:val="24"/>
          <w:szCs w:val="24"/>
          <w:highlight w:val="none"/>
        </w:rPr>
        <w:t>《建筑工程设计文件编制深度的规定》(2016版)</w:t>
      </w:r>
      <w:r>
        <w:rPr>
          <w:rFonts w:hint="eastAsia" w:ascii="宋体" w:hAnsi="宋体" w:cs="宋体"/>
          <w:bCs/>
          <w:snapToGrid w:val="0"/>
          <w:color w:val="auto"/>
          <w:kern w:val="0"/>
          <w:sz w:val="24"/>
          <w:szCs w:val="24"/>
          <w:highlight w:val="none"/>
        </w:rPr>
        <w:t>；</w:t>
      </w:r>
    </w:p>
    <w:p w14:paraId="26531F11">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color w:val="auto"/>
          <w:sz w:val="24"/>
          <w:szCs w:val="24"/>
          <w:highlight w:val="none"/>
        </w:rPr>
        <w:t>《韶关市城乡规划管理技术规定》</w:t>
      </w:r>
      <w:r>
        <w:rPr>
          <w:rFonts w:hint="eastAsia" w:ascii="宋体" w:hAnsi="宋体" w:cs="宋体"/>
          <w:bCs/>
          <w:snapToGrid w:val="0"/>
          <w:color w:val="auto"/>
          <w:kern w:val="0"/>
          <w:sz w:val="24"/>
          <w:szCs w:val="24"/>
          <w:highlight w:val="none"/>
        </w:rPr>
        <w:t>；</w:t>
      </w:r>
    </w:p>
    <w:p w14:paraId="5DDB95D5">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color w:val="auto"/>
          <w:sz w:val="24"/>
          <w:szCs w:val="24"/>
          <w:highlight w:val="none"/>
        </w:rPr>
        <w:t>《民用建筑设计统一标准》（GB50352-2019）</w:t>
      </w:r>
      <w:r>
        <w:rPr>
          <w:rFonts w:hint="eastAsia" w:ascii="宋体" w:hAnsi="宋体" w:cs="宋体"/>
          <w:bCs/>
          <w:snapToGrid w:val="0"/>
          <w:color w:val="auto"/>
          <w:kern w:val="0"/>
          <w:sz w:val="24"/>
          <w:szCs w:val="24"/>
          <w:highlight w:val="none"/>
        </w:rPr>
        <w:t>；</w:t>
      </w:r>
    </w:p>
    <w:p w14:paraId="4C0FF13B">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w:t>
      </w:r>
      <w:r>
        <w:rPr>
          <w:rFonts w:hint="eastAsia" w:ascii="宋体" w:hAnsi="宋体" w:cs="宋体"/>
          <w:color w:val="auto"/>
          <w:sz w:val="24"/>
          <w:szCs w:val="24"/>
          <w:highlight w:val="none"/>
        </w:rPr>
        <w:t>《公共建筑节能设计标准》（GB50189-2015）</w:t>
      </w:r>
      <w:r>
        <w:rPr>
          <w:rFonts w:hint="eastAsia" w:ascii="宋体" w:hAnsi="宋体" w:cs="宋体"/>
          <w:bCs/>
          <w:snapToGrid w:val="0"/>
          <w:color w:val="auto"/>
          <w:kern w:val="0"/>
          <w:sz w:val="24"/>
          <w:szCs w:val="24"/>
          <w:highlight w:val="none"/>
        </w:rPr>
        <w:t>；</w:t>
      </w:r>
    </w:p>
    <w:p w14:paraId="1AA6510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（5）</w:t>
      </w:r>
      <w:r>
        <w:rPr>
          <w:rFonts w:hint="eastAsia" w:ascii="宋体" w:hAnsi="宋体" w:cs="宋体"/>
          <w:color w:val="auto"/>
          <w:sz w:val="24"/>
          <w:szCs w:val="24"/>
          <w:highlight w:val="none"/>
        </w:rPr>
        <w:t>《绿色建筑评价标准》（GB/T50378-2019）</w:t>
      </w:r>
      <w:r>
        <w:rPr>
          <w:rFonts w:hint="eastAsia" w:ascii="宋体" w:hAnsi="宋体" w:cs="宋体"/>
          <w:bCs/>
          <w:snapToGrid w:val="0"/>
          <w:color w:val="auto"/>
          <w:kern w:val="0"/>
          <w:sz w:val="24"/>
          <w:szCs w:val="24"/>
          <w:highlight w:val="none"/>
        </w:rPr>
        <w:t>；</w:t>
      </w:r>
    </w:p>
    <w:p w14:paraId="797E74C4">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color w:val="auto"/>
          <w:highlight w:val="none"/>
        </w:rPr>
        <w:fldChar w:fldCharType="begin"/>
      </w:r>
      <w:r>
        <w:rPr>
          <w:color w:val="auto"/>
          <w:highlight w:val="none"/>
        </w:rPr>
        <w:instrText xml:space="preserve"> HYPERLINK "https://www.baidu.com/link?url=Pm3dYkop3CfxyO-b2Y5rWbm-Y1t9awpWBLaxLcS49H31SWdBv9GoohG3Mw_CiOK-ROyLG_ggCa4FaObnDIqYjC1BZOE6oUHJ_CHTvOy1xa3&amp;amp;wd&amp;amp;eqid=f695b4d900003019000000065811b941" \h </w:instrText>
      </w:r>
      <w:r>
        <w:rPr>
          <w:color w:val="auto"/>
          <w:highlight w:val="none"/>
        </w:rPr>
        <w:fldChar w:fldCharType="separate"/>
      </w:r>
      <w:r>
        <w:rPr>
          <w:rFonts w:hint="eastAsia" w:ascii="宋体" w:hAnsi="宋体" w:cs="宋体"/>
          <w:color w:val="auto"/>
          <w:sz w:val="24"/>
          <w:szCs w:val="24"/>
          <w:highlight w:val="none"/>
        </w:rPr>
        <w:t>《民用建筑热工设计规范》(GB50176-2016)</w:t>
      </w:r>
      <w:r>
        <w:rPr>
          <w:rFonts w:hint="eastAsia" w:ascii="宋体" w:hAnsi="宋体" w:cs="宋体"/>
          <w:color w:val="auto"/>
          <w:sz w:val="24"/>
          <w:szCs w:val="24"/>
          <w:highlight w:val="none"/>
        </w:rPr>
        <w:fldChar w:fldCharType="end"/>
      </w:r>
      <w:r>
        <w:rPr>
          <w:rFonts w:hint="eastAsia" w:ascii="宋体" w:hAnsi="宋体" w:cs="宋体"/>
          <w:bCs/>
          <w:snapToGrid w:val="0"/>
          <w:color w:val="auto"/>
          <w:kern w:val="0"/>
          <w:sz w:val="24"/>
          <w:szCs w:val="24"/>
          <w:highlight w:val="none"/>
        </w:rPr>
        <w:t>；</w:t>
      </w:r>
    </w:p>
    <w:p w14:paraId="03528881">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（7）</w:t>
      </w:r>
      <w:r>
        <w:rPr>
          <w:rFonts w:hint="eastAsia" w:ascii="宋体" w:hAnsi="宋体" w:cs="宋体"/>
          <w:color w:val="auto"/>
          <w:sz w:val="24"/>
          <w:szCs w:val="24"/>
          <w:highlight w:val="none"/>
        </w:rPr>
        <w:t>《建筑设计防火规范》（GB50016-2014,2018年版）</w:t>
      </w:r>
      <w:r>
        <w:rPr>
          <w:rFonts w:hint="eastAsia" w:ascii="宋体" w:hAnsi="宋体" w:cs="宋体"/>
          <w:bCs/>
          <w:snapToGrid w:val="0"/>
          <w:color w:val="auto"/>
          <w:kern w:val="0"/>
          <w:sz w:val="24"/>
          <w:szCs w:val="24"/>
          <w:highlight w:val="none"/>
        </w:rPr>
        <w:t>；</w:t>
      </w:r>
    </w:p>
    <w:p w14:paraId="104B75BD">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（8）《城镇给水排水技术规范》（GB50788-2012）；</w:t>
      </w:r>
    </w:p>
    <w:p w14:paraId="39F081F8">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（9）《室外排水设计标准》（GB50014-2021）；</w:t>
      </w:r>
    </w:p>
    <w:p w14:paraId="5AB6DB5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（10）《城市排水工程规划规范》(GB50318-2017)；</w:t>
      </w:r>
    </w:p>
    <w:p w14:paraId="34086C3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（11）</w:t>
      </w:r>
      <w:r>
        <w:rPr>
          <w:rFonts w:hint="eastAsia" w:ascii="宋体" w:hAnsi="宋体" w:cs="宋体"/>
          <w:color w:val="auto"/>
          <w:sz w:val="24"/>
          <w:szCs w:val="24"/>
          <w:highlight w:val="none"/>
        </w:rPr>
        <w:t>《屋面工程技术规范》（GB50345-2012）</w:t>
      </w:r>
      <w:r>
        <w:rPr>
          <w:rFonts w:hint="eastAsia" w:ascii="宋体" w:hAnsi="宋体" w:cs="宋体"/>
          <w:bCs/>
          <w:snapToGrid w:val="0"/>
          <w:color w:val="auto"/>
          <w:kern w:val="0"/>
          <w:sz w:val="24"/>
          <w:szCs w:val="24"/>
          <w:highlight w:val="none"/>
        </w:rPr>
        <w:t>；</w:t>
      </w:r>
    </w:p>
    <w:p w14:paraId="422B95BA">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（12）</w:t>
      </w:r>
      <w:r>
        <w:rPr>
          <w:rFonts w:hint="eastAsia" w:ascii="宋体" w:hAnsi="宋体" w:cs="宋体"/>
          <w:color w:val="auto"/>
          <w:sz w:val="24"/>
          <w:szCs w:val="24"/>
          <w:highlight w:val="none"/>
        </w:rPr>
        <w:t>《无障碍设计规范》（GB50763-2012）；</w:t>
      </w:r>
    </w:p>
    <w:p w14:paraId="1D1BD91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（13）《城市道路照明设计标准》（CJJ45-2015）；</w:t>
      </w:r>
    </w:p>
    <w:p w14:paraId="50630225">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（14）《给水排水管道工程施工及验收规范》（GB50268-2008）；</w:t>
      </w:r>
    </w:p>
    <w:p w14:paraId="01561C4A">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（15）《城市道路照明工程施工及验收规程》（CJJ89-2012）；</w:t>
      </w:r>
    </w:p>
    <w:p w14:paraId="5F87E40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（16）《工程建设标准强制性条文》；</w:t>
      </w:r>
    </w:p>
    <w:p w14:paraId="7B42B8C7">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（17）《公共建筑节能设计标准》(GB50189-2015)；</w:t>
      </w:r>
    </w:p>
    <w:p w14:paraId="49B79B5C">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（18）</w:t>
      </w:r>
      <w:r>
        <w:rPr>
          <w:rFonts w:hint="eastAsia" w:ascii="宋体" w:hAnsi="宋体" w:cs="宋体"/>
          <w:color w:val="auto"/>
          <w:sz w:val="24"/>
          <w:szCs w:val="24"/>
          <w:highlight w:val="none"/>
        </w:rPr>
        <w:t>《建筑工程抗震设防分类标准》(GB500223-2008)</w:t>
      </w:r>
      <w:r>
        <w:rPr>
          <w:rFonts w:hint="eastAsia" w:ascii="宋体" w:hAnsi="宋体" w:cs="宋体"/>
          <w:bCs/>
          <w:snapToGrid w:val="0"/>
          <w:color w:val="auto"/>
          <w:kern w:val="0"/>
          <w:sz w:val="24"/>
          <w:szCs w:val="24"/>
          <w:highlight w:val="none"/>
        </w:rPr>
        <w:t>；</w:t>
      </w:r>
    </w:p>
    <w:p w14:paraId="23CFF60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（19）</w:t>
      </w:r>
      <w:r>
        <w:rPr>
          <w:rFonts w:hint="eastAsia" w:ascii="宋体" w:hAnsi="宋体" w:cs="宋体"/>
          <w:color w:val="auto"/>
          <w:sz w:val="24"/>
          <w:szCs w:val="24"/>
          <w:highlight w:val="none"/>
        </w:rPr>
        <w:t>《建筑地面设计规范》(GB50037-2013)</w:t>
      </w:r>
      <w:r>
        <w:rPr>
          <w:rFonts w:hint="eastAsia" w:ascii="宋体" w:hAnsi="宋体" w:cs="宋体"/>
          <w:bCs/>
          <w:snapToGrid w:val="0"/>
          <w:color w:val="auto"/>
          <w:kern w:val="0"/>
          <w:sz w:val="24"/>
          <w:szCs w:val="24"/>
          <w:highlight w:val="none"/>
        </w:rPr>
        <w:t>；</w:t>
      </w:r>
    </w:p>
    <w:p w14:paraId="7C1D7F8B">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（20）</w:t>
      </w:r>
      <w:r>
        <w:rPr>
          <w:rFonts w:hint="eastAsia" w:ascii="宋体" w:hAnsi="宋体" w:cs="宋体"/>
          <w:color w:val="auto"/>
          <w:sz w:val="24"/>
          <w:szCs w:val="24"/>
          <w:highlight w:val="none"/>
        </w:rPr>
        <w:t>《建筑采光设计标准》(GB50033-2013)；</w:t>
      </w:r>
    </w:p>
    <w:p w14:paraId="12B2E904">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（21）其他现行国家、广东省关于建筑工程的技术及验收规范、定额、规程、标准。</w:t>
      </w:r>
    </w:p>
    <w:p w14:paraId="74A1F91E">
      <w:pPr>
        <w:pStyle w:val="3"/>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85" w:name="_Toc5215"/>
      <w:r>
        <w:rPr>
          <w:rFonts w:hint="eastAsia" w:ascii="宋体" w:hAnsi="宋体" w:cs="宋体"/>
          <w:b/>
          <w:snapToGrid w:val="0"/>
          <w:color w:val="auto"/>
          <w:sz w:val="24"/>
          <w:highlight w:val="none"/>
        </w:rPr>
        <w:t>2.备查要求</w:t>
      </w:r>
      <w:bookmarkEnd w:id="285"/>
    </w:p>
    <w:p w14:paraId="04DEFCB9">
      <w:pPr>
        <w:wordWrap w:val="0"/>
        <w:adjustRightInd w:val="0"/>
        <w:snapToGrid w:val="0"/>
        <w:spacing w:line="360" w:lineRule="auto"/>
        <w:ind w:firstLine="560"/>
        <w:rPr>
          <w:rFonts w:hint="eastAsia" w:ascii="宋体" w:hAnsi="宋体" w:cs="宋体"/>
          <w:color w:val="auto"/>
          <w:sz w:val="24"/>
          <w:szCs w:val="28"/>
          <w:highlight w:val="none"/>
        </w:rPr>
      </w:pPr>
      <w:r>
        <w:rPr>
          <w:rFonts w:hint="eastAsia" w:ascii="宋体" w:hAnsi="宋体" w:cs="宋体"/>
          <w:color w:val="auto"/>
          <w:sz w:val="24"/>
          <w:szCs w:val="28"/>
          <w:highlight w:val="none"/>
        </w:rPr>
        <w:t>以上所列规范和标准仅供参考，中标人必须准备至少一套现行的国家和广东省的有关技术规范及现行标准，招标人和监理单位可随时检查中标人的规范和标准，并监督中标人按规范和标准要求执行。</w:t>
      </w:r>
      <w:bookmarkStart w:id="286" w:name="_Hlt69670335"/>
      <w:bookmarkEnd w:id="286"/>
    </w:p>
    <w:bookmarkEnd w:id="283"/>
    <w:p w14:paraId="5E7F2B5B">
      <w:pPr>
        <w:rPr>
          <w:rFonts w:hint="eastAsia" w:ascii="宋体" w:hAnsi="宋体" w:cs="宋体"/>
          <w:b/>
          <w:snapToGrid w:val="0"/>
          <w:color w:val="auto"/>
          <w:kern w:val="0"/>
          <w:sz w:val="24"/>
          <w:szCs w:val="24"/>
          <w:highlight w:val="none"/>
        </w:rPr>
      </w:pPr>
      <w:bookmarkStart w:id="287" w:name="_Toc651"/>
      <w:bookmarkStart w:id="288" w:name="_Hlt69698785"/>
    </w:p>
    <w:p w14:paraId="4FAF2D94">
      <w:pPr>
        <w:pStyle w:val="35"/>
        <w:jc w:val="center"/>
        <w:outlineLvl w:val="0"/>
        <w:rPr>
          <w:rFonts w:hint="eastAsia" w:ascii="宋体" w:hAnsi="宋体" w:cs="宋体"/>
          <w:b/>
          <w:snapToGrid w:val="0"/>
          <w:color w:val="auto"/>
          <w:sz w:val="24"/>
          <w:szCs w:val="24"/>
          <w:highlight w:val="none"/>
        </w:rPr>
      </w:pPr>
      <w:bookmarkStart w:id="289" w:name="_Toc21806"/>
      <w:r>
        <w:rPr>
          <w:rFonts w:hint="eastAsia" w:ascii="宋体" w:hAnsi="宋体" w:cs="宋体"/>
          <w:b/>
          <w:snapToGrid w:val="0"/>
          <w:color w:val="auto"/>
          <w:sz w:val="24"/>
          <w:szCs w:val="24"/>
          <w:highlight w:val="none"/>
        </w:rPr>
        <w:t>第五章   投标文件格式</w:t>
      </w:r>
      <w:bookmarkEnd w:id="287"/>
      <w:bookmarkEnd w:id="289"/>
    </w:p>
    <w:p w14:paraId="0E7479B5">
      <w:pPr>
        <w:pStyle w:val="3"/>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290" w:name="_Toc464768767"/>
      <w:bookmarkStart w:id="291" w:name="_Toc19464"/>
      <w:bookmarkStart w:id="292" w:name="_Toc14506"/>
      <w:bookmarkStart w:id="293" w:name="_Toc4200"/>
      <w:bookmarkStart w:id="294" w:name="_Toc71813716"/>
      <w:bookmarkStart w:id="295" w:name="_Toc71811326"/>
      <w:bookmarkStart w:id="296" w:name="_Toc14561"/>
      <w:bookmarkStart w:id="297" w:name="_Toc415171883"/>
      <w:bookmarkStart w:id="298" w:name="_Toc396982994"/>
      <w:bookmarkStart w:id="299" w:name="_Toc15295"/>
      <w:bookmarkStart w:id="300" w:name="_Toc396813629"/>
      <w:bookmarkStart w:id="301" w:name="_Toc71811193"/>
      <w:r>
        <w:rPr>
          <w:rFonts w:hint="eastAsia" w:ascii="宋体" w:hAnsi="宋体" w:cs="宋体"/>
          <w:b/>
          <w:snapToGrid w:val="0"/>
          <w:color w:val="auto"/>
          <w:sz w:val="24"/>
          <w:highlight w:val="none"/>
        </w:rPr>
        <w:t>格式一</w:t>
      </w:r>
      <w:bookmarkEnd w:id="290"/>
      <w:bookmarkEnd w:id="291"/>
      <w:bookmarkEnd w:id="292"/>
      <w:r>
        <w:rPr>
          <w:rFonts w:hint="eastAsia" w:ascii="宋体" w:hAnsi="宋体" w:cs="宋体"/>
          <w:b/>
          <w:snapToGrid w:val="0"/>
          <w:color w:val="auto"/>
          <w:sz w:val="24"/>
          <w:highlight w:val="none"/>
        </w:rPr>
        <w:t xml:space="preserve">   封面</w:t>
      </w:r>
      <w:bookmarkEnd w:id="293"/>
      <w:bookmarkEnd w:id="294"/>
      <w:bookmarkEnd w:id="295"/>
      <w:bookmarkEnd w:id="296"/>
      <w:bookmarkEnd w:id="297"/>
      <w:bookmarkEnd w:id="298"/>
      <w:bookmarkEnd w:id="299"/>
      <w:bookmarkEnd w:id="300"/>
      <w:bookmarkEnd w:id="301"/>
    </w:p>
    <w:p w14:paraId="256DE0A9">
      <w:pPr>
        <w:rPr>
          <w:rFonts w:hint="eastAsia" w:ascii="宋体" w:hAnsi="宋体" w:cs="宋体"/>
          <w:color w:val="auto"/>
          <w:highlight w:val="none"/>
        </w:rPr>
      </w:pPr>
    </w:p>
    <w:p w14:paraId="035066F3">
      <w:pPr>
        <w:rPr>
          <w:rFonts w:hint="eastAsia" w:ascii="宋体" w:hAnsi="宋体" w:cs="宋体"/>
          <w:color w:val="auto"/>
          <w:highlight w:val="none"/>
        </w:rPr>
      </w:pPr>
      <w:bookmarkStart w:id="302" w:name="_Toc32042"/>
      <w:bookmarkStart w:id="303" w:name="_Toc464768768"/>
      <w:bookmarkStart w:id="304" w:name="_Toc9423"/>
      <w:bookmarkStart w:id="305" w:name="_Toc415171884"/>
      <w:bookmarkStart w:id="306" w:name="_Toc396982995"/>
      <w:bookmarkStart w:id="307" w:name="_Toc396813630"/>
    </w:p>
    <w:p w14:paraId="3E8A2A8E">
      <w:pPr>
        <w:rPr>
          <w:rFonts w:hint="eastAsia" w:ascii="宋体" w:hAnsi="宋体" w:cs="宋体"/>
          <w:color w:val="auto"/>
          <w:highlight w:val="none"/>
        </w:rPr>
      </w:pPr>
    </w:p>
    <w:p w14:paraId="558F5EDB">
      <w:pPr>
        <w:rPr>
          <w:rFonts w:hint="eastAsia" w:ascii="宋体" w:hAnsi="宋体" w:cs="宋体"/>
          <w:color w:val="auto"/>
          <w:highlight w:val="none"/>
        </w:rPr>
      </w:pPr>
    </w:p>
    <w:p w14:paraId="7836DD29">
      <w:pPr>
        <w:pStyle w:val="36"/>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08" w:name="_Toc19515_WPSOffice_Level2"/>
      <w:bookmarkStart w:id="309" w:name="_Toc14006"/>
      <w:bookmarkStart w:id="310" w:name="_Toc10931_WPSOffice_Level2"/>
      <w:bookmarkStart w:id="311" w:name="_Toc17225"/>
      <w:bookmarkStart w:id="312" w:name="_Toc24590_WPSOffice_Level2"/>
      <w:bookmarkStart w:id="313" w:name="_Toc15910_WPSOffice_Level2"/>
      <w:bookmarkStart w:id="314" w:name="_Toc11141"/>
      <w:bookmarkStart w:id="315" w:name="_Toc14783"/>
      <w:bookmarkStart w:id="316" w:name="_Toc29993"/>
      <w:r>
        <w:rPr>
          <w:rFonts w:hint="eastAsia" w:ascii="宋体" w:hAnsi="宋体" w:eastAsia="宋体" w:cs="宋体"/>
          <w:b/>
          <w:snapToGrid w:val="0"/>
          <w:color w:val="auto"/>
          <w:sz w:val="48"/>
          <w:szCs w:val="48"/>
          <w:highlight w:val="none"/>
          <w:u w:val="single"/>
        </w:rPr>
        <w:t xml:space="preserve">   （项目名称）</w:t>
      </w:r>
      <w:bookmarkEnd w:id="308"/>
      <w:bookmarkEnd w:id="309"/>
      <w:bookmarkEnd w:id="310"/>
      <w:bookmarkEnd w:id="311"/>
      <w:bookmarkEnd w:id="312"/>
      <w:bookmarkEnd w:id="313"/>
      <w:bookmarkEnd w:id="314"/>
      <w:r>
        <w:rPr>
          <w:rFonts w:hint="eastAsia" w:ascii="宋体" w:hAnsi="宋体" w:eastAsia="宋体" w:cs="宋体"/>
          <w:b/>
          <w:snapToGrid w:val="0"/>
          <w:color w:val="auto"/>
          <w:sz w:val="48"/>
          <w:szCs w:val="48"/>
          <w:highlight w:val="none"/>
          <w:u w:val="single"/>
        </w:rPr>
        <w:t xml:space="preserve">  </w:t>
      </w:r>
      <w:bookmarkEnd w:id="315"/>
      <w:bookmarkEnd w:id="316"/>
      <w:r>
        <w:rPr>
          <w:rFonts w:hint="eastAsia" w:ascii="宋体" w:hAnsi="宋体" w:eastAsia="宋体" w:cs="宋体"/>
          <w:b/>
          <w:snapToGrid w:val="0"/>
          <w:color w:val="auto"/>
          <w:sz w:val="48"/>
          <w:szCs w:val="48"/>
          <w:highlight w:val="none"/>
        </w:rPr>
        <w:t>招标</w:t>
      </w:r>
    </w:p>
    <w:p w14:paraId="6BCF536C">
      <w:pPr>
        <w:rPr>
          <w:rFonts w:hint="eastAsia" w:ascii="宋体" w:hAnsi="宋体" w:cs="宋体"/>
          <w:color w:val="auto"/>
          <w:highlight w:val="none"/>
        </w:rPr>
      </w:pPr>
    </w:p>
    <w:p w14:paraId="0BC034DF">
      <w:pPr>
        <w:rPr>
          <w:rFonts w:hint="eastAsia" w:ascii="宋体" w:hAnsi="宋体" w:cs="宋体"/>
          <w:color w:val="auto"/>
          <w:highlight w:val="none"/>
        </w:rPr>
      </w:pPr>
    </w:p>
    <w:p w14:paraId="67B9125F">
      <w:pPr>
        <w:pStyle w:val="36"/>
        <w:widowControl w:val="0"/>
        <w:wordWrap w:val="0"/>
        <w:adjustRightInd w:val="0"/>
        <w:snapToGrid w:val="0"/>
        <w:ind w:firstLine="0"/>
        <w:jc w:val="center"/>
        <w:rPr>
          <w:rFonts w:hint="eastAsia" w:ascii="宋体" w:hAnsi="宋体" w:eastAsia="宋体" w:cs="宋体"/>
          <w:b/>
          <w:snapToGrid w:val="0"/>
          <w:color w:val="auto"/>
          <w:sz w:val="72"/>
          <w:highlight w:val="none"/>
        </w:rPr>
      </w:pPr>
      <w:bookmarkStart w:id="317" w:name="_Toc5301_WPSOffice_Level3"/>
      <w:bookmarkStart w:id="318" w:name="_Toc8798_WPSOffice_Level3"/>
      <w:r>
        <w:rPr>
          <w:rFonts w:hint="eastAsia" w:ascii="宋体" w:hAnsi="宋体" w:eastAsia="宋体" w:cs="宋体"/>
          <w:b/>
          <w:snapToGrid w:val="0"/>
          <w:color w:val="auto"/>
          <w:sz w:val="72"/>
          <w:highlight w:val="none"/>
        </w:rPr>
        <w:t>投  标  文  件</w:t>
      </w:r>
      <w:bookmarkEnd w:id="317"/>
      <w:bookmarkEnd w:id="318"/>
    </w:p>
    <w:p w14:paraId="4202ABAA">
      <w:pPr>
        <w:rPr>
          <w:rFonts w:hint="eastAsia" w:ascii="宋体" w:hAnsi="宋体" w:cs="宋体"/>
          <w:color w:val="auto"/>
          <w:highlight w:val="none"/>
        </w:rPr>
      </w:pPr>
    </w:p>
    <w:p w14:paraId="7B807AD6">
      <w:pPr>
        <w:rPr>
          <w:rFonts w:hint="eastAsia" w:ascii="宋体" w:hAnsi="宋体" w:cs="宋体"/>
          <w:color w:val="auto"/>
          <w:highlight w:val="none"/>
        </w:rPr>
      </w:pPr>
    </w:p>
    <w:p w14:paraId="0AF55B08">
      <w:pPr>
        <w:pStyle w:val="36"/>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19" w:name="_Toc8292"/>
      <w:bookmarkStart w:id="320" w:name="_Toc639_WPSOffice_Level2"/>
      <w:bookmarkStart w:id="321" w:name="_Toc23773"/>
      <w:bookmarkStart w:id="322" w:name="_Toc7210_WPSOffice_Level2"/>
      <w:bookmarkStart w:id="323" w:name="_Toc24704"/>
      <w:bookmarkStart w:id="324" w:name="_Toc6046_WPSOffice_Level2"/>
      <w:bookmarkStart w:id="325" w:name="_Toc2104"/>
      <w:bookmarkStart w:id="326" w:name="_Toc14127"/>
      <w:bookmarkStart w:id="327" w:name="_Toc18349_WPSOffice_Level2"/>
      <w:r>
        <w:rPr>
          <w:rFonts w:hint="eastAsia" w:ascii="宋体" w:hAnsi="宋体" w:eastAsia="宋体" w:cs="宋体"/>
          <w:b/>
          <w:snapToGrid w:val="0"/>
          <w:color w:val="auto"/>
          <w:sz w:val="48"/>
          <w:szCs w:val="48"/>
          <w:highlight w:val="none"/>
        </w:rPr>
        <w:t>（商务经济标书／技术标书）</w:t>
      </w:r>
      <w:bookmarkEnd w:id="319"/>
      <w:bookmarkEnd w:id="320"/>
      <w:bookmarkEnd w:id="321"/>
      <w:bookmarkEnd w:id="322"/>
      <w:bookmarkEnd w:id="323"/>
      <w:bookmarkEnd w:id="324"/>
      <w:bookmarkEnd w:id="325"/>
      <w:bookmarkEnd w:id="326"/>
      <w:bookmarkEnd w:id="327"/>
    </w:p>
    <w:p w14:paraId="01B1FBFB">
      <w:pPr>
        <w:rPr>
          <w:rFonts w:hint="eastAsia" w:ascii="宋体" w:hAnsi="宋体" w:cs="宋体"/>
          <w:color w:val="auto"/>
          <w:highlight w:val="none"/>
        </w:rPr>
      </w:pPr>
    </w:p>
    <w:p w14:paraId="241C76E5">
      <w:pPr>
        <w:rPr>
          <w:rFonts w:hint="eastAsia" w:ascii="宋体" w:hAnsi="宋体" w:cs="宋体"/>
          <w:color w:val="auto"/>
          <w:highlight w:val="none"/>
        </w:rPr>
      </w:pPr>
    </w:p>
    <w:p w14:paraId="7309F732">
      <w:pPr>
        <w:rPr>
          <w:rFonts w:hint="eastAsia" w:ascii="宋体" w:hAnsi="宋体" w:cs="宋体"/>
          <w:color w:val="auto"/>
          <w:highlight w:val="none"/>
        </w:rPr>
      </w:pPr>
    </w:p>
    <w:p w14:paraId="605D3F5C">
      <w:pPr>
        <w:rPr>
          <w:rFonts w:hint="eastAsia" w:ascii="宋体" w:hAnsi="宋体" w:cs="宋体"/>
          <w:color w:val="auto"/>
          <w:highlight w:val="none"/>
        </w:rPr>
      </w:pPr>
    </w:p>
    <w:p w14:paraId="7454928C">
      <w:pPr>
        <w:pStyle w:val="36"/>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28" w:name="_Toc695"/>
      <w:bookmarkStart w:id="329" w:name="_Toc3918_WPSOffice_Level2"/>
      <w:bookmarkStart w:id="330" w:name="_Toc10578_WPSOffice_Level2"/>
      <w:bookmarkStart w:id="331" w:name="_Toc7044"/>
      <w:bookmarkStart w:id="332" w:name="_Toc881_WPSOffice_Level2"/>
      <w:bookmarkStart w:id="333" w:name="_Toc23809"/>
      <w:bookmarkStart w:id="334" w:name="_Toc15825_WPSOffice_Level2"/>
      <w:bookmarkStart w:id="335" w:name="_Toc9798"/>
      <w:bookmarkStart w:id="336" w:name="_Toc1506"/>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328"/>
      <w:bookmarkEnd w:id="329"/>
      <w:bookmarkEnd w:id="330"/>
      <w:bookmarkEnd w:id="331"/>
      <w:bookmarkEnd w:id="332"/>
      <w:bookmarkEnd w:id="333"/>
      <w:bookmarkEnd w:id="334"/>
      <w:bookmarkEnd w:id="335"/>
      <w:bookmarkEnd w:id="336"/>
    </w:p>
    <w:p w14:paraId="6B86F4CD">
      <w:pPr>
        <w:rPr>
          <w:rFonts w:hint="eastAsia" w:ascii="宋体" w:hAnsi="宋体" w:cs="宋体"/>
          <w:color w:val="auto"/>
          <w:highlight w:val="none"/>
        </w:rPr>
      </w:pPr>
    </w:p>
    <w:p w14:paraId="336A44B3">
      <w:pPr>
        <w:rPr>
          <w:rFonts w:hint="eastAsia" w:ascii="宋体" w:hAnsi="宋体" w:cs="宋体"/>
          <w:color w:val="auto"/>
          <w:highlight w:val="none"/>
        </w:rPr>
      </w:pPr>
    </w:p>
    <w:p w14:paraId="0EDA53FB">
      <w:pPr>
        <w:pStyle w:val="36"/>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37" w:name="_Toc32628_WPSOffice_Level2"/>
      <w:bookmarkStart w:id="338" w:name="_Toc27630_WPSOffice_Level2"/>
      <w:bookmarkStart w:id="339" w:name="_Toc2370"/>
      <w:bookmarkStart w:id="340" w:name="_Toc12474"/>
      <w:bookmarkStart w:id="341" w:name="_Toc31144"/>
      <w:bookmarkStart w:id="342" w:name="_Toc27613_WPSOffice_Level2"/>
      <w:bookmarkStart w:id="343" w:name="_Toc13744_WPSOffice_Level2"/>
      <w:bookmarkStart w:id="344" w:name="_Toc29706"/>
      <w:bookmarkStart w:id="345" w:name="_Toc24086"/>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337"/>
      <w:bookmarkEnd w:id="338"/>
      <w:bookmarkEnd w:id="339"/>
      <w:bookmarkEnd w:id="340"/>
      <w:bookmarkEnd w:id="341"/>
      <w:bookmarkEnd w:id="342"/>
      <w:bookmarkEnd w:id="343"/>
      <w:bookmarkEnd w:id="344"/>
      <w:bookmarkEnd w:id="345"/>
    </w:p>
    <w:p w14:paraId="68D48C90">
      <w:pPr>
        <w:rPr>
          <w:rFonts w:hint="eastAsia" w:ascii="宋体" w:hAnsi="宋体" w:cs="宋体"/>
          <w:color w:val="auto"/>
          <w:highlight w:val="none"/>
        </w:rPr>
      </w:pPr>
    </w:p>
    <w:p w14:paraId="3D215BFC">
      <w:pPr>
        <w:rPr>
          <w:rFonts w:hint="eastAsia" w:ascii="宋体" w:hAnsi="宋体" w:cs="宋体"/>
          <w:color w:val="auto"/>
          <w:highlight w:val="none"/>
        </w:rPr>
      </w:pPr>
    </w:p>
    <w:p w14:paraId="43D2AD0F">
      <w:pPr>
        <w:pStyle w:val="36"/>
        <w:widowControl w:val="0"/>
        <w:wordWrap w:val="0"/>
        <w:adjustRightInd w:val="0"/>
        <w:snapToGrid w:val="0"/>
        <w:ind w:firstLine="0"/>
        <w:jc w:val="center"/>
        <w:rPr>
          <w:rFonts w:hint="eastAsia" w:ascii="宋体" w:hAnsi="宋体" w:eastAsia="宋体" w:cs="宋体"/>
          <w:color w:val="auto"/>
          <w:highlight w:val="none"/>
        </w:rPr>
      </w:pPr>
      <w:bookmarkStart w:id="346" w:name="_Toc25506"/>
      <w:bookmarkStart w:id="347" w:name="_Toc4261_WPSOffice_Level2"/>
      <w:bookmarkStart w:id="348" w:name="_Toc1745_WPSOffice_Level2"/>
      <w:bookmarkStart w:id="349" w:name="_Toc23570"/>
      <w:bookmarkStart w:id="350" w:name="_Toc6799"/>
      <w:bookmarkStart w:id="351" w:name="_Toc15044_WPSOffice_Level2"/>
      <w:bookmarkStart w:id="352" w:name="_Toc28423_WPSOffice_Level2"/>
      <w:bookmarkStart w:id="353" w:name="_Toc28896"/>
      <w:bookmarkStart w:id="354" w:name="_Toc7063"/>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346"/>
      <w:bookmarkEnd w:id="347"/>
      <w:bookmarkEnd w:id="348"/>
      <w:bookmarkEnd w:id="349"/>
      <w:bookmarkEnd w:id="350"/>
      <w:bookmarkEnd w:id="351"/>
      <w:bookmarkEnd w:id="352"/>
      <w:bookmarkEnd w:id="353"/>
      <w:bookmarkEnd w:id="354"/>
    </w:p>
    <w:p w14:paraId="0446027A">
      <w:pPr>
        <w:rPr>
          <w:rFonts w:hint="eastAsia" w:ascii="宋体" w:hAnsi="宋体" w:cs="宋体"/>
          <w:color w:val="auto"/>
          <w:highlight w:val="none"/>
        </w:rPr>
      </w:pPr>
      <w:bookmarkStart w:id="355" w:name="_Toc71811194"/>
      <w:bookmarkStart w:id="356" w:name="_Toc71813717"/>
      <w:bookmarkStart w:id="357" w:name="_Toc71811327"/>
      <w:bookmarkStart w:id="358" w:name="_Toc8818"/>
      <w:bookmarkStart w:id="359" w:name="_Toc18554"/>
    </w:p>
    <w:p w14:paraId="0CD9B6A0">
      <w:pPr>
        <w:rPr>
          <w:rFonts w:hint="eastAsia" w:ascii="宋体" w:hAnsi="宋体" w:cs="宋体"/>
          <w:color w:val="auto"/>
          <w:highlight w:val="none"/>
        </w:rPr>
      </w:pPr>
    </w:p>
    <w:p w14:paraId="173FC35D">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043672D9">
      <w:pPr>
        <w:pStyle w:val="3"/>
        <w:wordWrap w:val="0"/>
        <w:autoSpaceDE/>
        <w:autoSpaceDN/>
        <w:snapToGrid w:val="0"/>
        <w:spacing w:line="480" w:lineRule="auto"/>
        <w:jc w:val="both"/>
        <w:rPr>
          <w:rFonts w:hint="eastAsia" w:ascii="宋体" w:hAnsi="宋体" w:cs="宋体"/>
          <w:b/>
          <w:snapToGrid w:val="0"/>
          <w:color w:val="auto"/>
          <w:sz w:val="24"/>
          <w:highlight w:val="none"/>
        </w:rPr>
      </w:pPr>
      <w:bookmarkStart w:id="360" w:name="_Toc28857"/>
      <w:r>
        <w:rPr>
          <w:rFonts w:hint="eastAsia" w:ascii="宋体" w:hAnsi="宋体" w:cs="宋体"/>
          <w:b/>
          <w:snapToGrid w:val="0"/>
          <w:color w:val="auto"/>
          <w:sz w:val="24"/>
          <w:highlight w:val="none"/>
        </w:rPr>
        <w:t>格式二</w:t>
      </w:r>
      <w:bookmarkEnd w:id="302"/>
      <w:bookmarkEnd w:id="303"/>
      <w:bookmarkEnd w:id="304"/>
      <w:bookmarkEnd w:id="305"/>
      <w:bookmarkEnd w:id="306"/>
      <w:bookmarkEnd w:id="307"/>
      <w:bookmarkEnd w:id="355"/>
      <w:bookmarkEnd w:id="356"/>
      <w:bookmarkEnd w:id="357"/>
      <w:bookmarkEnd w:id="358"/>
      <w:r>
        <w:rPr>
          <w:rFonts w:hint="eastAsia" w:ascii="宋体" w:hAnsi="宋体" w:cs="宋体"/>
          <w:b/>
          <w:snapToGrid w:val="0"/>
          <w:color w:val="auto"/>
          <w:sz w:val="24"/>
          <w:highlight w:val="none"/>
        </w:rPr>
        <w:t xml:space="preserve">   投标函</w:t>
      </w:r>
      <w:bookmarkEnd w:id="359"/>
      <w:bookmarkEnd w:id="360"/>
    </w:p>
    <w:p w14:paraId="37E09AD1">
      <w:pPr>
        <w:wordWrap w:val="0"/>
        <w:adjustRightInd w:val="0"/>
        <w:snapToGrid w:val="0"/>
        <w:spacing w:before="260" w:after="260" w:line="440" w:lineRule="exact"/>
        <w:jc w:val="center"/>
        <w:rPr>
          <w:rFonts w:hint="eastAsia" w:ascii="宋体" w:hAnsi="宋体" w:cs="宋体"/>
          <w:color w:val="auto"/>
          <w:sz w:val="20"/>
          <w:szCs w:val="18"/>
          <w:highlight w:val="none"/>
        </w:rPr>
      </w:pPr>
      <w:r>
        <w:rPr>
          <w:rFonts w:hint="eastAsia" w:ascii="宋体" w:hAnsi="宋体" w:cs="宋体"/>
          <w:b/>
          <w:snapToGrid w:val="0"/>
          <w:color w:val="auto"/>
          <w:kern w:val="0"/>
          <w:sz w:val="28"/>
          <w:szCs w:val="18"/>
          <w:highlight w:val="none"/>
        </w:rPr>
        <w:t>投  标  函</w:t>
      </w:r>
    </w:p>
    <w:p w14:paraId="3EA00F4E">
      <w:pPr>
        <w:wordWrap w:val="0"/>
        <w:adjustRightInd w:val="0"/>
        <w:snapToGrid w:val="0"/>
        <w:spacing w:line="360" w:lineRule="auto"/>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致：</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（招标人名称）</w:t>
      </w:r>
    </w:p>
    <w:p w14:paraId="1D77F2D6">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1. 我方考察现场并充分研究</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（项目名称）（以下简称“本项目”）招标文件所有内容后，结合自身资质、能力和特点，愿意接受招标文件的全部内容和条件，愿以投标报价为人民币（大写）：</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（小写）：¥</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作为酬金，竞投承包上述工程。</w:t>
      </w:r>
    </w:p>
    <w:p w14:paraId="1DABCADE">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2.如我方中标，我方保证按合同条款、规范和附件要求，实施并完成上述工程设计。我方保证按照合同约定的开工日期开始本工程的设计任务，完成合同约定的内容，并确保设计成果文件必须通过有关部门的审查合格标准并修补其任何缺陷。</w:t>
      </w:r>
    </w:p>
    <w:p w14:paraId="6292794B">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3. 本投标函在你方接收我方递交的投标文件之日起、到招标文件规定的投标有效期期满前对我方具有约束力。我方随时准备接受你方发出的中标通知书。</w:t>
      </w:r>
    </w:p>
    <w:p w14:paraId="28441980">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4．我方在此声明，我方不存在本项目招标文件第一章第三节第2.4条“禁止投标条款”所列出的任何一种情形，并愿意承担因我方就此弄虚作假所引起的一切法律后果。</w:t>
      </w:r>
    </w:p>
    <w:p w14:paraId="57930283">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5．我方在此承诺，所递交投标文件的全部内容均为真实、有效、准确的，并愿意承担因我方就此弄虚作假所引起的一切法律后果，同时理解和同意有可能被要求提供更多的资料。</w:t>
      </w:r>
    </w:p>
    <w:p w14:paraId="3DD45294">
      <w:pPr>
        <w:spacing w:line="360" w:lineRule="auto"/>
        <w:ind w:firstLine="660" w:firstLineChars="300"/>
        <w:rPr>
          <w:rFonts w:hint="eastAsia" w:ascii="宋体" w:hAnsi="宋体" w:cs="宋体"/>
          <w:color w:val="auto"/>
          <w:sz w:val="22"/>
          <w:szCs w:val="21"/>
          <w:highlight w:val="none"/>
        </w:rPr>
      </w:pPr>
      <w:bookmarkStart w:id="361" w:name="_Hlt68771070"/>
      <w:bookmarkEnd w:id="361"/>
      <w:r>
        <w:rPr>
          <w:rFonts w:hint="eastAsia" w:ascii="宋体" w:hAnsi="宋体" w:cs="宋体"/>
          <w:snapToGrid w:val="0"/>
          <w:color w:val="auto"/>
          <w:kern w:val="0"/>
          <w:sz w:val="22"/>
          <w:szCs w:val="21"/>
          <w:highlight w:val="none"/>
        </w:rPr>
        <w:t>6. 我方理解你方不一定要接纳收到的最低投标总价或任何投标总价的投标人中标，也不要求你方解释我方是否中标的原因。</w:t>
      </w:r>
    </w:p>
    <w:p w14:paraId="1570BC54">
      <w:pPr>
        <w:rPr>
          <w:rFonts w:hint="eastAsia" w:ascii="宋体" w:hAnsi="宋体" w:cs="宋体"/>
          <w:color w:val="auto"/>
          <w:sz w:val="20"/>
          <w:szCs w:val="18"/>
          <w:highlight w:val="none"/>
        </w:rPr>
      </w:pPr>
    </w:p>
    <w:p w14:paraId="20F59DB6">
      <w:pPr>
        <w:rPr>
          <w:rFonts w:hint="eastAsia" w:ascii="宋体" w:hAnsi="宋体" w:cs="宋体"/>
          <w:color w:val="auto"/>
          <w:sz w:val="20"/>
          <w:szCs w:val="18"/>
          <w:highlight w:val="none"/>
        </w:rPr>
      </w:pPr>
    </w:p>
    <w:p w14:paraId="09B015A1">
      <w:pPr>
        <w:rPr>
          <w:rFonts w:hint="eastAsia" w:ascii="宋体" w:hAnsi="宋体" w:cs="宋体"/>
          <w:color w:val="auto"/>
          <w:sz w:val="20"/>
          <w:szCs w:val="18"/>
          <w:highlight w:val="none"/>
        </w:rPr>
      </w:pPr>
    </w:p>
    <w:p w14:paraId="433A720B">
      <w:pPr>
        <w:rPr>
          <w:rFonts w:hint="eastAsia" w:ascii="宋体" w:hAnsi="宋体" w:cs="宋体"/>
          <w:color w:val="auto"/>
          <w:sz w:val="20"/>
          <w:szCs w:val="18"/>
          <w:highlight w:val="none"/>
        </w:rPr>
      </w:pPr>
    </w:p>
    <w:p w14:paraId="3435DE72">
      <w:pPr>
        <w:rPr>
          <w:rFonts w:hint="eastAsia" w:ascii="宋体" w:hAnsi="宋体" w:cs="宋体"/>
          <w:color w:val="auto"/>
          <w:sz w:val="20"/>
          <w:szCs w:val="18"/>
          <w:highlight w:val="none"/>
        </w:rPr>
      </w:pPr>
    </w:p>
    <w:p w14:paraId="11A39C13">
      <w:pPr>
        <w:wordWrap w:val="0"/>
        <w:adjustRightInd w:val="0"/>
        <w:snapToGrid w:val="0"/>
        <w:spacing w:line="440" w:lineRule="exact"/>
        <w:jc w:val="right"/>
        <w:rPr>
          <w:rFonts w:hint="eastAsia" w:ascii="宋体" w:hAnsi="宋体" w:cs="宋体"/>
          <w:snapToGrid w:val="0"/>
          <w:color w:val="auto"/>
          <w:kern w:val="0"/>
          <w:sz w:val="22"/>
          <w:szCs w:val="18"/>
          <w:highlight w:val="none"/>
        </w:rPr>
      </w:pPr>
      <w:r>
        <w:rPr>
          <w:rFonts w:hint="eastAsia" w:ascii="宋体" w:hAnsi="宋体" w:cs="宋体"/>
          <w:snapToGrid w:val="0"/>
          <w:color w:val="auto"/>
          <w:kern w:val="0"/>
          <w:sz w:val="22"/>
          <w:szCs w:val="18"/>
          <w:highlight w:val="none"/>
        </w:rPr>
        <w:t>投标人：</w:t>
      </w:r>
      <w:r>
        <w:rPr>
          <w:rFonts w:hint="eastAsia" w:ascii="宋体" w:hAnsi="宋体" w:cs="宋体"/>
          <w:snapToGrid w:val="0"/>
          <w:color w:val="auto"/>
          <w:kern w:val="0"/>
          <w:sz w:val="22"/>
          <w:szCs w:val="18"/>
          <w:highlight w:val="none"/>
          <w:u w:val="single"/>
        </w:rPr>
        <w:t xml:space="preserve">                              </w:t>
      </w:r>
      <w:r>
        <w:rPr>
          <w:rFonts w:hint="eastAsia" w:ascii="宋体" w:hAnsi="宋体" w:cs="宋体"/>
          <w:snapToGrid w:val="0"/>
          <w:color w:val="auto"/>
          <w:kern w:val="0"/>
          <w:sz w:val="22"/>
          <w:szCs w:val="18"/>
          <w:highlight w:val="none"/>
        </w:rPr>
        <w:t>（盖单位章）</w:t>
      </w:r>
    </w:p>
    <w:p w14:paraId="4CA74484">
      <w:pPr>
        <w:wordWrap w:val="0"/>
        <w:adjustRightInd w:val="0"/>
        <w:snapToGrid w:val="0"/>
        <w:spacing w:line="440" w:lineRule="exact"/>
        <w:jc w:val="right"/>
        <w:rPr>
          <w:rFonts w:hint="eastAsia" w:ascii="宋体" w:hAnsi="宋体" w:cs="宋体"/>
          <w:snapToGrid w:val="0"/>
          <w:color w:val="auto"/>
          <w:kern w:val="0"/>
          <w:sz w:val="22"/>
          <w:szCs w:val="18"/>
          <w:highlight w:val="none"/>
        </w:rPr>
      </w:pPr>
    </w:p>
    <w:p w14:paraId="47FC5DF6">
      <w:pPr>
        <w:wordWrap w:val="0"/>
        <w:adjustRightInd w:val="0"/>
        <w:snapToGrid w:val="0"/>
        <w:spacing w:line="440" w:lineRule="exact"/>
        <w:jc w:val="right"/>
        <w:rPr>
          <w:rFonts w:hint="eastAsia" w:ascii="宋体" w:hAnsi="宋体" w:cs="宋体"/>
          <w:snapToGrid w:val="0"/>
          <w:color w:val="auto"/>
          <w:kern w:val="0"/>
          <w:sz w:val="22"/>
          <w:szCs w:val="18"/>
          <w:highlight w:val="none"/>
        </w:rPr>
      </w:pPr>
    </w:p>
    <w:p w14:paraId="37AD7052">
      <w:pPr>
        <w:wordWrap w:val="0"/>
        <w:adjustRightInd w:val="0"/>
        <w:snapToGrid w:val="0"/>
        <w:spacing w:line="440" w:lineRule="exact"/>
        <w:ind w:firstLine="440" w:firstLineChars="200"/>
        <w:jc w:val="right"/>
        <w:rPr>
          <w:rFonts w:hint="eastAsia" w:ascii="宋体" w:hAnsi="宋体" w:cs="宋体"/>
          <w:snapToGrid w:val="0"/>
          <w:color w:val="auto"/>
          <w:kern w:val="0"/>
          <w:sz w:val="22"/>
          <w:szCs w:val="18"/>
          <w:highlight w:val="none"/>
        </w:rPr>
      </w:pPr>
      <w:r>
        <w:rPr>
          <w:rFonts w:hint="eastAsia" w:ascii="宋体" w:hAnsi="宋体" w:cs="宋体"/>
          <w:snapToGrid w:val="0"/>
          <w:color w:val="auto"/>
          <w:kern w:val="0"/>
          <w:sz w:val="22"/>
          <w:szCs w:val="18"/>
          <w:highlight w:val="none"/>
        </w:rPr>
        <w:t>法定代表人或其委托代理人：</w:t>
      </w:r>
      <w:r>
        <w:rPr>
          <w:rFonts w:hint="eastAsia" w:ascii="宋体" w:hAnsi="宋体" w:cs="宋体"/>
          <w:snapToGrid w:val="0"/>
          <w:color w:val="auto"/>
          <w:kern w:val="0"/>
          <w:sz w:val="22"/>
          <w:szCs w:val="18"/>
          <w:highlight w:val="none"/>
          <w:u w:val="single"/>
        </w:rPr>
        <w:t xml:space="preserve">          </w:t>
      </w:r>
      <w:r>
        <w:rPr>
          <w:rFonts w:hint="eastAsia" w:ascii="宋体" w:hAnsi="宋体" w:cs="宋体"/>
          <w:snapToGrid w:val="0"/>
          <w:color w:val="auto"/>
          <w:kern w:val="0"/>
          <w:sz w:val="22"/>
          <w:szCs w:val="18"/>
          <w:highlight w:val="none"/>
        </w:rPr>
        <w:t>（签字或盖章）</w:t>
      </w:r>
    </w:p>
    <w:p w14:paraId="13BADE59">
      <w:pPr>
        <w:wordWrap w:val="0"/>
        <w:adjustRightInd w:val="0"/>
        <w:snapToGrid w:val="0"/>
        <w:spacing w:line="440" w:lineRule="exact"/>
        <w:ind w:firstLine="440" w:firstLineChars="200"/>
        <w:jc w:val="right"/>
        <w:rPr>
          <w:rFonts w:hint="eastAsia" w:ascii="宋体" w:hAnsi="宋体" w:cs="宋体"/>
          <w:snapToGrid w:val="0"/>
          <w:color w:val="auto"/>
          <w:kern w:val="0"/>
          <w:sz w:val="22"/>
          <w:szCs w:val="18"/>
          <w:highlight w:val="none"/>
        </w:rPr>
      </w:pPr>
    </w:p>
    <w:p w14:paraId="02F0A6AC">
      <w:pPr>
        <w:pStyle w:val="19"/>
        <w:rPr>
          <w:rFonts w:hint="eastAsia" w:ascii="宋体" w:hAnsi="宋体" w:cs="宋体"/>
          <w:color w:val="auto"/>
          <w:sz w:val="20"/>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p>
    <w:p w14:paraId="6536B9A6">
      <w:pPr>
        <w:rPr>
          <w:rFonts w:hint="eastAsia" w:ascii="宋体" w:hAnsi="宋体" w:cs="宋体"/>
          <w:color w:val="auto"/>
          <w:highlight w:val="none"/>
        </w:rPr>
      </w:pPr>
    </w:p>
    <w:p w14:paraId="7F7CF2BD">
      <w:pPr>
        <w:wordWrap w:val="0"/>
        <w:snapToGrid w:val="0"/>
        <w:spacing w:line="480" w:lineRule="auto"/>
        <w:ind w:firstLine="480"/>
        <w:rPr>
          <w:rFonts w:hint="eastAsia" w:ascii="宋体" w:hAnsi="宋体" w:cs="宋体"/>
          <w:b/>
          <w:snapToGrid w:val="0"/>
          <w:color w:val="auto"/>
          <w:sz w:val="24"/>
          <w:highlight w:val="none"/>
        </w:rPr>
      </w:pPr>
      <w:bookmarkStart w:id="362" w:name="_Toc71813718"/>
      <w:bookmarkStart w:id="363" w:name="_Toc71811195"/>
      <w:bookmarkStart w:id="364" w:name="_Toc30990"/>
      <w:bookmarkStart w:id="365" w:name="_Toc71811328"/>
      <w:bookmarkStart w:id="366" w:name="_Toc14586"/>
      <w:bookmarkStart w:id="367" w:name="_Toc10872"/>
    </w:p>
    <w:p w14:paraId="777940E8">
      <w:pPr>
        <w:wordWrap w:val="0"/>
        <w:snapToGrid w:val="0"/>
        <w:spacing w:line="480" w:lineRule="auto"/>
        <w:ind w:firstLine="480"/>
        <w:rPr>
          <w:rFonts w:hint="eastAsia" w:ascii="宋体" w:hAnsi="宋体" w:cs="宋体"/>
          <w:b/>
          <w:snapToGrid w:val="0"/>
          <w:color w:val="auto"/>
          <w:sz w:val="24"/>
          <w:highlight w:val="none"/>
        </w:rPr>
      </w:pPr>
    </w:p>
    <w:p w14:paraId="01BBF50D">
      <w:pPr>
        <w:wordWrap w:val="0"/>
        <w:snapToGrid w:val="0"/>
        <w:spacing w:line="480" w:lineRule="auto"/>
        <w:ind w:firstLine="480"/>
        <w:rPr>
          <w:rFonts w:hint="eastAsia" w:ascii="宋体" w:hAnsi="宋体" w:cs="宋体"/>
          <w:b/>
          <w:snapToGrid w:val="0"/>
          <w:color w:val="auto"/>
          <w:sz w:val="24"/>
          <w:highlight w:val="none"/>
        </w:rPr>
      </w:pPr>
    </w:p>
    <w:p w14:paraId="22B4B570">
      <w:pPr>
        <w:pStyle w:val="3"/>
        <w:wordWrap w:val="0"/>
        <w:autoSpaceDE/>
        <w:autoSpaceDN/>
        <w:snapToGrid w:val="0"/>
        <w:spacing w:line="480" w:lineRule="auto"/>
        <w:ind w:firstLine="480"/>
        <w:jc w:val="both"/>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格式</w:t>
      </w:r>
      <w:bookmarkEnd w:id="362"/>
      <w:bookmarkEnd w:id="363"/>
      <w:bookmarkEnd w:id="364"/>
      <w:bookmarkEnd w:id="365"/>
      <w:r>
        <w:rPr>
          <w:rFonts w:hint="eastAsia" w:ascii="宋体" w:hAnsi="宋体" w:cs="宋体"/>
          <w:b/>
          <w:snapToGrid w:val="0"/>
          <w:color w:val="auto"/>
          <w:sz w:val="24"/>
          <w:highlight w:val="none"/>
        </w:rPr>
        <w:t>三   各项承诺一览表</w:t>
      </w:r>
      <w:bookmarkEnd w:id="366"/>
      <w:bookmarkEnd w:id="367"/>
    </w:p>
    <w:p w14:paraId="09A148A2">
      <w:pPr>
        <w:spacing w:before="100" w:after="100" w:line="38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各项承诺一览表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597"/>
        <w:gridCol w:w="3215"/>
        <w:gridCol w:w="4005"/>
      </w:tblGrid>
      <w:tr w14:paraId="2518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791" w:type="dxa"/>
          </w:tcPr>
          <w:p w14:paraId="0B6C2926">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597" w:type="dxa"/>
          </w:tcPr>
          <w:p w14:paraId="4F73566B">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承诺标题</w:t>
            </w:r>
          </w:p>
        </w:tc>
        <w:tc>
          <w:tcPr>
            <w:tcW w:w="3215" w:type="dxa"/>
          </w:tcPr>
          <w:p w14:paraId="16C728E1">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承诺内容</w:t>
            </w:r>
          </w:p>
        </w:tc>
        <w:tc>
          <w:tcPr>
            <w:tcW w:w="4005" w:type="dxa"/>
            <w:tcBorders>
              <w:bottom w:val="single" w:color="auto" w:sz="4" w:space="0"/>
            </w:tcBorders>
          </w:tcPr>
          <w:p w14:paraId="717809B1">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违约承诺</w:t>
            </w:r>
          </w:p>
        </w:tc>
      </w:tr>
      <w:tr w14:paraId="2F4C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791" w:type="dxa"/>
            <w:vAlign w:val="center"/>
          </w:tcPr>
          <w:p w14:paraId="3F1F3568">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97" w:type="dxa"/>
            <w:vAlign w:val="center"/>
          </w:tcPr>
          <w:p w14:paraId="2B50B03F">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对招标文件条款自愿接受承诺</w:t>
            </w:r>
          </w:p>
        </w:tc>
        <w:tc>
          <w:tcPr>
            <w:tcW w:w="3215" w:type="dxa"/>
            <w:vAlign w:val="center"/>
          </w:tcPr>
          <w:p w14:paraId="51863614">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我方保证接受招标文件的所有条款，响应招标文件的</w:t>
            </w:r>
            <w:bookmarkStart w:id="368" w:name="_Hlt66510765"/>
            <w:bookmarkEnd w:id="368"/>
            <w:r>
              <w:rPr>
                <w:rFonts w:hint="eastAsia" w:ascii="宋体" w:hAnsi="宋体" w:cs="宋体"/>
                <w:color w:val="auto"/>
                <w:szCs w:val="21"/>
                <w:highlight w:val="none"/>
              </w:rPr>
              <w:t>所有要求。</w:t>
            </w:r>
          </w:p>
        </w:tc>
        <w:tc>
          <w:tcPr>
            <w:tcW w:w="4005" w:type="dxa"/>
            <w:tcBorders>
              <w:tr2bl w:val="single" w:color="auto" w:sz="4" w:space="0"/>
            </w:tcBorders>
            <w:vAlign w:val="center"/>
          </w:tcPr>
          <w:p w14:paraId="24D58B43">
            <w:pPr>
              <w:adjustRightInd w:val="0"/>
              <w:snapToGrid w:val="0"/>
              <w:spacing w:line="360" w:lineRule="exact"/>
              <w:ind w:firstLine="480"/>
              <w:rPr>
                <w:rFonts w:hint="eastAsia" w:ascii="宋体" w:hAnsi="宋体" w:cs="宋体"/>
                <w:color w:val="auto"/>
                <w:szCs w:val="21"/>
                <w:highlight w:val="none"/>
              </w:rPr>
            </w:pPr>
          </w:p>
        </w:tc>
      </w:tr>
      <w:tr w14:paraId="6F46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1" w:type="dxa"/>
            <w:vAlign w:val="center"/>
          </w:tcPr>
          <w:p w14:paraId="1E8044AA">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97" w:type="dxa"/>
            <w:vAlign w:val="center"/>
          </w:tcPr>
          <w:p w14:paraId="39D6EDAC">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无禁止投标情形的承诺</w:t>
            </w:r>
          </w:p>
        </w:tc>
        <w:tc>
          <w:tcPr>
            <w:tcW w:w="3215" w:type="dxa"/>
            <w:vAlign w:val="center"/>
          </w:tcPr>
          <w:p w14:paraId="0568B701">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我方不存在招标文件第一章第三节第4.4条“禁止投标条款”规定的任何一种情形。</w:t>
            </w:r>
          </w:p>
        </w:tc>
        <w:tc>
          <w:tcPr>
            <w:tcW w:w="4005" w:type="dxa"/>
            <w:vAlign w:val="center"/>
          </w:tcPr>
          <w:p w14:paraId="1D415AD6">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如果我方有招标文件第一章第三节第4.4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BE7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791" w:type="dxa"/>
            <w:vAlign w:val="center"/>
          </w:tcPr>
          <w:p w14:paraId="7F2CFBEF">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597" w:type="dxa"/>
            <w:vAlign w:val="center"/>
          </w:tcPr>
          <w:p w14:paraId="7BC9EC18">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4"/>
                <w:highlight w:val="none"/>
              </w:rPr>
              <w:t>履约保证承诺</w:t>
            </w:r>
          </w:p>
        </w:tc>
        <w:tc>
          <w:tcPr>
            <w:tcW w:w="3215" w:type="dxa"/>
            <w:vAlign w:val="center"/>
          </w:tcPr>
          <w:p w14:paraId="0C7340B2">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4"/>
                <w:highlight w:val="none"/>
              </w:rPr>
              <w:t xml:space="preserve">  我方保证按时缴纳全部履约保证。</w:t>
            </w:r>
          </w:p>
        </w:tc>
        <w:tc>
          <w:tcPr>
            <w:tcW w:w="4005" w:type="dxa"/>
            <w:vAlign w:val="center"/>
          </w:tcPr>
          <w:p w14:paraId="3C859666">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4"/>
                <w:highlight w:val="none"/>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358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91" w:type="dxa"/>
            <w:vAlign w:val="center"/>
          </w:tcPr>
          <w:p w14:paraId="3114175B">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597" w:type="dxa"/>
            <w:vAlign w:val="center"/>
          </w:tcPr>
          <w:p w14:paraId="6AD0C204">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工期、进度承诺</w:t>
            </w:r>
          </w:p>
        </w:tc>
        <w:tc>
          <w:tcPr>
            <w:tcW w:w="3215" w:type="dxa"/>
            <w:vAlign w:val="center"/>
          </w:tcPr>
          <w:p w14:paraId="65B009FD">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我方保证在与招标人签定设计合同后壹天内开工，并在招标文件规定要求的设计工期内完成全部招标工程。</w:t>
            </w:r>
          </w:p>
          <w:p w14:paraId="2D7C168A">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我方保证按我方投标文件中的设计进度计划完成设计任务。</w:t>
            </w:r>
          </w:p>
        </w:tc>
        <w:tc>
          <w:tcPr>
            <w:tcW w:w="4005" w:type="dxa"/>
            <w:vAlign w:val="center"/>
          </w:tcPr>
          <w:p w14:paraId="0C7967A1">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若因我方原因，设计没有按期完成时，我方须在逾期第壹天起每天按合同价款的1‰向招标人返纳逾期违约金。</w:t>
            </w:r>
          </w:p>
          <w:p w14:paraId="28894782">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若因我方原因，设计的进度未能按我方投标文件中的设计进度计划完成设计任务，延期达到30日历天，招标人有权终止合同。我方愿意承担所有由此引起的责任及经济损失。</w:t>
            </w:r>
          </w:p>
        </w:tc>
      </w:tr>
      <w:tr w14:paraId="1DC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3" w:hRule="atLeast"/>
          <w:jc w:val="center"/>
        </w:trPr>
        <w:tc>
          <w:tcPr>
            <w:tcW w:w="791" w:type="dxa"/>
            <w:vAlign w:val="center"/>
          </w:tcPr>
          <w:p w14:paraId="65B77F57">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597" w:type="dxa"/>
            <w:vAlign w:val="center"/>
          </w:tcPr>
          <w:p w14:paraId="4B9D258A">
            <w:pPr>
              <w:pStyle w:val="39"/>
              <w:spacing w:line="440" w:lineRule="exact"/>
              <w:rPr>
                <w:rFonts w:hint="eastAsia" w:hAnsi="宋体" w:cs="宋体"/>
                <w:color w:val="auto"/>
                <w:sz w:val="21"/>
                <w:szCs w:val="21"/>
                <w:highlight w:val="none"/>
              </w:rPr>
            </w:pPr>
            <w:r>
              <w:rPr>
                <w:rFonts w:hint="eastAsia" w:hAnsi="宋体" w:cs="宋体"/>
                <w:color w:val="auto"/>
                <w:sz w:val="21"/>
                <w:szCs w:val="21"/>
                <w:highlight w:val="none"/>
              </w:rPr>
              <w:t>设计承诺</w:t>
            </w:r>
          </w:p>
        </w:tc>
        <w:tc>
          <w:tcPr>
            <w:tcW w:w="3215" w:type="dxa"/>
            <w:vAlign w:val="center"/>
          </w:tcPr>
          <w:p w14:paraId="66B5FF6A">
            <w:pPr>
              <w:pStyle w:val="40"/>
              <w:spacing w:line="44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如我方中标，我方保证按设计规范及有关法律法规进行设计，并准时提供相应设计文件经审图机构审查通过。</w:t>
            </w:r>
          </w:p>
          <w:p w14:paraId="6F146F01">
            <w:pPr>
              <w:pStyle w:val="40"/>
              <w:spacing w:line="44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我方保证按经过批准的初步设计概算（建安费）进行限额设计，并对设计文件出现的遗漏或错误负责修改或补充。</w:t>
            </w:r>
          </w:p>
        </w:tc>
        <w:tc>
          <w:tcPr>
            <w:tcW w:w="4005" w:type="dxa"/>
            <w:vAlign w:val="center"/>
          </w:tcPr>
          <w:p w14:paraId="7DF36FF9">
            <w:pPr>
              <w:pStyle w:val="40"/>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7F1B91F9">
            <w:pPr>
              <w:pStyle w:val="40"/>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由于设计单位设计工作错误造成工程设计质量事故，根据责任情况，负责赔偿工程损失费，但最高不超过该项目应收设计费总额，负责采取补救措施。</w:t>
            </w:r>
          </w:p>
          <w:p w14:paraId="5FBBFAA9">
            <w:pPr>
              <w:pStyle w:val="40"/>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施工期间除发包人要求或特殊地质原因外，因设计质量和深度不够的原因引起的工程返工或需要设计变更引起工程造价增加的，每次扣减设计合同价款中设计费的2％，扣完为止。</w:t>
            </w:r>
          </w:p>
          <w:p w14:paraId="498C1350">
            <w:pPr>
              <w:pStyle w:val="40"/>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因设计单位自身原因造成工程结算超施工招标中标价的，扣除应付设计合同价款中的余款。</w:t>
            </w:r>
          </w:p>
        </w:tc>
      </w:tr>
      <w:tr w14:paraId="5DC4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91" w:type="dxa"/>
            <w:vAlign w:val="center"/>
          </w:tcPr>
          <w:p w14:paraId="7BAA19AD">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597" w:type="dxa"/>
            <w:vAlign w:val="center"/>
          </w:tcPr>
          <w:p w14:paraId="47A80E1D">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账户承诺</w:t>
            </w:r>
          </w:p>
        </w:tc>
        <w:tc>
          <w:tcPr>
            <w:tcW w:w="3215" w:type="dxa"/>
            <w:vAlign w:val="center"/>
          </w:tcPr>
          <w:p w14:paraId="15324993">
            <w:pPr>
              <w:adjustRightInd w:val="0"/>
              <w:snapToGrid w:val="0"/>
              <w:spacing w:line="360" w:lineRule="exact"/>
              <w:ind w:firstLine="560"/>
              <w:rPr>
                <w:rFonts w:hint="eastAsia" w:ascii="宋体" w:hAnsi="宋体" w:cs="宋体"/>
                <w:color w:val="auto"/>
                <w:szCs w:val="21"/>
                <w:highlight w:val="none"/>
              </w:rPr>
            </w:pPr>
            <w:r>
              <w:rPr>
                <w:rFonts w:hint="eastAsia" w:ascii="宋体" w:hAnsi="宋体" w:cs="宋体"/>
                <w:color w:val="auto"/>
                <w:spacing w:val="-2"/>
                <w:szCs w:val="21"/>
                <w:highlight w:val="none"/>
              </w:rPr>
              <w:t>我方保证招标人的资金随时可划入合同中规定的我方账户。</w:t>
            </w:r>
          </w:p>
        </w:tc>
        <w:tc>
          <w:tcPr>
            <w:tcW w:w="4005" w:type="dxa"/>
            <w:vAlign w:val="center"/>
          </w:tcPr>
          <w:p w14:paraId="453D5A7A">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若因我方原因造成招标人的资金无法划入合同中规定的我方账户，如时间达到30日历天，招标人有权终止合同。我方承担由此造成的所有责任及经济损失。</w:t>
            </w:r>
          </w:p>
        </w:tc>
      </w:tr>
      <w:tr w14:paraId="5C60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791" w:type="dxa"/>
            <w:vAlign w:val="center"/>
          </w:tcPr>
          <w:p w14:paraId="6498A8B8">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597" w:type="dxa"/>
            <w:vAlign w:val="center"/>
          </w:tcPr>
          <w:p w14:paraId="4F8D7AFA">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项目管理班子人员承诺</w:t>
            </w:r>
          </w:p>
        </w:tc>
        <w:tc>
          <w:tcPr>
            <w:tcW w:w="3215" w:type="dxa"/>
            <w:vAlign w:val="center"/>
          </w:tcPr>
          <w:p w14:paraId="01B3A463">
            <w:pPr>
              <w:adjustRightInd w:val="0"/>
              <w:snapToGrid w:val="0"/>
              <w:spacing w:line="360" w:lineRule="exact"/>
              <w:ind w:firstLine="560"/>
              <w:rPr>
                <w:rFonts w:hint="eastAsia" w:ascii="宋体" w:hAnsi="宋体" w:cs="宋体"/>
                <w:color w:val="auto"/>
                <w:spacing w:val="-2"/>
                <w:szCs w:val="21"/>
                <w:highlight w:val="none"/>
              </w:rPr>
            </w:pPr>
            <w:r>
              <w:rPr>
                <w:rFonts w:hint="eastAsia" w:ascii="宋体" w:hAnsi="宋体" w:cs="宋体"/>
                <w:color w:val="auto"/>
                <w:spacing w:val="-2"/>
                <w:szCs w:val="21"/>
                <w:highlight w:val="none"/>
              </w:rPr>
              <w:t>我方保证投标文件中所拟派的</w:t>
            </w:r>
            <w:r>
              <w:rPr>
                <w:rFonts w:hint="eastAsia" w:ascii="宋体" w:hAnsi="宋体" w:cs="宋体"/>
                <w:color w:val="auto"/>
                <w:spacing w:val="-2"/>
                <w:szCs w:val="21"/>
                <w:highlight w:val="none"/>
                <w:u w:val="double"/>
              </w:rPr>
              <w:t>各专业设计负责人</w:t>
            </w:r>
            <w:r>
              <w:rPr>
                <w:rFonts w:hint="eastAsia" w:ascii="宋体" w:hAnsi="宋体" w:cs="宋体"/>
                <w:color w:val="auto"/>
                <w:szCs w:val="21"/>
                <w:highlight w:val="none"/>
              </w:rPr>
              <w:t>人员，具有相对的资格证书。拟派人员全部到位，负责各自职责。全部到位、各司其责。</w:t>
            </w:r>
          </w:p>
        </w:tc>
        <w:tc>
          <w:tcPr>
            <w:tcW w:w="4005" w:type="dxa"/>
            <w:vAlign w:val="center"/>
          </w:tcPr>
          <w:p w14:paraId="63B61C17">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若我方中标后，各负责人未按时参加招标人要求出席的会议（包括图纸会审和技术交底等，具体以招标人书面通知为准），每缺席一人次扣5000元违约金。我方承担由此造成的所有责任及经济损失。</w:t>
            </w:r>
          </w:p>
        </w:tc>
      </w:tr>
      <w:tr w14:paraId="71EF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791" w:type="dxa"/>
            <w:vAlign w:val="center"/>
          </w:tcPr>
          <w:p w14:paraId="7EE9BC90">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597" w:type="dxa"/>
            <w:vAlign w:val="center"/>
          </w:tcPr>
          <w:p w14:paraId="67F3EB74">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项目负责人承诺</w:t>
            </w:r>
          </w:p>
        </w:tc>
        <w:tc>
          <w:tcPr>
            <w:tcW w:w="3215" w:type="dxa"/>
            <w:vAlign w:val="center"/>
          </w:tcPr>
          <w:p w14:paraId="139CA6D2">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我方保证投标文件中所拟派的</w:t>
            </w:r>
            <w:r>
              <w:rPr>
                <w:rFonts w:hint="eastAsia" w:ascii="宋体" w:hAnsi="宋体" w:cs="宋体"/>
                <w:color w:val="auto"/>
                <w:spacing w:val="-2"/>
                <w:szCs w:val="21"/>
                <w:highlight w:val="none"/>
                <w:u w:val="double"/>
              </w:rPr>
              <w:t>设计负责人</w:t>
            </w:r>
            <w:r>
              <w:rPr>
                <w:rFonts w:hint="eastAsia" w:ascii="宋体" w:hAnsi="宋体" w:cs="宋体"/>
                <w:color w:val="auto"/>
                <w:spacing w:val="-2"/>
                <w:szCs w:val="21"/>
                <w:highlight w:val="none"/>
              </w:rPr>
              <w:t>负责本项目设计全过程（包括招标范围内工作）。</w:t>
            </w:r>
          </w:p>
        </w:tc>
        <w:tc>
          <w:tcPr>
            <w:tcW w:w="4005" w:type="dxa"/>
            <w:vAlign w:val="center"/>
          </w:tcPr>
          <w:p w14:paraId="7BB88C6B">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若因我方原因，</w:t>
            </w:r>
            <w:r>
              <w:rPr>
                <w:rFonts w:hint="eastAsia" w:ascii="宋体" w:hAnsi="宋体" w:cs="宋体"/>
                <w:color w:val="auto"/>
                <w:spacing w:val="-2"/>
                <w:szCs w:val="21"/>
                <w:highlight w:val="none"/>
                <w:u w:val="double"/>
              </w:rPr>
              <w:t>设计负责人</w:t>
            </w:r>
            <w:r>
              <w:rPr>
                <w:rFonts w:hint="eastAsia" w:ascii="宋体" w:hAnsi="宋体" w:cs="宋体"/>
                <w:color w:val="auto"/>
                <w:spacing w:val="-2"/>
                <w:szCs w:val="21"/>
                <w:highlight w:val="none"/>
              </w:rPr>
              <w:t>未准时参加本项目设计全过程（包括招标范围内工作）的，每缺席一次扣5000元（以发包人发出的违约通知为准）。</w:t>
            </w:r>
          </w:p>
        </w:tc>
      </w:tr>
      <w:tr w14:paraId="57B6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791" w:type="dxa"/>
            <w:vAlign w:val="center"/>
          </w:tcPr>
          <w:p w14:paraId="1B4ADA9E">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597" w:type="dxa"/>
            <w:vAlign w:val="center"/>
          </w:tcPr>
          <w:p w14:paraId="21B19EDD">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廉政承诺</w:t>
            </w:r>
          </w:p>
        </w:tc>
        <w:tc>
          <w:tcPr>
            <w:tcW w:w="3215" w:type="dxa"/>
            <w:vAlign w:val="center"/>
          </w:tcPr>
          <w:p w14:paraId="3628585B">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我方保证严格遵守有关法律法规及廉政规定。</w:t>
            </w:r>
          </w:p>
        </w:tc>
        <w:tc>
          <w:tcPr>
            <w:tcW w:w="4005" w:type="dxa"/>
            <w:vAlign w:val="center"/>
          </w:tcPr>
          <w:p w14:paraId="44D26D41">
            <w:pPr>
              <w:widowControl/>
              <w:adjustRightInd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如我单位及其工作人员违反本承诺规定的，愿接受党纪、政纪处理直至追究法律责任；给招标单位造成经济损失的，依法给予赔偿。</w:t>
            </w:r>
          </w:p>
        </w:tc>
      </w:tr>
      <w:tr w14:paraId="4051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jc w:val="center"/>
        </w:trPr>
        <w:tc>
          <w:tcPr>
            <w:tcW w:w="791" w:type="dxa"/>
            <w:vAlign w:val="center"/>
          </w:tcPr>
          <w:p w14:paraId="04EBF29E">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597" w:type="dxa"/>
            <w:vAlign w:val="center"/>
          </w:tcPr>
          <w:p w14:paraId="6AC73F68">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投标文件信息公开承诺</w:t>
            </w:r>
          </w:p>
        </w:tc>
        <w:tc>
          <w:tcPr>
            <w:tcW w:w="3215" w:type="dxa"/>
            <w:vAlign w:val="center"/>
          </w:tcPr>
          <w:p w14:paraId="78D878D5">
            <w:pPr>
              <w:pStyle w:val="41"/>
              <w:wordWrap w:val="0"/>
              <w:adjustRightInd w:val="0"/>
              <w:snapToGrid w:val="0"/>
              <w:spacing w:line="400" w:lineRule="exact"/>
              <w:ind w:firstLine="210" w:firstLineChars="100"/>
              <w:rPr>
                <w:rFonts w:hint="eastAsia" w:hAnsi="宋体" w:eastAsia="宋体" w:cs="宋体"/>
                <w:snapToGrid w:val="0"/>
                <w:color w:val="auto"/>
                <w:kern w:val="0"/>
                <w:sz w:val="21"/>
                <w:szCs w:val="21"/>
                <w:highlight w:val="none"/>
              </w:rPr>
            </w:pPr>
            <w:r>
              <w:rPr>
                <w:rFonts w:hint="eastAsia"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我方提供完整的电子文件。如果我方成为本项目中标候选人，我方同意并授权招标人在评标结果公示期内公开我方商务经济标书的全部内容。</w:t>
            </w:r>
          </w:p>
        </w:tc>
        <w:tc>
          <w:tcPr>
            <w:tcW w:w="4005" w:type="dxa"/>
            <w:vAlign w:val="center"/>
          </w:tcPr>
          <w:p w14:paraId="23A06D8E">
            <w:pPr>
              <w:pStyle w:val="41"/>
              <w:wordWrap w:val="0"/>
              <w:adjustRightInd w:val="0"/>
              <w:snapToGrid w:val="0"/>
              <w:ind w:firstLine="0" w:firstLineChars="0"/>
              <w:jc w:val="left"/>
              <w:rPr>
                <w:rFonts w:hint="eastAsia" w:hAnsi="宋体" w:eastAsia="宋体" w:cs="宋体"/>
                <w:color w:val="auto"/>
                <w:sz w:val="21"/>
                <w:szCs w:val="21"/>
                <w:highlight w:val="none"/>
              </w:rPr>
            </w:pPr>
            <w:r>
              <w:rPr>
                <w:rFonts w:hint="eastAsia" w:hAnsi="宋体" w:eastAsia="宋体" w:cs="宋体"/>
                <w:snapToGrid w:val="0"/>
                <w:color w:val="auto"/>
                <w:kern w:val="0"/>
                <w:sz w:val="21"/>
                <w:szCs w:val="21"/>
                <w:highlight w:val="none"/>
              </w:rPr>
              <w:t xml:space="preserve">    </w:t>
            </w:r>
          </w:p>
          <w:p w14:paraId="5C97A2E5">
            <w:pPr>
              <w:pStyle w:val="41"/>
              <w:wordWrap w:val="0"/>
              <w:adjustRightInd w:val="0"/>
              <w:snapToGrid w:val="0"/>
              <w:spacing w:line="360" w:lineRule="exact"/>
              <w:ind w:firstLine="0" w:firstLineChars="0"/>
              <w:jc w:val="left"/>
              <w:rPr>
                <w:rFonts w:hint="eastAsia" w:hAnsi="宋体" w:eastAsia="宋体" w:cs="宋体"/>
                <w:color w:val="auto"/>
                <w:sz w:val="21"/>
                <w:szCs w:val="21"/>
                <w:highlight w:val="none"/>
              </w:rPr>
            </w:pPr>
          </w:p>
        </w:tc>
      </w:tr>
    </w:tbl>
    <w:p w14:paraId="038D83CB">
      <w:pPr>
        <w:spacing w:line="400" w:lineRule="exact"/>
        <w:rPr>
          <w:rFonts w:hint="eastAsia" w:ascii="宋体" w:hAnsi="宋体" w:cs="宋体"/>
          <w:color w:val="auto"/>
          <w:sz w:val="24"/>
          <w:szCs w:val="24"/>
          <w:highlight w:val="none"/>
        </w:rPr>
      </w:pPr>
    </w:p>
    <w:p w14:paraId="6705A80F">
      <w:pPr>
        <w:wordWrap w:val="0"/>
        <w:adjustRightInd w:val="0"/>
        <w:snapToGrid w:val="0"/>
        <w:spacing w:line="400" w:lineRule="exact"/>
        <w:rPr>
          <w:rFonts w:hint="eastAsia" w:ascii="宋体" w:hAnsi="宋体" w:cs="宋体"/>
          <w:snapToGrid w:val="0"/>
          <w:color w:val="auto"/>
          <w:kern w:val="0"/>
          <w:sz w:val="24"/>
          <w:szCs w:val="24"/>
          <w:highlight w:val="none"/>
        </w:rPr>
      </w:pPr>
    </w:p>
    <w:p w14:paraId="5F0D32D2">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1863874C">
      <w:pPr>
        <w:wordWrap w:val="0"/>
        <w:adjustRightInd w:val="0"/>
        <w:snapToGrid w:val="0"/>
        <w:spacing w:line="360" w:lineRule="auto"/>
        <w:ind w:firstLine="480" w:firstLineChars="200"/>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3D4A1C64">
      <w:pPr>
        <w:wordWrap w:val="0"/>
        <w:adjustRightInd w:val="0"/>
        <w:snapToGrid w:val="0"/>
        <w:spacing w:line="360" w:lineRule="auto"/>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5F30017E">
      <w:pPr>
        <w:wordWrap w:val="0"/>
        <w:adjustRightInd w:val="0"/>
        <w:snapToGrid w:val="0"/>
        <w:spacing w:line="400" w:lineRule="exact"/>
        <w:jc w:val="left"/>
        <w:rPr>
          <w:rFonts w:hint="eastAsia" w:ascii="宋体" w:hAnsi="宋体" w:cs="宋体"/>
          <w:snapToGrid w:val="0"/>
          <w:color w:val="auto"/>
          <w:kern w:val="0"/>
          <w:sz w:val="24"/>
          <w:szCs w:val="24"/>
          <w:highlight w:val="none"/>
        </w:rPr>
      </w:pPr>
    </w:p>
    <w:p w14:paraId="4FB61E75">
      <w:pPr>
        <w:pStyle w:val="19"/>
        <w:rPr>
          <w:color w:val="auto"/>
          <w:highlight w:val="none"/>
        </w:rPr>
      </w:pPr>
    </w:p>
    <w:p w14:paraId="18BB469F">
      <w:pPr>
        <w:pStyle w:val="3"/>
        <w:wordWrap w:val="0"/>
        <w:autoSpaceDE/>
        <w:autoSpaceDN/>
        <w:snapToGrid w:val="0"/>
        <w:spacing w:line="480" w:lineRule="auto"/>
        <w:ind w:firstLine="480"/>
        <w:jc w:val="both"/>
        <w:rPr>
          <w:rFonts w:hint="eastAsia" w:ascii="宋体" w:hAnsi="宋体" w:cs="宋体"/>
          <w:b/>
          <w:bCs/>
          <w:snapToGrid w:val="0"/>
          <w:color w:val="auto"/>
          <w:sz w:val="24"/>
          <w:szCs w:val="24"/>
          <w:highlight w:val="none"/>
        </w:rPr>
      </w:pPr>
      <w:bookmarkStart w:id="369" w:name="_Toc9675"/>
      <w:bookmarkStart w:id="370" w:name="_Toc1798"/>
      <w:r>
        <w:rPr>
          <w:rFonts w:hint="eastAsia" w:ascii="宋体" w:hAnsi="宋体" w:cs="宋体"/>
          <w:b/>
          <w:snapToGrid w:val="0"/>
          <w:color w:val="auto"/>
          <w:sz w:val="24"/>
          <w:highlight w:val="none"/>
        </w:rPr>
        <w:t>格式四   投标人基本情况表</w:t>
      </w:r>
      <w:bookmarkEnd w:id="369"/>
      <w:bookmarkEnd w:id="370"/>
    </w:p>
    <w:p w14:paraId="63910C9D">
      <w:pPr>
        <w:pStyle w:val="36"/>
        <w:widowControl w:val="0"/>
        <w:wordWrap w:val="0"/>
        <w:adjustRightInd w:val="0"/>
        <w:snapToGrid w:val="0"/>
        <w:spacing w:line="400" w:lineRule="exact"/>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09E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E9DCE7B">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263" w:type="dxa"/>
            <w:gridSpan w:val="8"/>
            <w:vAlign w:val="center"/>
          </w:tcPr>
          <w:p w14:paraId="170730A8">
            <w:pPr>
              <w:pStyle w:val="42"/>
              <w:wordWrap w:val="0"/>
              <w:adjustRightInd w:val="0"/>
              <w:snapToGrid w:val="0"/>
              <w:jc w:val="center"/>
              <w:rPr>
                <w:rFonts w:hint="eastAsia" w:ascii="宋体" w:hAnsi="宋体" w:cs="宋体"/>
                <w:snapToGrid w:val="0"/>
                <w:color w:val="auto"/>
                <w:kern w:val="0"/>
                <w:szCs w:val="21"/>
                <w:highlight w:val="none"/>
              </w:rPr>
            </w:pPr>
          </w:p>
        </w:tc>
      </w:tr>
      <w:tr w14:paraId="318D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E7E8BA0">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506" w:type="dxa"/>
            <w:gridSpan w:val="3"/>
            <w:vAlign w:val="center"/>
          </w:tcPr>
          <w:p w14:paraId="67BF5549">
            <w:pPr>
              <w:pStyle w:val="42"/>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3237BB65">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469" w:type="dxa"/>
            <w:gridSpan w:val="3"/>
            <w:vAlign w:val="center"/>
          </w:tcPr>
          <w:p w14:paraId="1F1CDE6C">
            <w:pPr>
              <w:pStyle w:val="42"/>
              <w:wordWrap w:val="0"/>
              <w:adjustRightInd w:val="0"/>
              <w:snapToGrid w:val="0"/>
              <w:jc w:val="center"/>
              <w:rPr>
                <w:rFonts w:hint="eastAsia" w:ascii="宋体" w:hAnsi="宋体" w:cs="宋体"/>
                <w:snapToGrid w:val="0"/>
                <w:color w:val="auto"/>
                <w:kern w:val="0"/>
                <w:szCs w:val="21"/>
                <w:highlight w:val="none"/>
              </w:rPr>
            </w:pPr>
          </w:p>
        </w:tc>
      </w:tr>
      <w:tr w14:paraId="1047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1DC27FCB">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927" w:type="dxa"/>
            <w:vAlign w:val="center"/>
          </w:tcPr>
          <w:p w14:paraId="49AD41C6">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579" w:type="dxa"/>
            <w:gridSpan w:val="2"/>
            <w:vAlign w:val="center"/>
          </w:tcPr>
          <w:p w14:paraId="16C11728">
            <w:pPr>
              <w:pStyle w:val="42"/>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08A2254A">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469" w:type="dxa"/>
            <w:gridSpan w:val="3"/>
            <w:vAlign w:val="center"/>
          </w:tcPr>
          <w:p w14:paraId="4F7D2D7F">
            <w:pPr>
              <w:pStyle w:val="42"/>
              <w:wordWrap w:val="0"/>
              <w:adjustRightInd w:val="0"/>
              <w:snapToGrid w:val="0"/>
              <w:jc w:val="center"/>
              <w:rPr>
                <w:rFonts w:hint="eastAsia" w:ascii="宋体" w:hAnsi="宋体" w:cs="宋体"/>
                <w:snapToGrid w:val="0"/>
                <w:color w:val="auto"/>
                <w:kern w:val="0"/>
                <w:szCs w:val="21"/>
                <w:highlight w:val="none"/>
              </w:rPr>
            </w:pPr>
          </w:p>
        </w:tc>
      </w:tr>
      <w:tr w14:paraId="3033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18BC8E57">
            <w:pPr>
              <w:pStyle w:val="42"/>
              <w:wordWrap w:val="0"/>
              <w:adjustRightInd w:val="0"/>
              <w:snapToGrid w:val="0"/>
              <w:jc w:val="center"/>
              <w:rPr>
                <w:rFonts w:hint="eastAsia" w:ascii="宋体" w:hAnsi="宋体" w:cs="宋体"/>
                <w:snapToGrid w:val="0"/>
                <w:color w:val="auto"/>
                <w:kern w:val="0"/>
                <w:szCs w:val="21"/>
                <w:highlight w:val="none"/>
              </w:rPr>
            </w:pPr>
          </w:p>
        </w:tc>
        <w:tc>
          <w:tcPr>
            <w:tcW w:w="927" w:type="dxa"/>
            <w:vAlign w:val="center"/>
          </w:tcPr>
          <w:p w14:paraId="14AD4EE3">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579" w:type="dxa"/>
            <w:gridSpan w:val="2"/>
            <w:vAlign w:val="center"/>
          </w:tcPr>
          <w:p w14:paraId="57B8258B">
            <w:pPr>
              <w:pStyle w:val="42"/>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4E851F7C">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469" w:type="dxa"/>
            <w:gridSpan w:val="3"/>
            <w:vAlign w:val="center"/>
          </w:tcPr>
          <w:p w14:paraId="6415B7A7">
            <w:pPr>
              <w:pStyle w:val="42"/>
              <w:wordWrap w:val="0"/>
              <w:adjustRightInd w:val="0"/>
              <w:snapToGrid w:val="0"/>
              <w:jc w:val="center"/>
              <w:rPr>
                <w:rFonts w:hint="eastAsia" w:ascii="宋体" w:hAnsi="宋体" w:cs="宋体"/>
                <w:snapToGrid w:val="0"/>
                <w:color w:val="auto"/>
                <w:kern w:val="0"/>
                <w:szCs w:val="21"/>
                <w:highlight w:val="none"/>
              </w:rPr>
            </w:pPr>
          </w:p>
        </w:tc>
      </w:tr>
      <w:tr w14:paraId="04DD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1BCA8B0">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263" w:type="dxa"/>
            <w:gridSpan w:val="8"/>
            <w:vAlign w:val="center"/>
          </w:tcPr>
          <w:p w14:paraId="7DA02CA5">
            <w:pPr>
              <w:pStyle w:val="42"/>
              <w:wordWrap w:val="0"/>
              <w:adjustRightInd w:val="0"/>
              <w:snapToGrid w:val="0"/>
              <w:jc w:val="center"/>
              <w:rPr>
                <w:rFonts w:hint="eastAsia" w:ascii="宋体" w:hAnsi="宋体" w:cs="宋体"/>
                <w:snapToGrid w:val="0"/>
                <w:color w:val="auto"/>
                <w:kern w:val="0"/>
                <w:szCs w:val="21"/>
                <w:highlight w:val="none"/>
              </w:rPr>
            </w:pPr>
          </w:p>
        </w:tc>
      </w:tr>
      <w:tr w14:paraId="241A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62077F4">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927" w:type="dxa"/>
            <w:vAlign w:val="center"/>
          </w:tcPr>
          <w:p w14:paraId="66A6A34E">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746" w:type="dxa"/>
            <w:vAlign w:val="center"/>
          </w:tcPr>
          <w:p w14:paraId="21D3D51C">
            <w:pPr>
              <w:pStyle w:val="42"/>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Align w:val="center"/>
          </w:tcPr>
          <w:p w14:paraId="56A34A9E">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62" w:type="dxa"/>
            <w:gridSpan w:val="2"/>
            <w:vAlign w:val="center"/>
          </w:tcPr>
          <w:p w14:paraId="5172791F">
            <w:pPr>
              <w:pStyle w:val="42"/>
              <w:wordWrap w:val="0"/>
              <w:adjustRightInd w:val="0"/>
              <w:snapToGrid w:val="0"/>
              <w:jc w:val="center"/>
              <w:rPr>
                <w:rFonts w:hint="eastAsia" w:ascii="宋体" w:hAnsi="宋体" w:cs="宋体"/>
                <w:snapToGrid w:val="0"/>
                <w:color w:val="auto"/>
                <w:kern w:val="0"/>
                <w:szCs w:val="21"/>
                <w:highlight w:val="none"/>
              </w:rPr>
            </w:pPr>
          </w:p>
        </w:tc>
        <w:tc>
          <w:tcPr>
            <w:tcW w:w="733" w:type="dxa"/>
            <w:vAlign w:val="center"/>
          </w:tcPr>
          <w:p w14:paraId="2F9D7F6B">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69" w:type="dxa"/>
            <w:vAlign w:val="center"/>
          </w:tcPr>
          <w:p w14:paraId="482DE797">
            <w:pPr>
              <w:pStyle w:val="42"/>
              <w:wordWrap w:val="0"/>
              <w:adjustRightInd w:val="0"/>
              <w:snapToGrid w:val="0"/>
              <w:jc w:val="center"/>
              <w:rPr>
                <w:rFonts w:hint="eastAsia" w:ascii="宋体" w:hAnsi="宋体" w:cs="宋体"/>
                <w:snapToGrid w:val="0"/>
                <w:color w:val="auto"/>
                <w:kern w:val="0"/>
                <w:szCs w:val="21"/>
                <w:highlight w:val="none"/>
              </w:rPr>
            </w:pPr>
          </w:p>
        </w:tc>
      </w:tr>
      <w:tr w14:paraId="634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2661EBA">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673" w:type="dxa"/>
            <w:gridSpan w:val="2"/>
            <w:vAlign w:val="center"/>
          </w:tcPr>
          <w:p w14:paraId="42B596A5">
            <w:pPr>
              <w:pStyle w:val="42"/>
              <w:wordWrap w:val="0"/>
              <w:adjustRightInd w:val="0"/>
              <w:snapToGrid w:val="0"/>
              <w:jc w:val="center"/>
              <w:rPr>
                <w:rFonts w:hint="eastAsia" w:ascii="宋体" w:hAnsi="宋体" w:cs="宋体"/>
                <w:snapToGrid w:val="0"/>
                <w:color w:val="auto"/>
                <w:kern w:val="0"/>
                <w:szCs w:val="21"/>
                <w:highlight w:val="none"/>
              </w:rPr>
            </w:pPr>
          </w:p>
        </w:tc>
        <w:tc>
          <w:tcPr>
            <w:tcW w:w="4590" w:type="dxa"/>
            <w:gridSpan w:val="6"/>
            <w:vAlign w:val="center"/>
          </w:tcPr>
          <w:p w14:paraId="4B60FFF2">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0D0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5EDB8ED">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673" w:type="dxa"/>
            <w:gridSpan w:val="2"/>
            <w:vAlign w:val="center"/>
          </w:tcPr>
          <w:p w14:paraId="1BDC4440">
            <w:pPr>
              <w:pStyle w:val="42"/>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restart"/>
            <w:vAlign w:val="center"/>
          </w:tcPr>
          <w:p w14:paraId="6C331128">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95" w:type="dxa"/>
            <w:gridSpan w:val="3"/>
            <w:vAlign w:val="center"/>
          </w:tcPr>
          <w:p w14:paraId="7E26176D">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设计负责人</w:t>
            </w:r>
          </w:p>
        </w:tc>
        <w:tc>
          <w:tcPr>
            <w:tcW w:w="1469" w:type="dxa"/>
            <w:vAlign w:val="center"/>
          </w:tcPr>
          <w:p w14:paraId="165DA005">
            <w:pPr>
              <w:pStyle w:val="42"/>
              <w:wordWrap w:val="0"/>
              <w:adjustRightInd w:val="0"/>
              <w:snapToGrid w:val="0"/>
              <w:jc w:val="center"/>
              <w:rPr>
                <w:rFonts w:hint="eastAsia" w:ascii="宋体" w:hAnsi="宋体" w:cs="宋体"/>
                <w:snapToGrid w:val="0"/>
                <w:color w:val="auto"/>
                <w:kern w:val="0"/>
                <w:szCs w:val="21"/>
                <w:highlight w:val="none"/>
              </w:rPr>
            </w:pPr>
          </w:p>
        </w:tc>
      </w:tr>
      <w:tr w14:paraId="255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D44EF31">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673" w:type="dxa"/>
            <w:gridSpan w:val="2"/>
            <w:vAlign w:val="center"/>
          </w:tcPr>
          <w:p w14:paraId="58991413">
            <w:pPr>
              <w:pStyle w:val="42"/>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03A3FEB0">
            <w:pPr>
              <w:pStyle w:val="42"/>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456E5AFD">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69" w:type="dxa"/>
            <w:vAlign w:val="center"/>
          </w:tcPr>
          <w:p w14:paraId="35A56677">
            <w:pPr>
              <w:pStyle w:val="42"/>
              <w:wordWrap w:val="0"/>
              <w:adjustRightInd w:val="0"/>
              <w:snapToGrid w:val="0"/>
              <w:jc w:val="center"/>
              <w:rPr>
                <w:rFonts w:hint="eastAsia" w:ascii="宋体" w:hAnsi="宋体" w:cs="宋体"/>
                <w:snapToGrid w:val="0"/>
                <w:color w:val="auto"/>
                <w:kern w:val="0"/>
                <w:szCs w:val="21"/>
                <w:highlight w:val="none"/>
              </w:rPr>
            </w:pPr>
          </w:p>
        </w:tc>
      </w:tr>
      <w:tr w14:paraId="1F5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6D05EED">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673" w:type="dxa"/>
            <w:gridSpan w:val="2"/>
            <w:vAlign w:val="center"/>
          </w:tcPr>
          <w:p w14:paraId="12D69EFD">
            <w:pPr>
              <w:pStyle w:val="42"/>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4E9E112C">
            <w:pPr>
              <w:pStyle w:val="42"/>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2105A6D8">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69" w:type="dxa"/>
            <w:vAlign w:val="center"/>
          </w:tcPr>
          <w:p w14:paraId="70DE687C">
            <w:pPr>
              <w:pStyle w:val="42"/>
              <w:wordWrap w:val="0"/>
              <w:adjustRightInd w:val="0"/>
              <w:snapToGrid w:val="0"/>
              <w:jc w:val="center"/>
              <w:rPr>
                <w:rFonts w:hint="eastAsia" w:ascii="宋体" w:hAnsi="宋体" w:cs="宋体"/>
                <w:snapToGrid w:val="0"/>
                <w:color w:val="auto"/>
                <w:kern w:val="0"/>
                <w:szCs w:val="21"/>
                <w:highlight w:val="none"/>
              </w:rPr>
            </w:pPr>
          </w:p>
        </w:tc>
      </w:tr>
      <w:tr w14:paraId="63C4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C2CB36C">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673" w:type="dxa"/>
            <w:gridSpan w:val="2"/>
            <w:vAlign w:val="center"/>
          </w:tcPr>
          <w:p w14:paraId="29EBE272">
            <w:pPr>
              <w:pStyle w:val="42"/>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595AE955">
            <w:pPr>
              <w:pStyle w:val="42"/>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0FB64B62">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69" w:type="dxa"/>
            <w:vAlign w:val="center"/>
          </w:tcPr>
          <w:p w14:paraId="5F76987C">
            <w:pPr>
              <w:pStyle w:val="42"/>
              <w:wordWrap w:val="0"/>
              <w:adjustRightInd w:val="0"/>
              <w:snapToGrid w:val="0"/>
              <w:jc w:val="center"/>
              <w:rPr>
                <w:rFonts w:hint="eastAsia" w:ascii="宋体" w:hAnsi="宋体" w:cs="宋体"/>
                <w:snapToGrid w:val="0"/>
                <w:color w:val="auto"/>
                <w:kern w:val="0"/>
                <w:szCs w:val="21"/>
                <w:highlight w:val="none"/>
              </w:rPr>
            </w:pPr>
          </w:p>
        </w:tc>
      </w:tr>
      <w:tr w14:paraId="00D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D59A093">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673" w:type="dxa"/>
            <w:gridSpan w:val="2"/>
            <w:vAlign w:val="center"/>
          </w:tcPr>
          <w:p w14:paraId="4271EC09">
            <w:pPr>
              <w:pStyle w:val="42"/>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2778FDCC">
            <w:pPr>
              <w:pStyle w:val="42"/>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67AD3D7E">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69" w:type="dxa"/>
            <w:vAlign w:val="center"/>
          </w:tcPr>
          <w:p w14:paraId="7C1D086D">
            <w:pPr>
              <w:pStyle w:val="42"/>
              <w:wordWrap w:val="0"/>
              <w:adjustRightInd w:val="0"/>
              <w:snapToGrid w:val="0"/>
              <w:jc w:val="center"/>
              <w:rPr>
                <w:rFonts w:hint="eastAsia" w:ascii="宋体" w:hAnsi="宋体" w:cs="宋体"/>
                <w:snapToGrid w:val="0"/>
                <w:color w:val="auto"/>
                <w:kern w:val="0"/>
                <w:szCs w:val="21"/>
                <w:highlight w:val="none"/>
              </w:rPr>
            </w:pPr>
          </w:p>
        </w:tc>
      </w:tr>
      <w:tr w14:paraId="0E58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26E8ACE2">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263" w:type="dxa"/>
            <w:gridSpan w:val="8"/>
            <w:vAlign w:val="center"/>
          </w:tcPr>
          <w:p w14:paraId="473D1B97">
            <w:pPr>
              <w:pStyle w:val="42"/>
              <w:wordWrap w:val="0"/>
              <w:adjustRightInd w:val="0"/>
              <w:snapToGrid w:val="0"/>
              <w:jc w:val="center"/>
              <w:rPr>
                <w:rFonts w:hint="eastAsia" w:ascii="宋体" w:hAnsi="宋体" w:cs="宋体"/>
                <w:snapToGrid w:val="0"/>
                <w:color w:val="auto"/>
                <w:kern w:val="0"/>
                <w:szCs w:val="21"/>
                <w:highlight w:val="none"/>
              </w:rPr>
            </w:pPr>
          </w:p>
        </w:tc>
      </w:tr>
      <w:tr w14:paraId="500C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6C5F0FD1">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263" w:type="dxa"/>
            <w:gridSpan w:val="8"/>
            <w:vAlign w:val="center"/>
          </w:tcPr>
          <w:p w14:paraId="15EEA390">
            <w:pPr>
              <w:pStyle w:val="42"/>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F058EAB">
            <w:pPr>
              <w:pStyle w:val="42"/>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133F41A4">
            <w:pPr>
              <w:pStyle w:val="42"/>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CC5EC71">
            <w:pPr>
              <w:pStyle w:val="42"/>
              <w:wordWrap w:val="0"/>
              <w:adjustRightInd w:val="0"/>
              <w:snapToGrid w:val="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3850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11D345C6">
            <w:pPr>
              <w:pStyle w:val="42"/>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263" w:type="dxa"/>
            <w:gridSpan w:val="8"/>
            <w:vAlign w:val="center"/>
          </w:tcPr>
          <w:p w14:paraId="71287652">
            <w:pPr>
              <w:pStyle w:val="42"/>
              <w:wordWrap w:val="0"/>
              <w:adjustRightInd w:val="0"/>
              <w:snapToGrid w:val="0"/>
              <w:jc w:val="center"/>
              <w:rPr>
                <w:rFonts w:hint="eastAsia" w:ascii="宋体" w:hAnsi="宋体" w:cs="宋体"/>
                <w:snapToGrid w:val="0"/>
                <w:color w:val="auto"/>
                <w:kern w:val="0"/>
                <w:szCs w:val="21"/>
                <w:highlight w:val="none"/>
              </w:rPr>
            </w:pPr>
          </w:p>
        </w:tc>
      </w:tr>
    </w:tbl>
    <w:p w14:paraId="76E443F7">
      <w:pPr>
        <w:pStyle w:val="42"/>
        <w:wordWrap w:val="0"/>
        <w:adjustRightInd w:val="0"/>
        <w:snapToGrid w:val="0"/>
        <w:spacing w:line="40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2E104D86">
      <w:pPr>
        <w:pStyle w:val="42"/>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427ACBA5">
      <w:pPr>
        <w:pStyle w:val="42"/>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（1）企业营业执照、资质证书的扫描件（</w:t>
      </w:r>
      <w:r>
        <w:rPr>
          <w:rFonts w:hint="eastAsia" w:ascii="宋体" w:hAnsi="宋体" w:cs="宋体"/>
          <w:b/>
          <w:bCs/>
          <w:snapToGrid w:val="0"/>
          <w:color w:val="auto"/>
          <w:kern w:val="0"/>
          <w:szCs w:val="21"/>
          <w:highlight w:val="none"/>
        </w:rPr>
        <w:t>因推行电子证照，企业的营业执照、资质证书等可以提供电子证照。）</w:t>
      </w:r>
      <w:r>
        <w:rPr>
          <w:rFonts w:hint="eastAsia" w:ascii="宋体" w:hAnsi="宋体" w:cs="宋体"/>
          <w:snapToGrid w:val="0"/>
          <w:color w:val="auto"/>
          <w:kern w:val="0"/>
          <w:szCs w:val="21"/>
          <w:highlight w:val="none"/>
        </w:rPr>
        <w:t>；</w:t>
      </w:r>
    </w:p>
    <w:p w14:paraId="7BE35B18">
      <w:pPr>
        <w:pStyle w:val="42"/>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5C2AA5F9">
      <w:pPr>
        <w:pStyle w:val="42"/>
        <w:wordWrap w:val="0"/>
        <w:adjustRightInd w:val="0"/>
        <w:snapToGrid w:val="0"/>
        <w:spacing w:line="400" w:lineRule="exact"/>
        <w:ind w:left="365" w:leftChars="174"/>
        <w:rPr>
          <w:rFonts w:hint="eastAsia" w:ascii="宋体" w:hAnsi="宋体" w:cs="宋体"/>
          <w:snapToGrid w:val="0"/>
          <w:color w:val="auto"/>
          <w:kern w:val="0"/>
          <w:highlight w:val="none"/>
        </w:rPr>
      </w:pPr>
      <w:r>
        <w:rPr>
          <w:rFonts w:hint="eastAsia" w:ascii="宋体" w:hAnsi="宋体" w:cs="宋体"/>
          <w:snapToGrid w:val="0"/>
          <w:color w:val="auto"/>
          <w:kern w:val="0"/>
          <w:highlight w:val="none"/>
        </w:rPr>
        <w:t>2．联合体投标的，联合体成员单位均应填写《投标人基本情况表》并提供以上所需资料。</w:t>
      </w:r>
    </w:p>
    <w:p w14:paraId="6B2E1DD7">
      <w:pPr>
        <w:rPr>
          <w:rFonts w:hint="eastAsia" w:ascii="宋体" w:hAnsi="宋体" w:cs="宋体"/>
          <w:snapToGrid w:val="0"/>
          <w:color w:val="auto"/>
          <w:kern w:val="0"/>
          <w:highlight w:val="none"/>
        </w:rPr>
      </w:pPr>
    </w:p>
    <w:p w14:paraId="633BBFE2">
      <w:pPr>
        <w:rPr>
          <w:rFonts w:hint="eastAsia" w:ascii="宋体" w:hAnsi="宋体" w:cs="宋体"/>
          <w:snapToGrid w:val="0"/>
          <w:color w:val="auto"/>
          <w:kern w:val="0"/>
          <w:highlight w:val="none"/>
        </w:rPr>
      </w:pPr>
    </w:p>
    <w:p w14:paraId="063D27D5">
      <w:pPr>
        <w:rPr>
          <w:color w:val="auto"/>
          <w:highlight w:val="none"/>
        </w:rPr>
      </w:pPr>
    </w:p>
    <w:p w14:paraId="732DCAFA">
      <w:pPr>
        <w:rPr>
          <w:rFonts w:hint="eastAsia" w:ascii="宋体" w:hAnsi="宋体" w:cs="宋体"/>
          <w:b/>
          <w:snapToGrid w:val="0"/>
          <w:color w:val="auto"/>
          <w:sz w:val="24"/>
          <w:highlight w:val="none"/>
        </w:rPr>
      </w:pPr>
      <w:bookmarkStart w:id="371" w:name="_Toc14872"/>
      <w:r>
        <w:rPr>
          <w:rFonts w:hint="eastAsia" w:ascii="宋体" w:hAnsi="宋体" w:cs="宋体"/>
          <w:b/>
          <w:snapToGrid w:val="0"/>
          <w:color w:val="auto"/>
          <w:sz w:val="24"/>
          <w:highlight w:val="none"/>
        </w:rPr>
        <w:br w:type="page"/>
      </w:r>
    </w:p>
    <w:p w14:paraId="3ED0C64A">
      <w:pPr>
        <w:pStyle w:val="3"/>
        <w:wordWrap w:val="0"/>
        <w:autoSpaceDE/>
        <w:autoSpaceDN/>
        <w:snapToGrid w:val="0"/>
        <w:spacing w:line="480" w:lineRule="auto"/>
        <w:ind w:firstLine="480"/>
        <w:jc w:val="both"/>
        <w:rPr>
          <w:rFonts w:hint="eastAsia" w:ascii="宋体" w:hAnsi="宋体" w:cs="宋体"/>
          <w:b/>
          <w:bCs/>
          <w:snapToGrid w:val="0"/>
          <w:color w:val="auto"/>
          <w:szCs w:val="24"/>
          <w:highlight w:val="none"/>
        </w:rPr>
      </w:pPr>
      <w:bookmarkStart w:id="372" w:name="_Toc16678"/>
      <w:r>
        <w:rPr>
          <w:rFonts w:hint="eastAsia" w:ascii="宋体" w:hAnsi="宋体" w:cs="宋体"/>
          <w:b/>
          <w:snapToGrid w:val="0"/>
          <w:color w:val="auto"/>
          <w:sz w:val="24"/>
          <w:highlight w:val="none"/>
        </w:rPr>
        <w:t>格式五  设计负责人简历表</w:t>
      </w:r>
      <w:bookmarkEnd w:id="371"/>
      <w:bookmarkEnd w:id="372"/>
    </w:p>
    <w:p w14:paraId="6A53ED41">
      <w:pPr>
        <w:wordWrap w:val="0"/>
        <w:adjustRightInd w:val="0"/>
        <w:snapToGrid w:val="0"/>
        <w:spacing w:line="440" w:lineRule="exact"/>
        <w:jc w:val="center"/>
        <w:rPr>
          <w:rFonts w:hint="eastAsia"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rPr>
        <w:t>设计负责人简历表</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17803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30C1D7CA">
            <w:pPr>
              <w:jc w:val="center"/>
              <w:rPr>
                <w:rFonts w:hint="eastAsia" w:ascii="宋体" w:hAnsi="宋体" w:cs="宋体"/>
                <w:color w:val="auto"/>
                <w:highlight w:val="none"/>
              </w:rPr>
            </w:pPr>
            <w:r>
              <w:rPr>
                <w:rFonts w:hint="eastAsia" w:ascii="宋体" w:hAnsi="宋体" w:cs="宋体"/>
                <w:color w:val="auto"/>
                <w:highlight w:val="none"/>
              </w:rPr>
              <w:t>1.基本情况</w:t>
            </w:r>
          </w:p>
        </w:tc>
      </w:tr>
      <w:tr w14:paraId="4BC04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E20E48D">
            <w:pPr>
              <w:jc w:val="center"/>
              <w:rPr>
                <w:rFonts w:hint="eastAsia" w:ascii="宋体" w:hAnsi="宋体" w:cs="宋体"/>
                <w:color w:val="auto"/>
                <w:highlight w:val="none"/>
              </w:rPr>
            </w:pPr>
            <w:r>
              <w:rPr>
                <w:rFonts w:hint="eastAsia" w:ascii="宋体" w:hAnsi="宋体" w:cs="宋体"/>
                <w:color w:val="auto"/>
                <w:highlight w:val="none"/>
              </w:rPr>
              <w:t>姓名</w:t>
            </w:r>
          </w:p>
        </w:tc>
        <w:tc>
          <w:tcPr>
            <w:tcW w:w="1387" w:type="dxa"/>
            <w:vAlign w:val="center"/>
          </w:tcPr>
          <w:p w14:paraId="3EECC852">
            <w:pPr>
              <w:jc w:val="center"/>
              <w:rPr>
                <w:rFonts w:hint="eastAsia" w:ascii="宋体" w:hAnsi="宋体" w:cs="宋体"/>
                <w:color w:val="auto"/>
                <w:highlight w:val="none"/>
              </w:rPr>
            </w:pPr>
          </w:p>
        </w:tc>
        <w:tc>
          <w:tcPr>
            <w:tcW w:w="704" w:type="dxa"/>
            <w:vAlign w:val="center"/>
          </w:tcPr>
          <w:p w14:paraId="1CCDB620">
            <w:pPr>
              <w:jc w:val="center"/>
              <w:rPr>
                <w:rFonts w:hint="eastAsia" w:ascii="宋体" w:hAnsi="宋体" w:cs="宋体"/>
                <w:color w:val="auto"/>
                <w:highlight w:val="none"/>
              </w:rPr>
            </w:pPr>
            <w:r>
              <w:rPr>
                <w:rFonts w:hint="eastAsia" w:ascii="宋体" w:hAnsi="宋体" w:cs="宋体"/>
                <w:color w:val="auto"/>
                <w:highlight w:val="none"/>
              </w:rPr>
              <w:t>性别</w:t>
            </w:r>
          </w:p>
        </w:tc>
        <w:tc>
          <w:tcPr>
            <w:tcW w:w="1473" w:type="dxa"/>
            <w:vAlign w:val="center"/>
          </w:tcPr>
          <w:p w14:paraId="1AD0B647">
            <w:pPr>
              <w:jc w:val="center"/>
              <w:rPr>
                <w:rFonts w:hint="eastAsia" w:ascii="宋体" w:hAnsi="宋体" w:cs="宋体"/>
                <w:color w:val="auto"/>
                <w:highlight w:val="none"/>
              </w:rPr>
            </w:pPr>
          </w:p>
        </w:tc>
        <w:tc>
          <w:tcPr>
            <w:tcW w:w="922" w:type="dxa"/>
            <w:vAlign w:val="center"/>
          </w:tcPr>
          <w:p w14:paraId="53ED94AA">
            <w:pPr>
              <w:jc w:val="center"/>
              <w:rPr>
                <w:rFonts w:hint="eastAsia"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5C6D138D">
            <w:pPr>
              <w:jc w:val="center"/>
              <w:rPr>
                <w:rFonts w:hint="eastAsia" w:ascii="宋体" w:hAnsi="宋体" w:cs="宋体"/>
                <w:color w:val="auto"/>
                <w:highlight w:val="none"/>
              </w:rPr>
            </w:pPr>
          </w:p>
        </w:tc>
        <w:tc>
          <w:tcPr>
            <w:tcW w:w="737" w:type="dxa"/>
            <w:vAlign w:val="center"/>
          </w:tcPr>
          <w:p w14:paraId="5F93E13C">
            <w:pPr>
              <w:jc w:val="center"/>
              <w:rPr>
                <w:rFonts w:hint="eastAsia"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4734B2E8">
            <w:pPr>
              <w:jc w:val="center"/>
              <w:rPr>
                <w:rFonts w:hint="eastAsia" w:ascii="宋体" w:hAnsi="宋体" w:cs="宋体"/>
                <w:color w:val="auto"/>
                <w:highlight w:val="none"/>
              </w:rPr>
            </w:pPr>
          </w:p>
        </w:tc>
      </w:tr>
      <w:tr w14:paraId="6FCB6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B95B3AF">
            <w:pPr>
              <w:jc w:val="center"/>
              <w:rPr>
                <w:rFonts w:hint="eastAsia" w:ascii="宋体" w:hAnsi="宋体" w:cs="宋体"/>
                <w:color w:val="auto"/>
                <w:highlight w:val="none"/>
              </w:rPr>
            </w:pPr>
            <w:r>
              <w:rPr>
                <w:rFonts w:hint="eastAsia" w:ascii="宋体" w:hAnsi="宋体" w:cs="宋体"/>
                <w:color w:val="auto"/>
                <w:highlight w:val="none"/>
              </w:rPr>
              <w:t>职称</w:t>
            </w:r>
          </w:p>
        </w:tc>
        <w:tc>
          <w:tcPr>
            <w:tcW w:w="1387" w:type="dxa"/>
            <w:vAlign w:val="center"/>
          </w:tcPr>
          <w:p w14:paraId="291B0CB4">
            <w:pPr>
              <w:jc w:val="center"/>
              <w:rPr>
                <w:rFonts w:hint="eastAsia" w:ascii="宋体" w:hAnsi="宋体" w:cs="宋体"/>
                <w:color w:val="auto"/>
                <w:highlight w:val="none"/>
              </w:rPr>
            </w:pPr>
          </w:p>
        </w:tc>
        <w:tc>
          <w:tcPr>
            <w:tcW w:w="2177" w:type="dxa"/>
            <w:gridSpan w:val="2"/>
            <w:vAlign w:val="center"/>
          </w:tcPr>
          <w:p w14:paraId="0DC31DDA">
            <w:pPr>
              <w:jc w:val="center"/>
              <w:rPr>
                <w:rFonts w:hint="eastAsia" w:ascii="宋体" w:hAnsi="宋体" w:cs="宋体"/>
                <w:color w:val="auto"/>
                <w:highlight w:val="none"/>
              </w:rPr>
            </w:pPr>
            <w:r>
              <w:rPr>
                <w:rFonts w:hint="eastAsia" w:ascii="宋体" w:hAnsi="宋体" w:cs="宋体"/>
                <w:color w:val="auto"/>
                <w:spacing w:val="-12"/>
                <w:highlight w:val="none"/>
              </w:rPr>
              <w:t>为投标人服务时间</w:t>
            </w:r>
          </w:p>
        </w:tc>
        <w:tc>
          <w:tcPr>
            <w:tcW w:w="922" w:type="dxa"/>
            <w:vAlign w:val="center"/>
          </w:tcPr>
          <w:p w14:paraId="115CDA1D">
            <w:pPr>
              <w:jc w:val="center"/>
              <w:rPr>
                <w:rFonts w:hint="eastAsia" w:ascii="宋体" w:hAnsi="宋体" w:cs="宋体"/>
                <w:color w:val="auto"/>
                <w:highlight w:val="none"/>
              </w:rPr>
            </w:pPr>
          </w:p>
        </w:tc>
        <w:tc>
          <w:tcPr>
            <w:tcW w:w="1994" w:type="dxa"/>
            <w:gridSpan w:val="3"/>
            <w:vAlign w:val="center"/>
          </w:tcPr>
          <w:p w14:paraId="32283A91">
            <w:pPr>
              <w:jc w:val="center"/>
              <w:rPr>
                <w:rFonts w:hint="eastAsia" w:ascii="宋体" w:hAnsi="宋体" w:cs="宋体"/>
                <w:color w:val="auto"/>
                <w:spacing w:val="-12"/>
                <w:highlight w:val="none"/>
              </w:rPr>
            </w:pPr>
            <w:r>
              <w:rPr>
                <w:rFonts w:hint="eastAsia" w:ascii="宋体" w:hAnsi="宋体" w:cs="宋体"/>
                <w:color w:val="auto"/>
                <w:highlight w:val="none"/>
              </w:rPr>
              <w:t>在本合同中拟任职</w:t>
            </w:r>
          </w:p>
        </w:tc>
        <w:tc>
          <w:tcPr>
            <w:tcW w:w="1424" w:type="dxa"/>
            <w:gridSpan w:val="2"/>
            <w:vAlign w:val="center"/>
          </w:tcPr>
          <w:p w14:paraId="4C5B90B6">
            <w:pPr>
              <w:jc w:val="center"/>
              <w:rPr>
                <w:rFonts w:hint="eastAsia" w:ascii="宋体" w:hAnsi="宋体" w:cs="宋体"/>
                <w:color w:val="auto"/>
                <w:highlight w:val="none"/>
              </w:rPr>
            </w:pPr>
          </w:p>
        </w:tc>
      </w:tr>
      <w:tr w14:paraId="40D74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A2B6054">
            <w:pPr>
              <w:jc w:val="center"/>
              <w:rPr>
                <w:rFonts w:hint="eastAsia"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1D1B7153">
            <w:pPr>
              <w:ind w:firstLine="600"/>
              <w:jc w:val="center"/>
              <w:rPr>
                <w:rFonts w:hint="eastAsia" w:ascii="宋体" w:hAnsi="宋体" w:cs="宋体"/>
                <w:color w:val="auto"/>
                <w:highlight w:val="none"/>
              </w:rPr>
            </w:pPr>
            <w:r>
              <w:rPr>
                <w:rFonts w:hint="eastAsia" w:ascii="宋体" w:hAnsi="宋体" w:cs="宋体"/>
                <w:color w:val="auto"/>
                <w:highlight w:val="none"/>
              </w:rPr>
              <w:t>年毕业于              学校           专业</w:t>
            </w:r>
          </w:p>
        </w:tc>
      </w:tr>
      <w:tr w14:paraId="68A7B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1E84D338">
            <w:pPr>
              <w:jc w:val="center"/>
              <w:rPr>
                <w:rFonts w:hint="eastAsia" w:ascii="宋体" w:hAnsi="宋体" w:cs="宋体"/>
                <w:color w:val="auto"/>
                <w:highlight w:val="none"/>
              </w:rPr>
            </w:pPr>
            <w:r>
              <w:rPr>
                <w:rFonts w:hint="eastAsia" w:ascii="宋体" w:hAnsi="宋体" w:cs="宋体"/>
                <w:color w:val="auto"/>
                <w:highlight w:val="none"/>
              </w:rPr>
              <w:t>2.经历</w:t>
            </w:r>
          </w:p>
        </w:tc>
      </w:tr>
      <w:tr w14:paraId="1C530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647B05A">
            <w:pPr>
              <w:jc w:val="center"/>
              <w:rPr>
                <w:rFonts w:hint="eastAsia"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07452C17">
            <w:pPr>
              <w:jc w:val="center"/>
              <w:rPr>
                <w:rFonts w:hint="eastAsia"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03B91519">
            <w:pPr>
              <w:jc w:val="center"/>
              <w:rPr>
                <w:rFonts w:hint="eastAsia"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6E6B1009">
            <w:pPr>
              <w:jc w:val="center"/>
              <w:rPr>
                <w:rFonts w:hint="eastAsia" w:ascii="宋体" w:hAnsi="宋体" w:cs="宋体"/>
                <w:color w:val="auto"/>
                <w:highlight w:val="none"/>
              </w:rPr>
            </w:pPr>
            <w:r>
              <w:rPr>
                <w:rFonts w:hint="eastAsia" w:ascii="宋体" w:hAnsi="宋体" w:cs="宋体"/>
                <w:color w:val="auto"/>
                <w:highlight w:val="none"/>
              </w:rPr>
              <w:t>备 注</w:t>
            </w:r>
          </w:p>
        </w:tc>
      </w:tr>
      <w:tr w14:paraId="7F48B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91B0A5E">
            <w:pPr>
              <w:jc w:val="center"/>
              <w:rPr>
                <w:rFonts w:hint="eastAsia" w:ascii="宋体" w:hAnsi="宋体" w:cs="宋体"/>
                <w:color w:val="auto"/>
                <w:highlight w:val="none"/>
              </w:rPr>
            </w:pPr>
          </w:p>
        </w:tc>
        <w:tc>
          <w:tcPr>
            <w:tcW w:w="4585" w:type="dxa"/>
            <w:gridSpan w:val="5"/>
            <w:vAlign w:val="center"/>
          </w:tcPr>
          <w:p w14:paraId="5D697BBB">
            <w:pPr>
              <w:jc w:val="center"/>
              <w:rPr>
                <w:rFonts w:hint="eastAsia" w:ascii="宋体" w:hAnsi="宋体" w:cs="宋体"/>
                <w:color w:val="auto"/>
                <w:highlight w:val="none"/>
              </w:rPr>
            </w:pPr>
          </w:p>
        </w:tc>
        <w:tc>
          <w:tcPr>
            <w:tcW w:w="1961" w:type="dxa"/>
            <w:gridSpan w:val="3"/>
            <w:vAlign w:val="center"/>
          </w:tcPr>
          <w:p w14:paraId="32BCAEFE">
            <w:pPr>
              <w:jc w:val="center"/>
              <w:rPr>
                <w:rFonts w:hint="eastAsia" w:ascii="宋体" w:hAnsi="宋体" w:cs="宋体"/>
                <w:color w:val="auto"/>
                <w:highlight w:val="none"/>
              </w:rPr>
            </w:pPr>
          </w:p>
        </w:tc>
        <w:tc>
          <w:tcPr>
            <w:tcW w:w="1358" w:type="dxa"/>
            <w:vAlign w:val="center"/>
          </w:tcPr>
          <w:p w14:paraId="0B921BFF">
            <w:pPr>
              <w:jc w:val="center"/>
              <w:rPr>
                <w:rFonts w:hint="eastAsia" w:ascii="宋体" w:hAnsi="宋体" w:cs="宋体"/>
                <w:color w:val="auto"/>
                <w:highlight w:val="none"/>
              </w:rPr>
            </w:pPr>
          </w:p>
        </w:tc>
      </w:tr>
      <w:tr w14:paraId="67641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2C76CA9">
            <w:pPr>
              <w:jc w:val="center"/>
              <w:rPr>
                <w:rFonts w:hint="eastAsia" w:ascii="宋体" w:hAnsi="宋体" w:cs="宋体"/>
                <w:color w:val="auto"/>
                <w:highlight w:val="none"/>
              </w:rPr>
            </w:pPr>
          </w:p>
        </w:tc>
        <w:tc>
          <w:tcPr>
            <w:tcW w:w="4585" w:type="dxa"/>
            <w:gridSpan w:val="5"/>
            <w:vAlign w:val="center"/>
          </w:tcPr>
          <w:p w14:paraId="57A0492A">
            <w:pPr>
              <w:jc w:val="center"/>
              <w:rPr>
                <w:rFonts w:hint="eastAsia" w:ascii="宋体" w:hAnsi="宋体" w:cs="宋体"/>
                <w:color w:val="auto"/>
                <w:highlight w:val="none"/>
              </w:rPr>
            </w:pPr>
          </w:p>
        </w:tc>
        <w:tc>
          <w:tcPr>
            <w:tcW w:w="1961" w:type="dxa"/>
            <w:gridSpan w:val="3"/>
            <w:vAlign w:val="center"/>
          </w:tcPr>
          <w:p w14:paraId="3B23ABD2">
            <w:pPr>
              <w:jc w:val="center"/>
              <w:rPr>
                <w:rFonts w:hint="eastAsia" w:ascii="宋体" w:hAnsi="宋体" w:cs="宋体"/>
                <w:color w:val="auto"/>
                <w:highlight w:val="none"/>
              </w:rPr>
            </w:pPr>
          </w:p>
        </w:tc>
        <w:tc>
          <w:tcPr>
            <w:tcW w:w="1358" w:type="dxa"/>
            <w:vAlign w:val="center"/>
          </w:tcPr>
          <w:p w14:paraId="62836FC7">
            <w:pPr>
              <w:jc w:val="center"/>
              <w:rPr>
                <w:rFonts w:hint="eastAsia" w:ascii="宋体" w:hAnsi="宋体" w:cs="宋体"/>
                <w:color w:val="auto"/>
                <w:highlight w:val="none"/>
              </w:rPr>
            </w:pPr>
          </w:p>
        </w:tc>
      </w:tr>
      <w:tr w14:paraId="01437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5394AC2">
            <w:pPr>
              <w:jc w:val="center"/>
              <w:rPr>
                <w:rFonts w:hint="eastAsia" w:ascii="宋体" w:hAnsi="宋体" w:cs="宋体"/>
                <w:color w:val="auto"/>
                <w:highlight w:val="none"/>
              </w:rPr>
            </w:pPr>
          </w:p>
        </w:tc>
        <w:tc>
          <w:tcPr>
            <w:tcW w:w="4585" w:type="dxa"/>
            <w:gridSpan w:val="5"/>
            <w:vAlign w:val="center"/>
          </w:tcPr>
          <w:p w14:paraId="01F59599">
            <w:pPr>
              <w:jc w:val="center"/>
              <w:rPr>
                <w:rFonts w:hint="eastAsia" w:ascii="宋体" w:hAnsi="宋体" w:cs="宋体"/>
                <w:color w:val="auto"/>
                <w:highlight w:val="none"/>
              </w:rPr>
            </w:pPr>
          </w:p>
        </w:tc>
        <w:tc>
          <w:tcPr>
            <w:tcW w:w="1961" w:type="dxa"/>
            <w:gridSpan w:val="3"/>
            <w:vAlign w:val="center"/>
          </w:tcPr>
          <w:p w14:paraId="4578CCFF">
            <w:pPr>
              <w:jc w:val="center"/>
              <w:rPr>
                <w:rFonts w:hint="eastAsia" w:ascii="宋体" w:hAnsi="宋体" w:cs="宋体"/>
                <w:color w:val="auto"/>
                <w:highlight w:val="none"/>
              </w:rPr>
            </w:pPr>
          </w:p>
        </w:tc>
        <w:tc>
          <w:tcPr>
            <w:tcW w:w="1358" w:type="dxa"/>
            <w:vAlign w:val="center"/>
          </w:tcPr>
          <w:p w14:paraId="465D383E">
            <w:pPr>
              <w:jc w:val="center"/>
              <w:rPr>
                <w:rFonts w:hint="eastAsia" w:ascii="宋体" w:hAnsi="宋体" w:cs="宋体"/>
                <w:color w:val="auto"/>
                <w:highlight w:val="none"/>
              </w:rPr>
            </w:pPr>
          </w:p>
        </w:tc>
      </w:tr>
      <w:tr w14:paraId="258A9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1479F3CC">
            <w:pPr>
              <w:jc w:val="center"/>
              <w:rPr>
                <w:rFonts w:hint="eastAsia" w:ascii="宋体" w:hAnsi="宋体" w:cs="宋体"/>
                <w:color w:val="auto"/>
                <w:highlight w:val="none"/>
              </w:rPr>
            </w:pPr>
            <w:r>
              <w:rPr>
                <w:rFonts w:hint="eastAsia" w:ascii="宋体" w:hAnsi="宋体" w:cs="宋体"/>
                <w:color w:val="auto"/>
                <w:highlight w:val="none"/>
              </w:rPr>
              <w:t>3.获奖情况（如有）</w:t>
            </w:r>
          </w:p>
        </w:tc>
      </w:tr>
      <w:tr w14:paraId="7E864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50B302FB">
            <w:pPr>
              <w:jc w:val="center"/>
              <w:rPr>
                <w:rFonts w:hint="eastAsia" w:ascii="宋体" w:hAnsi="宋体" w:cs="宋体"/>
                <w:color w:val="auto"/>
                <w:highlight w:val="none"/>
              </w:rPr>
            </w:pPr>
          </w:p>
        </w:tc>
      </w:tr>
      <w:tr w14:paraId="040E9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000612DF">
            <w:pPr>
              <w:jc w:val="center"/>
              <w:rPr>
                <w:rFonts w:hint="eastAsia" w:ascii="宋体" w:hAnsi="宋体" w:cs="宋体"/>
                <w:color w:val="auto"/>
                <w:highlight w:val="none"/>
              </w:rPr>
            </w:pPr>
            <w:r>
              <w:rPr>
                <w:rFonts w:hint="eastAsia" w:ascii="宋体" w:hAnsi="宋体" w:cs="宋体"/>
                <w:color w:val="auto"/>
                <w:highlight w:val="none"/>
              </w:rPr>
              <w:t>4.目前承担的任务</w:t>
            </w:r>
          </w:p>
        </w:tc>
      </w:tr>
      <w:tr w14:paraId="042F4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FADA8BE">
            <w:pPr>
              <w:jc w:val="center"/>
              <w:rPr>
                <w:rFonts w:hint="eastAsia" w:ascii="宋体" w:hAnsi="宋体" w:cs="宋体"/>
                <w:color w:val="auto"/>
                <w:highlight w:val="none"/>
              </w:rPr>
            </w:pPr>
          </w:p>
        </w:tc>
      </w:tr>
    </w:tbl>
    <w:p w14:paraId="25DB6FA2">
      <w:pPr>
        <w:wordWrap w:val="0"/>
        <w:adjustRightInd w:val="0"/>
        <w:snapToGrid w:val="0"/>
        <w:spacing w:line="440" w:lineRule="exact"/>
        <w:ind w:firstLine="570"/>
        <w:jc w:val="right"/>
        <w:rPr>
          <w:rFonts w:hint="eastAsia"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6E567244">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说明：《设计负责人简历表》后应附拟派设计负责人以下资料：</w:t>
      </w:r>
    </w:p>
    <w:p w14:paraId="056A816F">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61F433FF">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2．注册证书扫描件（须扫描变更注册栏）（如需）、职称证（如需）</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707BB213">
      <w:pPr>
        <w:wordWrap w:val="0"/>
        <w:adjustRightInd w:val="0"/>
        <w:snapToGrid w:val="0"/>
        <w:spacing w:line="400" w:lineRule="exact"/>
        <w:ind w:firstLine="420" w:firstLineChars="200"/>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3．在本单位缴纳社保的证明（至少近3个月，其中必须有2025年7月）</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546B6715">
      <w:pPr>
        <w:wordWrap w:val="0"/>
        <w:adjustRightInd w:val="0"/>
        <w:snapToGrid w:val="0"/>
        <w:spacing w:line="400" w:lineRule="exact"/>
        <w:ind w:firstLine="420" w:firstLineChars="200"/>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4.拟派设计负责人为退休返聘人员无法提供社保证明的，提供退休证和劳动合同/返聘证明</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375E64ED">
      <w:pPr>
        <w:rPr>
          <w:rFonts w:hint="eastAsia" w:ascii="宋体" w:hAnsi="宋体" w:cs="宋体"/>
          <w:color w:val="auto"/>
          <w:highlight w:val="none"/>
        </w:rPr>
      </w:pPr>
    </w:p>
    <w:p w14:paraId="3B5298D6">
      <w:pPr>
        <w:rPr>
          <w:rFonts w:hint="eastAsia" w:ascii="宋体" w:hAnsi="宋体" w:cs="宋体"/>
          <w:color w:val="auto"/>
          <w:highlight w:val="none"/>
        </w:rPr>
      </w:pPr>
    </w:p>
    <w:p w14:paraId="6ABE212E">
      <w:pPr>
        <w:rPr>
          <w:rFonts w:hint="eastAsia" w:ascii="宋体" w:hAnsi="宋体" w:cs="宋体"/>
          <w:color w:val="auto"/>
          <w:highlight w:val="none"/>
        </w:rPr>
      </w:pPr>
    </w:p>
    <w:p w14:paraId="1B0BE0F1">
      <w:pPr>
        <w:rPr>
          <w:rFonts w:hint="eastAsia" w:ascii="宋体" w:hAnsi="宋体" w:cs="宋体"/>
          <w:color w:val="auto"/>
          <w:highlight w:val="none"/>
        </w:rPr>
      </w:pPr>
    </w:p>
    <w:p w14:paraId="31C1415D">
      <w:pPr>
        <w:rPr>
          <w:rFonts w:hint="eastAsia" w:ascii="宋体" w:hAnsi="宋体" w:cs="宋体"/>
          <w:color w:val="auto"/>
          <w:highlight w:val="none"/>
        </w:rPr>
      </w:pPr>
    </w:p>
    <w:p w14:paraId="5DF54F05">
      <w:pPr>
        <w:rPr>
          <w:rFonts w:hint="eastAsia" w:ascii="宋体" w:hAnsi="宋体" w:cs="宋体"/>
          <w:color w:val="auto"/>
          <w:highlight w:val="none"/>
        </w:rPr>
      </w:pPr>
    </w:p>
    <w:p w14:paraId="26E56289">
      <w:pPr>
        <w:pStyle w:val="3"/>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73" w:name="_Toc7145"/>
      <w:bookmarkStart w:id="374" w:name="_Toc9297"/>
      <w:r>
        <w:rPr>
          <w:rFonts w:hint="eastAsia" w:ascii="宋体" w:hAnsi="宋体" w:cs="宋体"/>
          <w:b/>
          <w:snapToGrid w:val="0"/>
          <w:color w:val="auto"/>
          <w:sz w:val="24"/>
          <w:highlight w:val="none"/>
        </w:rPr>
        <w:t>格式六   本项目拟投入的人员基本情况表</w:t>
      </w:r>
      <w:bookmarkEnd w:id="373"/>
      <w:bookmarkEnd w:id="374"/>
    </w:p>
    <w:p w14:paraId="4901F4F1">
      <w:pPr>
        <w:wordWrap w:val="0"/>
        <w:adjustRightInd w:val="0"/>
        <w:snapToGrid w:val="0"/>
        <w:spacing w:line="440" w:lineRule="exact"/>
        <w:ind w:firstLine="570"/>
        <w:jc w:val="center"/>
        <w:rPr>
          <w:rFonts w:hint="eastAsia" w:ascii="宋体" w:hAnsi="宋体" w:cs="宋体"/>
          <w:snapToGrid w:val="0"/>
          <w:color w:val="auto"/>
          <w:kern w:val="0"/>
          <w:szCs w:val="28"/>
          <w:highlight w:val="none"/>
        </w:rPr>
      </w:pPr>
      <w:r>
        <w:rPr>
          <w:rFonts w:hint="eastAsia" w:ascii="宋体" w:hAnsi="宋体" w:cs="宋体"/>
          <w:b/>
          <w:snapToGrid w:val="0"/>
          <w:color w:val="auto"/>
          <w:kern w:val="0"/>
          <w:sz w:val="30"/>
          <w:highlight w:val="none"/>
        </w:rPr>
        <w:t>本项目拟投入的人员基本情况表</w:t>
      </w:r>
    </w:p>
    <w:p w14:paraId="6B1E8CDA">
      <w:pPr>
        <w:pStyle w:val="37"/>
        <w:wordWrap w:val="0"/>
        <w:adjustRightInd w:val="0"/>
        <w:snapToGrid w:val="0"/>
        <w:spacing w:line="440" w:lineRule="exact"/>
        <w:jc w:val="right"/>
        <w:rPr>
          <w:rFonts w:hint="eastAsia" w:ascii="宋体" w:hAnsi="宋体" w:eastAsia="宋体" w:cs="宋体"/>
          <w:snapToGrid w:val="0"/>
          <w:color w:val="auto"/>
          <w:kern w:val="0"/>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274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0E0E7618">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人员安排</w:t>
            </w:r>
          </w:p>
        </w:tc>
        <w:tc>
          <w:tcPr>
            <w:tcW w:w="1407" w:type="dxa"/>
            <w:vAlign w:val="center"/>
          </w:tcPr>
          <w:p w14:paraId="5BD52399">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姓 名</w:t>
            </w:r>
          </w:p>
        </w:tc>
        <w:tc>
          <w:tcPr>
            <w:tcW w:w="1320" w:type="dxa"/>
            <w:vAlign w:val="center"/>
          </w:tcPr>
          <w:p w14:paraId="1AC39D38">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年 龄</w:t>
            </w:r>
          </w:p>
        </w:tc>
        <w:tc>
          <w:tcPr>
            <w:tcW w:w="3202" w:type="dxa"/>
            <w:vAlign w:val="center"/>
          </w:tcPr>
          <w:p w14:paraId="5D7331C0">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职称证或注册执业专业</w:t>
            </w:r>
          </w:p>
        </w:tc>
      </w:tr>
      <w:tr w14:paraId="642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254BD70C">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设计负责人</w:t>
            </w:r>
          </w:p>
        </w:tc>
        <w:tc>
          <w:tcPr>
            <w:tcW w:w="1407" w:type="dxa"/>
            <w:vAlign w:val="center"/>
          </w:tcPr>
          <w:p w14:paraId="6985BD86">
            <w:pPr>
              <w:adjustRightInd w:val="0"/>
              <w:snapToGrid w:val="0"/>
              <w:spacing w:line="440" w:lineRule="exact"/>
              <w:rPr>
                <w:rFonts w:hint="eastAsia" w:ascii="宋体" w:hAnsi="宋体" w:cs="宋体"/>
                <w:color w:val="auto"/>
                <w:highlight w:val="none"/>
              </w:rPr>
            </w:pPr>
          </w:p>
        </w:tc>
        <w:tc>
          <w:tcPr>
            <w:tcW w:w="1320" w:type="dxa"/>
          </w:tcPr>
          <w:p w14:paraId="4AC4B989">
            <w:pPr>
              <w:adjustRightInd w:val="0"/>
              <w:snapToGrid w:val="0"/>
              <w:spacing w:line="440" w:lineRule="exact"/>
              <w:rPr>
                <w:rFonts w:hint="eastAsia" w:ascii="宋体" w:hAnsi="宋体" w:cs="宋体"/>
                <w:color w:val="auto"/>
                <w:highlight w:val="none"/>
              </w:rPr>
            </w:pPr>
          </w:p>
        </w:tc>
        <w:tc>
          <w:tcPr>
            <w:tcW w:w="3202" w:type="dxa"/>
            <w:vAlign w:val="center"/>
          </w:tcPr>
          <w:p w14:paraId="780EA045">
            <w:pPr>
              <w:adjustRightInd w:val="0"/>
              <w:snapToGrid w:val="0"/>
              <w:spacing w:line="440" w:lineRule="exact"/>
              <w:rPr>
                <w:rFonts w:hint="eastAsia" w:ascii="宋体" w:hAnsi="宋体" w:cs="宋体"/>
                <w:color w:val="auto"/>
                <w:highlight w:val="none"/>
              </w:rPr>
            </w:pPr>
          </w:p>
        </w:tc>
      </w:tr>
      <w:tr w14:paraId="5AC0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5A595554">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....各专业负责人</w:t>
            </w:r>
          </w:p>
        </w:tc>
        <w:tc>
          <w:tcPr>
            <w:tcW w:w="1407" w:type="dxa"/>
            <w:vAlign w:val="center"/>
          </w:tcPr>
          <w:p w14:paraId="302B56AD">
            <w:pPr>
              <w:adjustRightInd w:val="0"/>
              <w:snapToGrid w:val="0"/>
              <w:spacing w:line="440" w:lineRule="exact"/>
              <w:rPr>
                <w:rFonts w:hint="eastAsia" w:ascii="宋体" w:hAnsi="宋体" w:cs="宋体"/>
                <w:color w:val="auto"/>
                <w:highlight w:val="none"/>
              </w:rPr>
            </w:pPr>
          </w:p>
        </w:tc>
        <w:tc>
          <w:tcPr>
            <w:tcW w:w="1320" w:type="dxa"/>
          </w:tcPr>
          <w:p w14:paraId="09A8F88D">
            <w:pPr>
              <w:adjustRightInd w:val="0"/>
              <w:snapToGrid w:val="0"/>
              <w:spacing w:line="440" w:lineRule="exact"/>
              <w:rPr>
                <w:rFonts w:hint="eastAsia" w:ascii="宋体" w:hAnsi="宋体" w:cs="宋体"/>
                <w:color w:val="auto"/>
                <w:highlight w:val="none"/>
              </w:rPr>
            </w:pPr>
          </w:p>
        </w:tc>
        <w:tc>
          <w:tcPr>
            <w:tcW w:w="3202" w:type="dxa"/>
            <w:vAlign w:val="center"/>
          </w:tcPr>
          <w:p w14:paraId="3253FA90">
            <w:pPr>
              <w:adjustRightInd w:val="0"/>
              <w:snapToGrid w:val="0"/>
              <w:spacing w:line="440" w:lineRule="exact"/>
              <w:rPr>
                <w:rFonts w:hint="eastAsia" w:ascii="宋体" w:hAnsi="宋体" w:cs="宋体"/>
                <w:color w:val="auto"/>
                <w:highlight w:val="none"/>
              </w:rPr>
            </w:pPr>
          </w:p>
        </w:tc>
      </w:tr>
      <w:tr w14:paraId="5554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18E91231">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w:t>
            </w:r>
          </w:p>
        </w:tc>
        <w:tc>
          <w:tcPr>
            <w:tcW w:w="1407" w:type="dxa"/>
            <w:vAlign w:val="center"/>
          </w:tcPr>
          <w:p w14:paraId="406BA89C">
            <w:pPr>
              <w:adjustRightInd w:val="0"/>
              <w:snapToGrid w:val="0"/>
              <w:spacing w:line="440" w:lineRule="exact"/>
              <w:rPr>
                <w:rFonts w:hint="eastAsia" w:ascii="宋体" w:hAnsi="宋体" w:cs="宋体"/>
                <w:color w:val="auto"/>
                <w:highlight w:val="none"/>
              </w:rPr>
            </w:pPr>
          </w:p>
        </w:tc>
        <w:tc>
          <w:tcPr>
            <w:tcW w:w="1320" w:type="dxa"/>
          </w:tcPr>
          <w:p w14:paraId="7D303518">
            <w:pPr>
              <w:adjustRightInd w:val="0"/>
              <w:snapToGrid w:val="0"/>
              <w:spacing w:line="440" w:lineRule="exact"/>
              <w:rPr>
                <w:rFonts w:hint="eastAsia" w:ascii="宋体" w:hAnsi="宋体" w:cs="宋体"/>
                <w:color w:val="auto"/>
                <w:highlight w:val="none"/>
              </w:rPr>
            </w:pPr>
          </w:p>
        </w:tc>
        <w:tc>
          <w:tcPr>
            <w:tcW w:w="3202" w:type="dxa"/>
            <w:vAlign w:val="center"/>
          </w:tcPr>
          <w:p w14:paraId="3D71E469">
            <w:pPr>
              <w:adjustRightInd w:val="0"/>
              <w:snapToGrid w:val="0"/>
              <w:spacing w:line="440" w:lineRule="exact"/>
              <w:rPr>
                <w:rFonts w:hint="eastAsia" w:ascii="宋体" w:hAnsi="宋体" w:cs="宋体"/>
                <w:color w:val="auto"/>
                <w:highlight w:val="none"/>
              </w:rPr>
            </w:pPr>
          </w:p>
        </w:tc>
      </w:tr>
      <w:tr w14:paraId="0C5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2247" w:type="dxa"/>
            <w:vAlign w:val="center"/>
          </w:tcPr>
          <w:p w14:paraId="23B4ABBC">
            <w:pPr>
              <w:adjustRightInd w:val="0"/>
              <w:snapToGrid w:val="0"/>
              <w:spacing w:line="440" w:lineRule="exact"/>
              <w:rPr>
                <w:rFonts w:hint="eastAsia" w:ascii="宋体" w:hAnsi="宋体" w:cs="宋体"/>
                <w:b/>
                <w:color w:val="auto"/>
                <w:highlight w:val="none"/>
              </w:rPr>
            </w:pPr>
          </w:p>
        </w:tc>
        <w:tc>
          <w:tcPr>
            <w:tcW w:w="1407" w:type="dxa"/>
            <w:vAlign w:val="center"/>
          </w:tcPr>
          <w:p w14:paraId="652D237C">
            <w:pPr>
              <w:adjustRightInd w:val="0"/>
              <w:snapToGrid w:val="0"/>
              <w:spacing w:line="440" w:lineRule="exact"/>
              <w:rPr>
                <w:rFonts w:hint="eastAsia" w:ascii="宋体" w:hAnsi="宋体" w:cs="宋体"/>
                <w:color w:val="auto"/>
                <w:highlight w:val="none"/>
              </w:rPr>
            </w:pPr>
          </w:p>
        </w:tc>
        <w:tc>
          <w:tcPr>
            <w:tcW w:w="1320" w:type="dxa"/>
          </w:tcPr>
          <w:p w14:paraId="0FB7443C">
            <w:pPr>
              <w:adjustRightInd w:val="0"/>
              <w:snapToGrid w:val="0"/>
              <w:spacing w:line="440" w:lineRule="exact"/>
              <w:rPr>
                <w:rFonts w:hint="eastAsia" w:ascii="宋体" w:hAnsi="宋体" w:cs="宋体"/>
                <w:color w:val="auto"/>
                <w:highlight w:val="none"/>
              </w:rPr>
            </w:pPr>
          </w:p>
        </w:tc>
        <w:tc>
          <w:tcPr>
            <w:tcW w:w="3202" w:type="dxa"/>
            <w:vAlign w:val="center"/>
          </w:tcPr>
          <w:p w14:paraId="04C172C3">
            <w:pPr>
              <w:adjustRightInd w:val="0"/>
              <w:snapToGrid w:val="0"/>
              <w:spacing w:line="440" w:lineRule="exact"/>
              <w:rPr>
                <w:rFonts w:hint="eastAsia" w:ascii="宋体" w:hAnsi="宋体" w:cs="宋体"/>
                <w:color w:val="auto"/>
                <w:highlight w:val="none"/>
              </w:rPr>
            </w:pPr>
          </w:p>
        </w:tc>
      </w:tr>
      <w:tr w14:paraId="34F3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502E3327">
            <w:pPr>
              <w:adjustRightInd w:val="0"/>
              <w:snapToGrid w:val="0"/>
              <w:spacing w:line="440" w:lineRule="exact"/>
              <w:rPr>
                <w:rFonts w:hint="eastAsia" w:ascii="宋体" w:hAnsi="宋体" w:cs="宋体"/>
                <w:b/>
                <w:color w:val="auto"/>
                <w:highlight w:val="none"/>
              </w:rPr>
            </w:pPr>
          </w:p>
        </w:tc>
        <w:tc>
          <w:tcPr>
            <w:tcW w:w="1407" w:type="dxa"/>
            <w:vAlign w:val="center"/>
          </w:tcPr>
          <w:p w14:paraId="176D4A78">
            <w:pPr>
              <w:adjustRightInd w:val="0"/>
              <w:snapToGrid w:val="0"/>
              <w:spacing w:line="440" w:lineRule="exact"/>
              <w:rPr>
                <w:rFonts w:hint="eastAsia" w:ascii="宋体" w:hAnsi="宋体" w:cs="宋体"/>
                <w:color w:val="auto"/>
                <w:highlight w:val="none"/>
              </w:rPr>
            </w:pPr>
          </w:p>
        </w:tc>
        <w:tc>
          <w:tcPr>
            <w:tcW w:w="1320" w:type="dxa"/>
          </w:tcPr>
          <w:p w14:paraId="56CE9544">
            <w:pPr>
              <w:adjustRightInd w:val="0"/>
              <w:snapToGrid w:val="0"/>
              <w:spacing w:line="440" w:lineRule="exact"/>
              <w:rPr>
                <w:rFonts w:hint="eastAsia" w:ascii="宋体" w:hAnsi="宋体" w:cs="宋体"/>
                <w:color w:val="auto"/>
                <w:highlight w:val="none"/>
              </w:rPr>
            </w:pPr>
          </w:p>
        </w:tc>
        <w:tc>
          <w:tcPr>
            <w:tcW w:w="3202" w:type="dxa"/>
            <w:vAlign w:val="center"/>
          </w:tcPr>
          <w:p w14:paraId="4E4129F8">
            <w:pPr>
              <w:adjustRightInd w:val="0"/>
              <w:snapToGrid w:val="0"/>
              <w:spacing w:line="440" w:lineRule="exact"/>
              <w:rPr>
                <w:rFonts w:hint="eastAsia" w:ascii="宋体" w:hAnsi="宋体" w:cs="宋体"/>
                <w:color w:val="auto"/>
                <w:highlight w:val="none"/>
              </w:rPr>
            </w:pPr>
          </w:p>
        </w:tc>
      </w:tr>
      <w:tr w14:paraId="0E1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0C13AC4F">
            <w:pPr>
              <w:adjustRightInd w:val="0"/>
              <w:snapToGrid w:val="0"/>
              <w:spacing w:line="440" w:lineRule="exact"/>
              <w:rPr>
                <w:rFonts w:hint="eastAsia" w:ascii="宋体" w:hAnsi="宋体" w:cs="宋体"/>
                <w:b/>
                <w:color w:val="auto"/>
                <w:highlight w:val="none"/>
              </w:rPr>
            </w:pPr>
          </w:p>
        </w:tc>
        <w:tc>
          <w:tcPr>
            <w:tcW w:w="1407" w:type="dxa"/>
            <w:vAlign w:val="center"/>
          </w:tcPr>
          <w:p w14:paraId="69C6190E">
            <w:pPr>
              <w:adjustRightInd w:val="0"/>
              <w:snapToGrid w:val="0"/>
              <w:spacing w:line="440" w:lineRule="exact"/>
              <w:rPr>
                <w:rFonts w:hint="eastAsia" w:ascii="宋体" w:hAnsi="宋体" w:cs="宋体"/>
                <w:color w:val="auto"/>
                <w:highlight w:val="none"/>
              </w:rPr>
            </w:pPr>
          </w:p>
        </w:tc>
        <w:tc>
          <w:tcPr>
            <w:tcW w:w="1320" w:type="dxa"/>
          </w:tcPr>
          <w:p w14:paraId="6FBC1D6D">
            <w:pPr>
              <w:adjustRightInd w:val="0"/>
              <w:snapToGrid w:val="0"/>
              <w:spacing w:line="440" w:lineRule="exact"/>
              <w:rPr>
                <w:rFonts w:hint="eastAsia" w:ascii="宋体" w:hAnsi="宋体" w:cs="宋体"/>
                <w:color w:val="auto"/>
                <w:highlight w:val="none"/>
              </w:rPr>
            </w:pPr>
          </w:p>
        </w:tc>
        <w:tc>
          <w:tcPr>
            <w:tcW w:w="3202" w:type="dxa"/>
            <w:vAlign w:val="center"/>
          </w:tcPr>
          <w:p w14:paraId="1EC1DBA8">
            <w:pPr>
              <w:adjustRightInd w:val="0"/>
              <w:snapToGrid w:val="0"/>
              <w:spacing w:line="440" w:lineRule="exact"/>
              <w:rPr>
                <w:rFonts w:hint="eastAsia" w:ascii="宋体" w:hAnsi="宋体" w:cs="宋体"/>
                <w:color w:val="auto"/>
                <w:highlight w:val="none"/>
              </w:rPr>
            </w:pPr>
          </w:p>
        </w:tc>
      </w:tr>
      <w:tr w14:paraId="654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41F2554B">
            <w:pPr>
              <w:adjustRightInd w:val="0"/>
              <w:snapToGrid w:val="0"/>
              <w:spacing w:line="440" w:lineRule="exact"/>
              <w:rPr>
                <w:rFonts w:hint="eastAsia" w:ascii="宋体" w:hAnsi="宋体" w:cs="宋体"/>
                <w:b/>
                <w:color w:val="auto"/>
                <w:highlight w:val="none"/>
              </w:rPr>
            </w:pPr>
          </w:p>
        </w:tc>
        <w:tc>
          <w:tcPr>
            <w:tcW w:w="1407" w:type="dxa"/>
            <w:vAlign w:val="center"/>
          </w:tcPr>
          <w:p w14:paraId="08BEFEFB">
            <w:pPr>
              <w:adjustRightInd w:val="0"/>
              <w:snapToGrid w:val="0"/>
              <w:spacing w:line="440" w:lineRule="exact"/>
              <w:rPr>
                <w:rFonts w:hint="eastAsia" w:ascii="宋体" w:hAnsi="宋体" w:cs="宋体"/>
                <w:color w:val="auto"/>
                <w:highlight w:val="none"/>
              </w:rPr>
            </w:pPr>
          </w:p>
        </w:tc>
        <w:tc>
          <w:tcPr>
            <w:tcW w:w="1320" w:type="dxa"/>
          </w:tcPr>
          <w:p w14:paraId="2248A9C5">
            <w:pPr>
              <w:adjustRightInd w:val="0"/>
              <w:snapToGrid w:val="0"/>
              <w:spacing w:line="440" w:lineRule="exact"/>
              <w:rPr>
                <w:rFonts w:hint="eastAsia" w:ascii="宋体" w:hAnsi="宋体" w:cs="宋体"/>
                <w:color w:val="auto"/>
                <w:highlight w:val="none"/>
              </w:rPr>
            </w:pPr>
          </w:p>
        </w:tc>
        <w:tc>
          <w:tcPr>
            <w:tcW w:w="3202" w:type="dxa"/>
            <w:vAlign w:val="center"/>
          </w:tcPr>
          <w:p w14:paraId="58A5A216">
            <w:pPr>
              <w:adjustRightInd w:val="0"/>
              <w:snapToGrid w:val="0"/>
              <w:spacing w:line="440" w:lineRule="exact"/>
              <w:rPr>
                <w:rFonts w:hint="eastAsia" w:ascii="宋体" w:hAnsi="宋体" w:cs="宋体"/>
                <w:color w:val="auto"/>
                <w:highlight w:val="none"/>
              </w:rPr>
            </w:pPr>
          </w:p>
        </w:tc>
      </w:tr>
    </w:tbl>
    <w:p w14:paraId="199B189C">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说明：</w:t>
      </w:r>
    </w:p>
    <w:p w14:paraId="6E0BD4C3">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1.《本项目拟投入的人员基本情况表》后应附拟派其他主要人员（设计负责人除外）以下资料：</w:t>
      </w:r>
    </w:p>
    <w:p w14:paraId="56EE309A">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（1）身份证</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0ACB7637">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（2）毕业证（如需）、职称证（如需）、注册证书（如需）</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（须</w:t>
      </w:r>
      <w:r>
        <w:rPr>
          <w:rFonts w:hint="eastAsia" w:ascii="宋体" w:hAnsi="宋体" w:cs="宋体"/>
          <w:snapToGrid w:val="0"/>
          <w:color w:val="auto"/>
          <w:kern w:val="0"/>
          <w:szCs w:val="21"/>
          <w:highlight w:val="none"/>
        </w:rPr>
        <w:t>扫描</w:t>
      </w:r>
      <w:r>
        <w:rPr>
          <w:rFonts w:hint="eastAsia" w:ascii="宋体" w:hAnsi="宋体" w:cs="宋体"/>
          <w:snapToGrid w:val="0"/>
          <w:color w:val="auto"/>
          <w:kern w:val="0"/>
          <w:szCs w:val="28"/>
          <w:highlight w:val="none"/>
        </w:rPr>
        <w:t>变更注册栏）；</w:t>
      </w:r>
    </w:p>
    <w:p w14:paraId="3A82CF88">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（3）在本单位缴纳社保的证明（至少近3个月，其中必须有2025年7月）</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47606D0C">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（4）拟派人员为退休返聘人员无法提供社保证明的，提供退休证和劳动合同/返聘证明</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59443AA0">
      <w:pPr>
        <w:rPr>
          <w:rFonts w:hint="eastAsia" w:ascii="宋体" w:hAnsi="宋体" w:cs="宋体"/>
          <w:color w:val="auto"/>
          <w:highlight w:val="none"/>
        </w:rPr>
      </w:pPr>
    </w:p>
    <w:p w14:paraId="298A0117">
      <w:pPr>
        <w:rPr>
          <w:rFonts w:hint="eastAsia" w:ascii="宋体" w:hAnsi="宋体" w:cs="宋体"/>
          <w:color w:val="auto"/>
          <w:highlight w:val="none"/>
        </w:rPr>
      </w:pPr>
    </w:p>
    <w:p w14:paraId="2E589796">
      <w:pPr>
        <w:rPr>
          <w:rFonts w:hint="eastAsia" w:ascii="宋体" w:hAnsi="宋体" w:cs="宋体"/>
          <w:color w:val="auto"/>
          <w:highlight w:val="none"/>
        </w:rPr>
      </w:pPr>
    </w:p>
    <w:p w14:paraId="17BC333B">
      <w:pPr>
        <w:rPr>
          <w:rFonts w:hint="eastAsia" w:ascii="宋体" w:hAnsi="宋体" w:cs="宋体"/>
          <w:color w:val="auto"/>
          <w:highlight w:val="none"/>
        </w:rPr>
      </w:pPr>
    </w:p>
    <w:p w14:paraId="2A061AD4">
      <w:pPr>
        <w:rPr>
          <w:rFonts w:hint="eastAsia" w:ascii="宋体" w:hAnsi="宋体" w:cs="宋体"/>
          <w:color w:val="auto"/>
          <w:highlight w:val="none"/>
        </w:rPr>
      </w:pPr>
    </w:p>
    <w:p w14:paraId="473FF9ED">
      <w:pPr>
        <w:rPr>
          <w:rFonts w:hint="eastAsia" w:ascii="宋体" w:hAnsi="宋体" w:cs="宋体"/>
          <w:color w:val="auto"/>
          <w:highlight w:val="none"/>
        </w:rPr>
      </w:pPr>
    </w:p>
    <w:p w14:paraId="7C63DACD">
      <w:pPr>
        <w:rPr>
          <w:rFonts w:hint="eastAsia" w:ascii="宋体" w:hAnsi="宋体" w:cs="宋体"/>
          <w:color w:val="auto"/>
          <w:highlight w:val="none"/>
        </w:rPr>
      </w:pPr>
    </w:p>
    <w:p w14:paraId="1DCDE548">
      <w:pPr>
        <w:rPr>
          <w:rFonts w:hint="eastAsia" w:ascii="宋体" w:hAnsi="宋体" w:cs="宋体"/>
          <w:color w:val="auto"/>
          <w:highlight w:val="none"/>
        </w:rPr>
      </w:pPr>
    </w:p>
    <w:p w14:paraId="7EE1C9E7">
      <w:pPr>
        <w:rPr>
          <w:rFonts w:hint="eastAsia" w:ascii="宋体" w:hAnsi="宋体" w:cs="宋体"/>
          <w:color w:val="auto"/>
          <w:highlight w:val="none"/>
        </w:rPr>
      </w:pPr>
    </w:p>
    <w:p w14:paraId="370B9F73">
      <w:pPr>
        <w:rPr>
          <w:rFonts w:hint="eastAsia" w:ascii="宋体" w:hAnsi="宋体" w:cs="宋体"/>
          <w:b/>
          <w:snapToGrid w:val="0"/>
          <w:color w:val="auto"/>
          <w:sz w:val="24"/>
          <w:highlight w:val="none"/>
        </w:rPr>
      </w:pPr>
      <w:bookmarkStart w:id="375" w:name="_Toc635"/>
      <w:r>
        <w:rPr>
          <w:rFonts w:hint="eastAsia" w:ascii="宋体" w:hAnsi="宋体" w:cs="宋体"/>
          <w:b/>
          <w:snapToGrid w:val="0"/>
          <w:color w:val="auto"/>
          <w:sz w:val="24"/>
          <w:highlight w:val="none"/>
        </w:rPr>
        <w:br w:type="page"/>
      </w:r>
    </w:p>
    <w:p w14:paraId="53F0D46B">
      <w:pPr>
        <w:pStyle w:val="3"/>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76" w:name="_Toc20073"/>
      <w:r>
        <w:rPr>
          <w:rFonts w:hint="eastAsia" w:ascii="宋体" w:hAnsi="宋体" w:cs="宋体"/>
          <w:b/>
          <w:snapToGrid w:val="0"/>
          <w:color w:val="auto"/>
          <w:sz w:val="24"/>
          <w:highlight w:val="none"/>
        </w:rPr>
        <w:t>格式七   法定代表人身份证明书</w:t>
      </w:r>
      <w:bookmarkEnd w:id="375"/>
      <w:bookmarkEnd w:id="376"/>
    </w:p>
    <w:p w14:paraId="5911FE50">
      <w:pPr>
        <w:snapToGrid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法定代表人身份证明书</w:t>
      </w:r>
    </w:p>
    <w:p w14:paraId="22561D0E">
      <w:pPr>
        <w:adjustRightInd w:val="0"/>
        <w:snapToGrid w:val="0"/>
        <w:spacing w:line="440" w:lineRule="exact"/>
        <w:rPr>
          <w:rFonts w:hint="eastAsia" w:ascii="宋体" w:hAnsi="宋体" w:cs="宋体"/>
          <w:color w:val="auto"/>
          <w:sz w:val="24"/>
          <w:szCs w:val="24"/>
          <w:highlight w:val="none"/>
        </w:rPr>
      </w:pPr>
    </w:p>
    <w:p w14:paraId="5CA55B54">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u w:val="single"/>
        </w:rPr>
      </w:pPr>
      <w:bookmarkStart w:id="377" w:name="_Toc118541763"/>
      <w:bookmarkStart w:id="378" w:name="_Toc535300004"/>
      <w:bookmarkStart w:id="379" w:name="_Toc48547015"/>
      <w:r>
        <w:rPr>
          <w:rFonts w:hint="eastAsia" w:ascii="宋体" w:hAnsi="宋体" w:cs="宋体"/>
          <w:snapToGrid w:val="0"/>
          <w:color w:val="auto"/>
          <w:kern w:val="0"/>
          <w:sz w:val="24"/>
          <w:szCs w:val="24"/>
          <w:highlight w:val="none"/>
        </w:rPr>
        <w:t>投标人名称：</w:t>
      </w:r>
    </w:p>
    <w:p w14:paraId="4EAD9D07">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姓名：</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性别：</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年龄：</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职务：</w:t>
      </w:r>
    </w:p>
    <w:p w14:paraId="756DE484">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系</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（投标人名称）的法定代表人。</w:t>
      </w:r>
    </w:p>
    <w:p w14:paraId="13E48707">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特此证明。</w:t>
      </w:r>
    </w:p>
    <w:p w14:paraId="411CE0C0">
      <w:pPr>
        <w:wordWrap w:val="0"/>
        <w:adjustRightInd w:val="0"/>
        <w:snapToGrid w:val="0"/>
        <w:spacing w:line="360" w:lineRule="auto"/>
        <w:rPr>
          <w:rFonts w:hint="eastAsia" w:ascii="宋体" w:hAnsi="宋体" w:cs="宋体"/>
          <w:snapToGrid w:val="0"/>
          <w:color w:val="auto"/>
          <w:kern w:val="0"/>
          <w:sz w:val="24"/>
          <w:szCs w:val="24"/>
          <w:highlight w:val="none"/>
        </w:rPr>
      </w:pPr>
    </w:p>
    <w:p w14:paraId="0BE6EAFD">
      <w:pPr>
        <w:wordWrap w:val="0"/>
        <w:adjustRightInd w:val="0"/>
        <w:snapToGrid w:val="0"/>
        <w:spacing w:line="360" w:lineRule="auto"/>
        <w:rPr>
          <w:rFonts w:hint="eastAsia" w:ascii="宋体" w:hAnsi="宋体" w:cs="宋体"/>
          <w:snapToGrid w:val="0"/>
          <w:color w:val="auto"/>
          <w:kern w:val="0"/>
          <w:sz w:val="24"/>
          <w:szCs w:val="24"/>
          <w:highlight w:val="none"/>
        </w:rPr>
      </w:pPr>
    </w:p>
    <w:p w14:paraId="34D19918">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67EAF57F">
      <w:pPr>
        <w:rPr>
          <w:rFonts w:hint="eastAsia" w:ascii="宋体" w:hAnsi="宋体" w:cs="宋体"/>
          <w:color w:val="auto"/>
          <w:highlight w:val="none"/>
        </w:rPr>
      </w:pPr>
    </w:p>
    <w:p w14:paraId="3BD909CA">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法定代表人：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10595F81">
      <w:pPr>
        <w:rPr>
          <w:rFonts w:hint="eastAsia" w:ascii="宋体" w:hAnsi="宋体" w:cs="宋体"/>
          <w:color w:val="auto"/>
          <w:highlight w:val="none"/>
        </w:rPr>
      </w:pPr>
    </w:p>
    <w:p w14:paraId="4FB19887">
      <w:pPr>
        <w:wordWrap w:val="0"/>
        <w:adjustRightInd w:val="0"/>
        <w:snapToGrid w:val="0"/>
        <w:spacing w:line="360" w:lineRule="auto"/>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6B354383">
      <w:pPr>
        <w:rPr>
          <w:rFonts w:hint="eastAsia" w:ascii="宋体" w:hAnsi="宋体" w:cs="宋体"/>
          <w:color w:val="auto"/>
          <w:highlight w:val="none"/>
        </w:rPr>
      </w:pPr>
    </w:p>
    <w:p w14:paraId="756BFBF0">
      <w:pPr>
        <w:rPr>
          <w:rFonts w:hint="eastAsia" w:ascii="宋体" w:hAnsi="宋体" w:cs="宋体"/>
          <w:color w:val="auto"/>
          <w:highlight w:val="none"/>
        </w:rPr>
      </w:pPr>
    </w:p>
    <w:p w14:paraId="4AAD1010">
      <w:pP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4209B47">
                            <w:pPr>
                              <w:jc w:val="center"/>
                              <w:rPr>
                                <w:szCs w:val="21"/>
                              </w:rPr>
                            </w:pPr>
                          </w:p>
                          <w:p w14:paraId="71F19D33">
                            <w:pPr>
                              <w:jc w:val="center"/>
                              <w:rPr>
                                <w:szCs w:val="21"/>
                              </w:rPr>
                            </w:pPr>
                          </w:p>
                          <w:p w14:paraId="5D28A663">
                            <w:pPr>
                              <w:jc w:val="center"/>
                              <w:rPr>
                                <w:szCs w:val="21"/>
                              </w:rPr>
                            </w:pPr>
                          </w:p>
                          <w:p w14:paraId="7B83FD5A">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04209B47">
                      <w:pPr>
                        <w:jc w:val="center"/>
                        <w:rPr>
                          <w:szCs w:val="21"/>
                        </w:rPr>
                      </w:pPr>
                    </w:p>
                    <w:p w14:paraId="71F19D33">
                      <w:pPr>
                        <w:jc w:val="center"/>
                        <w:rPr>
                          <w:szCs w:val="21"/>
                        </w:rPr>
                      </w:pPr>
                    </w:p>
                    <w:p w14:paraId="5D28A663">
                      <w:pPr>
                        <w:jc w:val="center"/>
                        <w:rPr>
                          <w:szCs w:val="21"/>
                        </w:rPr>
                      </w:pPr>
                    </w:p>
                    <w:p w14:paraId="7B83FD5A">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6C4E029D">
      <w:pPr>
        <w:rPr>
          <w:rFonts w:hint="eastAsia" w:ascii="宋体" w:hAnsi="宋体" w:cs="宋体"/>
          <w:color w:val="auto"/>
          <w:highlight w:val="none"/>
        </w:rPr>
      </w:pPr>
    </w:p>
    <w:p w14:paraId="07C721D9">
      <w:pPr>
        <w:rPr>
          <w:rFonts w:hint="eastAsia" w:ascii="宋体" w:hAnsi="宋体" w:cs="宋体"/>
          <w:color w:val="auto"/>
          <w:highlight w:val="none"/>
        </w:rPr>
      </w:pPr>
    </w:p>
    <w:p w14:paraId="7D6A2904">
      <w:pPr>
        <w:rPr>
          <w:rFonts w:hint="eastAsia" w:ascii="宋体" w:hAnsi="宋体" w:cs="宋体"/>
          <w:color w:val="auto"/>
          <w:highlight w:val="none"/>
        </w:rPr>
      </w:pPr>
    </w:p>
    <w:p w14:paraId="6CB47E94">
      <w:pPr>
        <w:rPr>
          <w:rFonts w:hint="eastAsia" w:ascii="宋体" w:hAnsi="宋体" w:cs="宋体"/>
          <w:color w:val="auto"/>
          <w:highlight w:val="none"/>
        </w:rPr>
      </w:pPr>
    </w:p>
    <w:p w14:paraId="6368E4FB">
      <w:pPr>
        <w:rPr>
          <w:rFonts w:hint="eastAsia" w:ascii="宋体" w:hAnsi="宋体" w:cs="宋体"/>
          <w:color w:val="auto"/>
          <w:highlight w:val="none"/>
        </w:rPr>
      </w:pPr>
    </w:p>
    <w:p w14:paraId="4A255CB5">
      <w:pPr>
        <w:rPr>
          <w:rFonts w:hint="eastAsia" w:ascii="宋体" w:hAnsi="宋体" w:cs="宋体"/>
          <w:color w:val="auto"/>
          <w:highlight w:val="none"/>
        </w:rPr>
      </w:pPr>
    </w:p>
    <w:p w14:paraId="16625855">
      <w:pPr>
        <w:rPr>
          <w:rFonts w:hint="eastAsia" w:ascii="宋体" w:hAnsi="宋体" w:cs="宋体"/>
          <w:color w:val="auto"/>
          <w:highlight w:val="none"/>
        </w:rPr>
      </w:pPr>
    </w:p>
    <w:p w14:paraId="55E380C8">
      <w:pPr>
        <w:rPr>
          <w:rFonts w:hint="eastAsia" w:ascii="宋体" w:hAnsi="宋体" w:cs="宋体"/>
          <w:color w:val="auto"/>
          <w:highlight w:val="none"/>
        </w:rPr>
      </w:pPr>
    </w:p>
    <w:p w14:paraId="13D05293">
      <w:pPr>
        <w:rPr>
          <w:rFonts w:hint="eastAsia" w:ascii="宋体" w:hAnsi="宋体" w:cs="宋体"/>
          <w:color w:val="auto"/>
          <w:highlight w:val="none"/>
        </w:rPr>
      </w:pPr>
    </w:p>
    <w:p w14:paraId="39FC83AE">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宋体"/>
          <w:color w:val="auto"/>
          <w:sz w:val="24"/>
          <w:szCs w:val="24"/>
          <w:highlight w:val="none"/>
        </w:rPr>
      </w:pPr>
    </w:p>
    <w:p w14:paraId="27547F7B">
      <w:pPr>
        <w:rPr>
          <w:rFonts w:hint="eastAsia" w:ascii="宋体" w:hAnsi="宋体" w:cs="宋体"/>
          <w:b/>
          <w:snapToGrid w:val="0"/>
          <w:color w:val="auto"/>
          <w:sz w:val="24"/>
          <w:highlight w:val="none"/>
        </w:rPr>
      </w:pPr>
      <w:bookmarkStart w:id="380" w:name="_Toc6898"/>
      <w:bookmarkStart w:id="381" w:name="_Toc210101349"/>
      <w:r>
        <w:rPr>
          <w:rFonts w:hint="eastAsia" w:ascii="宋体" w:hAnsi="宋体" w:cs="宋体"/>
          <w:b/>
          <w:snapToGrid w:val="0"/>
          <w:color w:val="auto"/>
          <w:sz w:val="24"/>
          <w:highlight w:val="none"/>
        </w:rPr>
        <w:br w:type="page"/>
      </w:r>
    </w:p>
    <w:p w14:paraId="6FAB6048">
      <w:pPr>
        <w:pStyle w:val="3"/>
        <w:wordWrap w:val="0"/>
        <w:autoSpaceDE/>
        <w:autoSpaceDN/>
        <w:snapToGrid w:val="0"/>
        <w:spacing w:line="480" w:lineRule="auto"/>
        <w:ind w:firstLine="480"/>
        <w:jc w:val="both"/>
        <w:rPr>
          <w:rFonts w:hint="eastAsia" w:ascii="宋体" w:hAnsi="宋体" w:cs="宋体"/>
          <w:color w:val="auto"/>
          <w:highlight w:val="none"/>
        </w:rPr>
      </w:pPr>
      <w:bookmarkStart w:id="382" w:name="_Toc5114"/>
      <w:r>
        <w:rPr>
          <w:rFonts w:hint="eastAsia" w:ascii="宋体" w:hAnsi="宋体" w:cs="宋体"/>
          <w:b/>
          <w:snapToGrid w:val="0"/>
          <w:color w:val="auto"/>
          <w:sz w:val="24"/>
          <w:highlight w:val="none"/>
        </w:rPr>
        <w:t>格式八   法定代表人授权委托书</w:t>
      </w:r>
      <w:bookmarkEnd w:id="380"/>
      <w:bookmarkEnd w:id="382"/>
    </w:p>
    <w:bookmarkEnd w:id="377"/>
    <w:bookmarkEnd w:id="378"/>
    <w:bookmarkEnd w:id="379"/>
    <w:bookmarkEnd w:id="381"/>
    <w:p w14:paraId="1C9998C1">
      <w:pPr>
        <w:snapToGrid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法定代表人授权委托书</w:t>
      </w:r>
    </w:p>
    <w:p w14:paraId="4B85DB7C">
      <w:pPr>
        <w:adjustRightInd w:val="0"/>
        <w:snapToGrid w:val="0"/>
        <w:spacing w:line="440" w:lineRule="exact"/>
        <w:rPr>
          <w:rFonts w:hint="eastAsia" w:ascii="宋体" w:hAnsi="宋体" w:cs="宋体"/>
          <w:color w:val="auto"/>
          <w:sz w:val="24"/>
          <w:szCs w:val="24"/>
          <w:highlight w:val="none"/>
        </w:rPr>
      </w:pPr>
    </w:p>
    <w:p w14:paraId="694206CD">
      <w:pPr>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（项目名称）投标文件、签订合同和处理有关事宜，其法律后果由我方承担。</w:t>
      </w:r>
    </w:p>
    <w:p w14:paraId="250BCFC0">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委托期限：至投标有效期的期满之日止。</w:t>
      </w:r>
    </w:p>
    <w:p w14:paraId="512DB418">
      <w:pPr>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6162D129">
      <w:pPr>
        <w:rPr>
          <w:rFonts w:hint="eastAsia" w:ascii="宋体" w:hAnsi="宋体" w:cs="宋体"/>
          <w:color w:val="auto"/>
          <w:highlight w:val="none"/>
        </w:rPr>
      </w:pPr>
    </w:p>
    <w:p w14:paraId="26FF06EF">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20B9CE07">
      <w:pPr>
        <w:rPr>
          <w:rFonts w:hint="eastAsia" w:ascii="宋体" w:hAnsi="宋体" w:cs="宋体"/>
          <w:color w:val="auto"/>
          <w:highlight w:val="none"/>
        </w:rPr>
      </w:pPr>
    </w:p>
    <w:p w14:paraId="132195C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A7C6FE1">
      <w:pPr>
        <w:rPr>
          <w:rFonts w:hint="eastAsia" w:ascii="宋体" w:hAnsi="宋体" w:cs="宋体"/>
          <w:color w:val="auto"/>
          <w:highlight w:val="none"/>
        </w:rPr>
      </w:pPr>
    </w:p>
    <w:p w14:paraId="62DCCA20">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4B432117">
      <w:pPr>
        <w:rPr>
          <w:rFonts w:hint="eastAsia" w:ascii="宋体" w:hAnsi="宋体" w:cs="宋体"/>
          <w:color w:val="auto"/>
          <w:highlight w:val="none"/>
        </w:rPr>
      </w:pPr>
    </w:p>
    <w:p w14:paraId="695945A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0D2BAEB">
      <w:pPr>
        <w:rPr>
          <w:rFonts w:hint="eastAsia" w:ascii="宋体" w:hAnsi="宋体" w:cs="宋体"/>
          <w:color w:val="auto"/>
          <w:highlight w:val="none"/>
        </w:rPr>
      </w:pPr>
    </w:p>
    <w:p w14:paraId="4F597E45">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374E000C">
      <w:pPr>
        <w:rPr>
          <w:rFonts w:hint="eastAsia" w:ascii="宋体" w:hAnsi="宋体" w:cs="宋体"/>
          <w:color w:val="auto"/>
          <w:highlight w:val="none"/>
        </w:rPr>
      </w:pPr>
    </w:p>
    <w:p w14:paraId="4664A42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DFB27B2">
      <w:pPr>
        <w:rPr>
          <w:rFonts w:hint="eastAsia" w:ascii="宋体" w:hAnsi="宋体" w:cs="宋体"/>
          <w:color w:val="auto"/>
          <w:highlight w:val="none"/>
        </w:rPr>
      </w:pPr>
    </w:p>
    <w:p w14:paraId="472E86DE">
      <w:pP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FE36E46">
                            <w:pPr>
                              <w:jc w:val="center"/>
                              <w:rPr>
                                <w:szCs w:val="21"/>
                              </w:rPr>
                            </w:pPr>
                          </w:p>
                          <w:p w14:paraId="230A3F69">
                            <w:pPr>
                              <w:jc w:val="center"/>
                              <w:rPr>
                                <w:szCs w:val="21"/>
                              </w:rPr>
                            </w:pPr>
                          </w:p>
                          <w:p w14:paraId="5B2F59AA">
                            <w:pPr>
                              <w:jc w:val="center"/>
                              <w:rPr>
                                <w:szCs w:val="21"/>
                              </w:rPr>
                            </w:pPr>
                          </w:p>
                          <w:p w14:paraId="428FA347">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0FE36E46">
                      <w:pPr>
                        <w:jc w:val="center"/>
                        <w:rPr>
                          <w:szCs w:val="21"/>
                        </w:rPr>
                      </w:pPr>
                    </w:p>
                    <w:p w14:paraId="230A3F69">
                      <w:pPr>
                        <w:jc w:val="center"/>
                        <w:rPr>
                          <w:szCs w:val="21"/>
                        </w:rPr>
                      </w:pPr>
                    </w:p>
                    <w:p w14:paraId="5B2F59AA">
                      <w:pPr>
                        <w:jc w:val="center"/>
                        <w:rPr>
                          <w:szCs w:val="21"/>
                        </w:rPr>
                      </w:pPr>
                    </w:p>
                    <w:p w14:paraId="428FA347">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5EF8DD1F">
      <w:pPr>
        <w:rPr>
          <w:rFonts w:hint="eastAsia" w:ascii="宋体" w:hAnsi="宋体" w:cs="宋体"/>
          <w:color w:val="auto"/>
          <w:highlight w:val="none"/>
        </w:rPr>
      </w:pPr>
    </w:p>
    <w:p w14:paraId="0C47CC60">
      <w:pPr>
        <w:rPr>
          <w:rFonts w:hint="eastAsia" w:ascii="宋体" w:hAnsi="宋体" w:cs="宋体"/>
          <w:color w:val="auto"/>
          <w:highlight w:val="none"/>
        </w:rPr>
      </w:pPr>
    </w:p>
    <w:p w14:paraId="397837BF">
      <w:pPr>
        <w:rPr>
          <w:rFonts w:hint="eastAsia" w:ascii="宋体" w:hAnsi="宋体" w:cs="宋体"/>
          <w:color w:val="auto"/>
          <w:highlight w:val="none"/>
        </w:rPr>
      </w:pPr>
    </w:p>
    <w:p w14:paraId="53FF6F0E">
      <w:pPr>
        <w:rPr>
          <w:rFonts w:hint="eastAsia" w:ascii="宋体" w:hAnsi="宋体" w:cs="宋体"/>
          <w:color w:val="auto"/>
          <w:highlight w:val="none"/>
        </w:rPr>
      </w:pPr>
    </w:p>
    <w:p w14:paraId="09544FAB">
      <w:pPr>
        <w:rPr>
          <w:rFonts w:hint="eastAsia" w:ascii="宋体" w:hAnsi="宋体" w:cs="宋体"/>
          <w:color w:val="auto"/>
          <w:highlight w:val="none"/>
        </w:rPr>
      </w:pPr>
    </w:p>
    <w:p w14:paraId="028115F6">
      <w:pPr>
        <w:rPr>
          <w:rFonts w:hint="eastAsia" w:ascii="宋体" w:hAnsi="宋体" w:cs="宋体"/>
          <w:color w:val="auto"/>
          <w:highlight w:val="none"/>
        </w:rPr>
      </w:pPr>
    </w:p>
    <w:p w14:paraId="2D3432BE">
      <w:pPr>
        <w:rPr>
          <w:rFonts w:hint="eastAsia" w:ascii="宋体" w:hAnsi="宋体" w:cs="宋体"/>
          <w:color w:val="auto"/>
          <w:highlight w:val="none"/>
        </w:rPr>
      </w:pPr>
    </w:p>
    <w:bookmarkEnd w:id="288"/>
    <w:p w14:paraId="468B7B97">
      <w:pPr>
        <w:pStyle w:val="3"/>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83" w:name="_Toc31687"/>
      <w:bookmarkStart w:id="384" w:name="_Toc23645"/>
      <w:r>
        <w:rPr>
          <w:rFonts w:hint="eastAsia" w:ascii="宋体" w:hAnsi="宋体" w:cs="宋体"/>
          <w:b/>
          <w:snapToGrid w:val="0"/>
          <w:color w:val="auto"/>
          <w:sz w:val="24"/>
          <w:highlight w:val="none"/>
        </w:rPr>
        <w:t>格式九   联合体协议书</w:t>
      </w:r>
      <w:bookmarkEnd w:id="383"/>
      <w:bookmarkEnd w:id="384"/>
    </w:p>
    <w:p w14:paraId="70113528">
      <w:pPr>
        <w:pStyle w:val="36"/>
        <w:widowControl w:val="0"/>
        <w:wordWrap w:val="0"/>
        <w:adjustRightInd w:val="0"/>
        <w:snapToGrid w:val="0"/>
        <w:spacing w:before="240" w:after="240" w:line="440" w:lineRule="exact"/>
        <w:ind w:firstLine="0"/>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联合体协议书</w:t>
      </w:r>
    </w:p>
    <w:p w14:paraId="5F312F8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（所有成员单位名称）自愿组成联合体，共同参加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投标。现就联合体投标事宜订立如下协议：</w:t>
      </w:r>
    </w:p>
    <w:p w14:paraId="7CF9FCF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1.__________（某成员单位名称）为_____________________（联合体名称）牵头人。</w:t>
      </w:r>
    </w:p>
    <w:p w14:paraId="1D6AEAF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9C5188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3.联合体将严格按照招标文件的各项要求，递交投标文件，履行合同，并对外承担连带责任。</w:t>
      </w:r>
    </w:p>
    <w:p w14:paraId="094A536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联合体牵头人   （单位名称）    除负责本协议第2条的工作外，还负责承担       工作，联合体成员（单位名称）</w:t>
      </w:r>
      <w:r>
        <w:rPr>
          <w:rFonts w:hint="eastAsia" w:ascii="宋体" w:hAnsi="宋体" w:cs="宋体"/>
          <w:color w:val="auto"/>
          <w:sz w:val="24"/>
          <w:highlight w:val="none"/>
        </w:rPr>
        <w:t>___________</w:t>
      </w:r>
      <w:r>
        <w:rPr>
          <w:rFonts w:hint="eastAsia" w:ascii="宋体" w:hAnsi="宋体" w:cs="宋体"/>
          <w:color w:val="auto"/>
          <w:sz w:val="24"/>
          <w:highlight w:val="none"/>
          <w:u w:val="single"/>
        </w:rPr>
        <w:t>承担      工作。</w:t>
      </w:r>
    </w:p>
    <w:p w14:paraId="036F3D6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5.本协议书自签署之日起生效，合同履行完毕后自动失效。</w:t>
      </w:r>
    </w:p>
    <w:p w14:paraId="5D93C38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份，联合体各成员和招标人各执一份。</w:t>
      </w:r>
    </w:p>
    <w:p w14:paraId="08C1F355">
      <w:pPr>
        <w:rPr>
          <w:rFonts w:hint="eastAsia" w:ascii="宋体" w:hAnsi="宋体" w:cs="宋体"/>
          <w:color w:val="auto"/>
          <w:highlight w:val="none"/>
        </w:rPr>
      </w:pPr>
    </w:p>
    <w:p w14:paraId="13A0C811">
      <w:pPr>
        <w:pStyle w:val="36"/>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1A27F2E5">
      <w:pPr>
        <w:pStyle w:val="36"/>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099DEFF2">
      <w:pPr>
        <w:pStyle w:val="36"/>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0B0AC599">
      <w:pPr>
        <w:pStyle w:val="36"/>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374B3847">
      <w:pPr>
        <w:pStyle w:val="36"/>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5BBAD063">
      <w:pPr>
        <w:rPr>
          <w:rFonts w:hint="eastAsia" w:ascii="宋体" w:hAnsi="宋体" w:cs="宋体"/>
          <w:color w:val="auto"/>
          <w:highlight w:val="none"/>
        </w:rPr>
      </w:pPr>
    </w:p>
    <w:p w14:paraId="28D94294">
      <w:pPr>
        <w:pStyle w:val="36"/>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31DBEEB9">
      <w:pPr>
        <w:rPr>
          <w:rFonts w:hint="eastAsia" w:ascii="宋体" w:hAnsi="宋体" w:cs="宋体"/>
          <w:color w:val="auto"/>
          <w:highlight w:val="none"/>
        </w:rPr>
      </w:pPr>
    </w:p>
    <w:p w14:paraId="5D620992">
      <w:pPr>
        <w:pStyle w:val="36"/>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15160221">
      <w:pPr>
        <w:wordWrap w:val="0"/>
        <w:adjustRightInd w:val="0"/>
        <w:snapToGrid w:val="0"/>
        <w:spacing w:line="440" w:lineRule="exact"/>
        <w:rPr>
          <w:rFonts w:hint="eastAsia" w:ascii="宋体" w:hAnsi="宋体" w:cs="宋体"/>
          <w:color w:val="auto"/>
          <w:highlight w:val="none"/>
        </w:rPr>
      </w:pPr>
    </w:p>
    <w:p w14:paraId="085C6889">
      <w:pPr>
        <w:rPr>
          <w:rFonts w:hint="eastAsia" w:ascii="宋体" w:hAnsi="宋体" w:cs="宋体"/>
          <w:color w:val="auto"/>
          <w:highlight w:val="none"/>
        </w:rPr>
      </w:pPr>
    </w:p>
    <w:p w14:paraId="5C22FA41">
      <w:pPr>
        <w:rPr>
          <w:rFonts w:hint="eastAsia" w:ascii="宋体" w:hAnsi="宋体" w:cs="宋体"/>
          <w:color w:val="auto"/>
          <w:highlight w:val="none"/>
        </w:rPr>
      </w:pPr>
    </w:p>
    <w:p w14:paraId="44E76914">
      <w:pPr>
        <w:rPr>
          <w:rFonts w:hint="eastAsia" w:ascii="宋体" w:hAnsi="宋体" w:cs="宋体"/>
          <w:color w:val="auto"/>
          <w:highlight w:val="none"/>
        </w:rPr>
      </w:pPr>
    </w:p>
    <w:p w14:paraId="7CB6F975">
      <w:pPr>
        <w:pStyle w:val="19"/>
        <w:rPr>
          <w:rFonts w:hint="eastAsia" w:ascii="宋体" w:hAnsi="宋体" w:cs="宋体"/>
          <w:color w:val="auto"/>
          <w:highlight w:val="none"/>
        </w:rPr>
      </w:pPr>
    </w:p>
    <w:p w14:paraId="128CEB80">
      <w:pPr>
        <w:pStyle w:val="19"/>
        <w:rPr>
          <w:rFonts w:hint="eastAsia" w:ascii="宋体" w:hAnsi="宋体" w:cs="宋体"/>
          <w:color w:val="auto"/>
          <w:highlight w:val="none"/>
        </w:rPr>
      </w:pPr>
    </w:p>
    <w:sectPr>
      <w:footerReference r:id="rId6" w:type="default"/>
      <w:endnotePr>
        <w:numFmt w:val="decimal"/>
      </w:endnotePr>
      <w:pgSz w:w="11907" w:h="16840"/>
      <w:pgMar w:top="720" w:right="720" w:bottom="720" w:left="720" w:header="850" w:footer="850" w:gutter="0"/>
      <w:pgNumType w:start="1"/>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D294">
    <w:pPr>
      <w:pStyle w:val="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20ED">
    <w:pPr>
      <w:pStyle w:val="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3CD9">
    <w:pPr>
      <w:pStyle w:val="8"/>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A3D032">
                          <w:pPr>
                            <w:pStyle w:val="8"/>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6A3D032">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5092">
    <w:pPr>
      <w:ind w:firstLine="180" w:firstLineChars="100"/>
      <w:rPr>
        <w:rFonts w:hint="eastAsia"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E8506"/>
    <w:multiLevelType w:val="singleLevel"/>
    <w:tmpl w:val="854E8506"/>
    <w:lvl w:ilvl="0" w:tentative="0">
      <w:start w:val="1"/>
      <w:numFmt w:val="decimal"/>
      <w:lvlText w:val="%1."/>
      <w:lvlJc w:val="left"/>
      <w:pPr>
        <w:tabs>
          <w:tab w:val="left" w:pos="312"/>
        </w:tabs>
      </w:pPr>
    </w:lvl>
  </w:abstractNum>
  <w:abstractNum w:abstractNumId="1">
    <w:nsid w:val="A9E26599"/>
    <w:multiLevelType w:val="singleLevel"/>
    <w:tmpl w:val="A9E26599"/>
    <w:lvl w:ilvl="0" w:tentative="0">
      <w:start w:val="4"/>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3">
    <w:nsid w:val="1F5F4D16"/>
    <w:multiLevelType w:val="singleLevel"/>
    <w:tmpl w:val="1F5F4D16"/>
    <w:lvl w:ilvl="0" w:tentative="0">
      <w:start w:val="1"/>
      <w:numFmt w:val="decimal"/>
      <w:lvlText w:val="%1."/>
      <w:lvlJc w:val="left"/>
      <w:pPr>
        <w:tabs>
          <w:tab w:val="left" w:pos="312"/>
        </w:tabs>
      </w:pPr>
    </w:lvl>
  </w:abstractNum>
  <w:abstractNum w:abstractNumId="4">
    <w:nsid w:val="5BE4B081"/>
    <w:multiLevelType w:val="singleLevel"/>
    <w:tmpl w:val="5BE4B081"/>
    <w:lvl w:ilvl="0" w:tentative="0">
      <w:start w:val="1"/>
      <w:numFmt w:val="decimal"/>
      <w:suff w:val="nothing"/>
      <w:lvlText w:val="（%1）"/>
      <w:lvlJc w:val="left"/>
    </w:lvl>
  </w:abstractNum>
  <w:abstractNum w:abstractNumId="5">
    <w:nsid w:val="7A88E5B1"/>
    <w:multiLevelType w:val="singleLevel"/>
    <w:tmpl w:val="7A88E5B1"/>
    <w:lvl w:ilvl="0" w:tentative="0">
      <w:start w:val="1"/>
      <w:numFmt w:val="decimal"/>
      <w:lvlText w:val="%1."/>
      <w:lvlJc w:val="left"/>
      <w:pPr>
        <w:tabs>
          <w:tab w:val="left" w:pos="312"/>
        </w:tabs>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ZWFlZWUwMjRmYmNlZmU3MzI0NDE1Nzk5YWVhNDgifQ=="/>
  </w:docVars>
  <w:rsids>
    <w:rsidRoot w:val="0E7043C6"/>
    <w:rsid w:val="00000CE1"/>
    <w:rsid w:val="001D1D3D"/>
    <w:rsid w:val="001D3EB0"/>
    <w:rsid w:val="001E23A5"/>
    <w:rsid w:val="00202776"/>
    <w:rsid w:val="00211327"/>
    <w:rsid w:val="00261462"/>
    <w:rsid w:val="002C0535"/>
    <w:rsid w:val="002C711B"/>
    <w:rsid w:val="00310A33"/>
    <w:rsid w:val="00334392"/>
    <w:rsid w:val="003759FB"/>
    <w:rsid w:val="003A3B29"/>
    <w:rsid w:val="0044040C"/>
    <w:rsid w:val="00481BB4"/>
    <w:rsid w:val="00483888"/>
    <w:rsid w:val="004F19E0"/>
    <w:rsid w:val="005161B1"/>
    <w:rsid w:val="00597423"/>
    <w:rsid w:val="0061573A"/>
    <w:rsid w:val="00633721"/>
    <w:rsid w:val="006577A7"/>
    <w:rsid w:val="006B31C3"/>
    <w:rsid w:val="006D5FDC"/>
    <w:rsid w:val="00736C40"/>
    <w:rsid w:val="007B2DD4"/>
    <w:rsid w:val="007C2612"/>
    <w:rsid w:val="007E378C"/>
    <w:rsid w:val="00925980"/>
    <w:rsid w:val="00A110DB"/>
    <w:rsid w:val="00A263DD"/>
    <w:rsid w:val="00A7129A"/>
    <w:rsid w:val="00AC22AC"/>
    <w:rsid w:val="00B0423E"/>
    <w:rsid w:val="00B521A0"/>
    <w:rsid w:val="00BA4205"/>
    <w:rsid w:val="00C36457"/>
    <w:rsid w:val="00C508C7"/>
    <w:rsid w:val="00C67F6E"/>
    <w:rsid w:val="00C714D7"/>
    <w:rsid w:val="00C7389F"/>
    <w:rsid w:val="00CC7219"/>
    <w:rsid w:val="00D06004"/>
    <w:rsid w:val="00D77B7B"/>
    <w:rsid w:val="00D83470"/>
    <w:rsid w:val="00DA5646"/>
    <w:rsid w:val="00DC1701"/>
    <w:rsid w:val="00E011C3"/>
    <w:rsid w:val="00E27A35"/>
    <w:rsid w:val="00E521E8"/>
    <w:rsid w:val="00E56337"/>
    <w:rsid w:val="00E6191C"/>
    <w:rsid w:val="00E647E3"/>
    <w:rsid w:val="00E77480"/>
    <w:rsid w:val="00F26485"/>
    <w:rsid w:val="00F4297D"/>
    <w:rsid w:val="00F63642"/>
    <w:rsid w:val="012C7379"/>
    <w:rsid w:val="01B40D75"/>
    <w:rsid w:val="03B91C56"/>
    <w:rsid w:val="044252BC"/>
    <w:rsid w:val="044C0C16"/>
    <w:rsid w:val="048876CC"/>
    <w:rsid w:val="049F75FD"/>
    <w:rsid w:val="04B07740"/>
    <w:rsid w:val="04DD675D"/>
    <w:rsid w:val="07476803"/>
    <w:rsid w:val="07867E64"/>
    <w:rsid w:val="080E48C5"/>
    <w:rsid w:val="085A3ADC"/>
    <w:rsid w:val="087F5A58"/>
    <w:rsid w:val="08A848DD"/>
    <w:rsid w:val="08D80F3D"/>
    <w:rsid w:val="091343F8"/>
    <w:rsid w:val="09E03C3B"/>
    <w:rsid w:val="09ED69F7"/>
    <w:rsid w:val="0A023DFB"/>
    <w:rsid w:val="0A986D2D"/>
    <w:rsid w:val="0AB67731"/>
    <w:rsid w:val="0B1B1342"/>
    <w:rsid w:val="0B88438B"/>
    <w:rsid w:val="0C590374"/>
    <w:rsid w:val="0D10095C"/>
    <w:rsid w:val="0D6F3B1F"/>
    <w:rsid w:val="0D8E39B6"/>
    <w:rsid w:val="0E306F56"/>
    <w:rsid w:val="0E7043C6"/>
    <w:rsid w:val="0EAC0C2F"/>
    <w:rsid w:val="0F00691E"/>
    <w:rsid w:val="0F4C6E4D"/>
    <w:rsid w:val="10686DD7"/>
    <w:rsid w:val="10B628CD"/>
    <w:rsid w:val="110937B1"/>
    <w:rsid w:val="11100DEB"/>
    <w:rsid w:val="117F5B9F"/>
    <w:rsid w:val="11BF511D"/>
    <w:rsid w:val="12303F8C"/>
    <w:rsid w:val="123B5B24"/>
    <w:rsid w:val="124A70DD"/>
    <w:rsid w:val="12CD386A"/>
    <w:rsid w:val="138C54D3"/>
    <w:rsid w:val="1467679C"/>
    <w:rsid w:val="14753448"/>
    <w:rsid w:val="149363ED"/>
    <w:rsid w:val="149D32AE"/>
    <w:rsid w:val="15645AE1"/>
    <w:rsid w:val="156F530F"/>
    <w:rsid w:val="15A90A89"/>
    <w:rsid w:val="15D078F9"/>
    <w:rsid w:val="163836F0"/>
    <w:rsid w:val="178B0EFA"/>
    <w:rsid w:val="178B7795"/>
    <w:rsid w:val="18133A66"/>
    <w:rsid w:val="18220DFA"/>
    <w:rsid w:val="18406DFB"/>
    <w:rsid w:val="18566C19"/>
    <w:rsid w:val="18AD591B"/>
    <w:rsid w:val="18D86AC4"/>
    <w:rsid w:val="19471C71"/>
    <w:rsid w:val="1A3F504D"/>
    <w:rsid w:val="1A50725A"/>
    <w:rsid w:val="1BC30AAC"/>
    <w:rsid w:val="1BC525FA"/>
    <w:rsid w:val="1C77552A"/>
    <w:rsid w:val="1C8651B5"/>
    <w:rsid w:val="1C9F6277"/>
    <w:rsid w:val="1D76522A"/>
    <w:rsid w:val="1DA17278"/>
    <w:rsid w:val="1DB7335B"/>
    <w:rsid w:val="1DDC5A9F"/>
    <w:rsid w:val="1E0460D6"/>
    <w:rsid w:val="1E262080"/>
    <w:rsid w:val="1EBB171D"/>
    <w:rsid w:val="1EC04283"/>
    <w:rsid w:val="1ED313E4"/>
    <w:rsid w:val="1F6F6675"/>
    <w:rsid w:val="1FAE378F"/>
    <w:rsid w:val="2012571E"/>
    <w:rsid w:val="20A844AB"/>
    <w:rsid w:val="211E078D"/>
    <w:rsid w:val="212A57D2"/>
    <w:rsid w:val="21714971"/>
    <w:rsid w:val="21747CD2"/>
    <w:rsid w:val="21846654"/>
    <w:rsid w:val="21AC399A"/>
    <w:rsid w:val="22780674"/>
    <w:rsid w:val="2293761B"/>
    <w:rsid w:val="23097387"/>
    <w:rsid w:val="2379775D"/>
    <w:rsid w:val="23AD74CB"/>
    <w:rsid w:val="249002FB"/>
    <w:rsid w:val="24A77F65"/>
    <w:rsid w:val="252514C3"/>
    <w:rsid w:val="253B28B5"/>
    <w:rsid w:val="258105FF"/>
    <w:rsid w:val="261A071C"/>
    <w:rsid w:val="26256302"/>
    <w:rsid w:val="26AF0AD9"/>
    <w:rsid w:val="2792313A"/>
    <w:rsid w:val="283B40D1"/>
    <w:rsid w:val="2987638D"/>
    <w:rsid w:val="2ABF546E"/>
    <w:rsid w:val="2B1F5E71"/>
    <w:rsid w:val="2B956DFA"/>
    <w:rsid w:val="2BB92785"/>
    <w:rsid w:val="2BE3145F"/>
    <w:rsid w:val="2CC34436"/>
    <w:rsid w:val="2E782484"/>
    <w:rsid w:val="2E884DBD"/>
    <w:rsid w:val="2EEC3E74"/>
    <w:rsid w:val="2F280A51"/>
    <w:rsid w:val="2FC37FB4"/>
    <w:rsid w:val="2FD302BA"/>
    <w:rsid w:val="302410D8"/>
    <w:rsid w:val="3038011D"/>
    <w:rsid w:val="30570306"/>
    <w:rsid w:val="30B40C26"/>
    <w:rsid w:val="30CA2CD3"/>
    <w:rsid w:val="30F93F61"/>
    <w:rsid w:val="314A59AA"/>
    <w:rsid w:val="31B71515"/>
    <w:rsid w:val="31CC3FBC"/>
    <w:rsid w:val="3234348A"/>
    <w:rsid w:val="32863B2C"/>
    <w:rsid w:val="330A5010"/>
    <w:rsid w:val="33B6534C"/>
    <w:rsid w:val="34002C75"/>
    <w:rsid w:val="343B422E"/>
    <w:rsid w:val="34D631F3"/>
    <w:rsid w:val="34DD0FD6"/>
    <w:rsid w:val="34E21964"/>
    <w:rsid w:val="36681ECB"/>
    <w:rsid w:val="36AF3103"/>
    <w:rsid w:val="36C5227C"/>
    <w:rsid w:val="372223AA"/>
    <w:rsid w:val="376A37A0"/>
    <w:rsid w:val="37A13EFE"/>
    <w:rsid w:val="37B91714"/>
    <w:rsid w:val="38310067"/>
    <w:rsid w:val="383A66BA"/>
    <w:rsid w:val="38625055"/>
    <w:rsid w:val="389410CF"/>
    <w:rsid w:val="38CA0674"/>
    <w:rsid w:val="39A16D33"/>
    <w:rsid w:val="39A24859"/>
    <w:rsid w:val="39CD7B28"/>
    <w:rsid w:val="3A1E0383"/>
    <w:rsid w:val="3A4F4F44"/>
    <w:rsid w:val="3A5746E4"/>
    <w:rsid w:val="3AA20FB4"/>
    <w:rsid w:val="3AB31FC8"/>
    <w:rsid w:val="3B2B496A"/>
    <w:rsid w:val="3B4A51A8"/>
    <w:rsid w:val="3B574AC0"/>
    <w:rsid w:val="3B8147E4"/>
    <w:rsid w:val="3B8E32E7"/>
    <w:rsid w:val="3CC33464"/>
    <w:rsid w:val="3D9E46E1"/>
    <w:rsid w:val="3F056E63"/>
    <w:rsid w:val="402E520E"/>
    <w:rsid w:val="40E20D36"/>
    <w:rsid w:val="41A53138"/>
    <w:rsid w:val="42E6709F"/>
    <w:rsid w:val="433779FE"/>
    <w:rsid w:val="43432C09"/>
    <w:rsid w:val="453E269A"/>
    <w:rsid w:val="459E4A6E"/>
    <w:rsid w:val="45BB5620"/>
    <w:rsid w:val="46492C2C"/>
    <w:rsid w:val="4686308E"/>
    <w:rsid w:val="46970CB7"/>
    <w:rsid w:val="46F57C53"/>
    <w:rsid w:val="47392CA0"/>
    <w:rsid w:val="47FF0B70"/>
    <w:rsid w:val="480D7C89"/>
    <w:rsid w:val="483A2895"/>
    <w:rsid w:val="491A0653"/>
    <w:rsid w:val="49890991"/>
    <w:rsid w:val="49962046"/>
    <w:rsid w:val="49993B51"/>
    <w:rsid w:val="4B7110F8"/>
    <w:rsid w:val="4C1A59C8"/>
    <w:rsid w:val="4C2B48CC"/>
    <w:rsid w:val="4C6974F2"/>
    <w:rsid w:val="4CE30FB8"/>
    <w:rsid w:val="4CF136D5"/>
    <w:rsid w:val="4D9F75D5"/>
    <w:rsid w:val="4DB14B03"/>
    <w:rsid w:val="4E056A63"/>
    <w:rsid w:val="4ED842D9"/>
    <w:rsid w:val="4FE53195"/>
    <w:rsid w:val="4FE83978"/>
    <w:rsid w:val="50024FBD"/>
    <w:rsid w:val="5039786D"/>
    <w:rsid w:val="50720FD1"/>
    <w:rsid w:val="51051E45"/>
    <w:rsid w:val="510F1C3C"/>
    <w:rsid w:val="527C7F5F"/>
    <w:rsid w:val="52DD5409"/>
    <w:rsid w:val="533832DF"/>
    <w:rsid w:val="54777B2C"/>
    <w:rsid w:val="554D1BF6"/>
    <w:rsid w:val="55915EDE"/>
    <w:rsid w:val="55CE6CAA"/>
    <w:rsid w:val="56235475"/>
    <w:rsid w:val="564F58CF"/>
    <w:rsid w:val="5660656E"/>
    <w:rsid w:val="57095CAB"/>
    <w:rsid w:val="570B43B1"/>
    <w:rsid w:val="57BB618E"/>
    <w:rsid w:val="57C40364"/>
    <w:rsid w:val="588E1C22"/>
    <w:rsid w:val="59457283"/>
    <w:rsid w:val="596040BD"/>
    <w:rsid w:val="59B24CAC"/>
    <w:rsid w:val="5A92474A"/>
    <w:rsid w:val="5B1C4013"/>
    <w:rsid w:val="5B491854"/>
    <w:rsid w:val="5CA54548"/>
    <w:rsid w:val="5CDD1B2C"/>
    <w:rsid w:val="5D447851"/>
    <w:rsid w:val="5E33045D"/>
    <w:rsid w:val="5E727908"/>
    <w:rsid w:val="5F0370E8"/>
    <w:rsid w:val="5F935A16"/>
    <w:rsid w:val="5FA412FA"/>
    <w:rsid w:val="601B2878"/>
    <w:rsid w:val="613C0A12"/>
    <w:rsid w:val="61FC4B9F"/>
    <w:rsid w:val="625E0361"/>
    <w:rsid w:val="6263557D"/>
    <w:rsid w:val="62E713AB"/>
    <w:rsid w:val="63433463"/>
    <w:rsid w:val="638824D8"/>
    <w:rsid w:val="63910911"/>
    <w:rsid w:val="63F518A5"/>
    <w:rsid w:val="64020EED"/>
    <w:rsid w:val="640B2BD9"/>
    <w:rsid w:val="641E3BE1"/>
    <w:rsid w:val="645A5BAC"/>
    <w:rsid w:val="64813139"/>
    <w:rsid w:val="64C319A4"/>
    <w:rsid w:val="65D9606C"/>
    <w:rsid w:val="66127084"/>
    <w:rsid w:val="668272FB"/>
    <w:rsid w:val="66FB387A"/>
    <w:rsid w:val="675D1C3B"/>
    <w:rsid w:val="67AD213D"/>
    <w:rsid w:val="680A5F81"/>
    <w:rsid w:val="684D1ED2"/>
    <w:rsid w:val="68AE62BC"/>
    <w:rsid w:val="691A3DDD"/>
    <w:rsid w:val="694A4441"/>
    <w:rsid w:val="69BC26F9"/>
    <w:rsid w:val="6B380704"/>
    <w:rsid w:val="6B5D2927"/>
    <w:rsid w:val="6BEA20FA"/>
    <w:rsid w:val="6CCA145E"/>
    <w:rsid w:val="6DBE0F5A"/>
    <w:rsid w:val="6DC0117D"/>
    <w:rsid w:val="6DF44BEA"/>
    <w:rsid w:val="6E502867"/>
    <w:rsid w:val="6E6715F2"/>
    <w:rsid w:val="6EE52698"/>
    <w:rsid w:val="703B3408"/>
    <w:rsid w:val="7107213A"/>
    <w:rsid w:val="71A87F57"/>
    <w:rsid w:val="723F2B3C"/>
    <w:rsid w:val="72B13AFE"/>
    <w:rsid w:val="72C82A0C"/>
    <w:rsid w:val="73256776"/>
    <w:rsid w:val="735C36EF"/>
    <w:rsid w:val="73F25B2C"/>
    <w:rsid w:val="74C26BA5"/>
    <w:rsid w:val="75283036"/>
    <w:rsid w:val="753D4E5A"/>
    <w:rsid w:val="757551AC"/>
    <w:rsid w:val="75987BA7"/>
    <w:rsid w:val="764D657F"/>
    <w:rsid w:val="766905FD"/>
    <w:rsid w:val="76E07F00"/>
    <w:rsid w:val="77163BB5"/>
    <w:rsid w:val="777A3593"/>
    <w:rsid w:val="78182338"/>
    <w:rsid w:val="785610A2"/>
    <w:rsid w:val="7885648D"/>
    <w:rsid w:val="78BF49FB"/>
    <w:rsid w:val="78C80EDF"/>
    <w:rsid w:val="78E75809"/>
    <w:rsid w:val="78EA70A7"/>
    <w:rsid w:val="795135CA"/>
    <w:rsid w:val="79A73439"/>
    <w:rsid w:val="7A3C7DD6"/>
    <w:rsid w:val="7A6E350B"/>
    <w:rsid w:val="7AA81F42"/>
    <w:rsid w:val="7AE21D55"/>
    <w:rsid w:val="7B0D50C0"/>
    <w:rsid w:val="7B7242F5"/>
    <w:rsid w:val="7C2570E5"/>
    <w:rsid w:val="7CE65DD7"/>
    <w:rsid w:val="7D2A2168"/>
    <w:rsid w:val="7E2D63B4"/>
    <w:rsid w:val="7EE0746B"/>
    <w:rsid w:val="7F044DCB"/>
    <w:rsid w:val="7F8E2E82"/>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link w:val="38"/>
    <w:qFormat/>
    <w:uiPriority w:val="0"/>
    <w:pPr>
      <w:autoSpaceDE w:val="0"/>
      <w:autoSpaceDN w:val="0"/>
      <w:adjustRightInd w:val="0"/>
      <w:jc w:val="left"/>
      <w:outlineLvl w:val="1"/>
    </w:pPr>
    <w:rPr>
      <w:kern w:val="0"/>
      <w:sz w:val="20"/>
    </w:rPr>
  </w:style>
  <w:style w:type="paragraph" w:styleId="4">
    <w:name w:val="heading 4"/>
    <w:basedOn w:val="1"/>
    <w:next w:val="1"/>
    <w:qFormat/>
    <w:uiPriority w:val="0"/>
    <w:pPr>
      <w:keepNext/>
      <w:keepLines/>
      <w:spacing w:before="280" w:after="290" w:line="374" w:lineRule="auto"/>
      <w:outlineLvl w:val="3"/>
    </w:pPr>
    <w:rPr>
      <w:rFonts w:ascii="Arial" w:hAnsi="Arial"/>
      <w:sz w:val="24"/>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next w:val="1"/>
    <w:link w:val="47"/>
    <w:qFormat/>
    <w:uiPriority w:val="0"/>
    <w:pPr>
      <w:jc w:val="left"/>
    </w:pPr>
  </w:style>
  <w:style w:type="paragraph" w:styleId="6">
    <w:name w:val="Body Text"/>
    <w:basedOn w:val="1"/>
    <w:next w:val="1"/>
    <w:qFormat/>
    <w:uiPriority w:val="0"/>
    <w:pPr>
      <w:spacing w:after="120"/>
    </w:pPr>
  </w:style>
  <w:style w:type="paragraph" w:styleId="7">
    <w:name w:val="Balloon Text"/>
    <w:basedOn w:val="1"/>
    <w:link w:val="4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Body Text 2"/>
    <w:basedOn w:val="1"/>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48"/>
    <w:qFormat/>
    <w:uiPriority w:val="0"/>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paragraph" w:customStyle="1" w:styleId="19">
    <w:name w:val="正文首行缩进 21"/>
    <w:basedOn w:val="20"/>
    <w:qFormat/>
    <w:uiPriority w:val="0"/>
    <w:pPr>
      <w:spacing w:line="360" w:lineRule="auto"/>
    </w:pPr>
  </w:style>
  <w:style w:type="paragraph" w:customStyle="1" w:styleId="20">
    <w:name w:val="Body Text Indent1"/>
    <w:basedOn w:val="1"/>
    <w:qFormat/>
    <w:uiPriority w:val="0"/>
    <w:pPr>
      <w:spacing w:line="150" w:lineRule="atLeast"/>
      <w:ind w:firstLine="420"/>
      <w:textAlignment w:val="baseline"/>
    </w:pPr>
    <w:rPr>
      <w:szCs w:val="24"/>
    </w:rPr>
  </w:style>
  <w:style w:type="paragraph" w:customStyle="1" w:styleId="21">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3">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kern w:val="2"/>
      <w:sz w:val="21"/>
      <w:lang w:val="en-US" w:eastAsia="zh-CN" w:bidi="ar-SA"/>
    </w:rPr>
  </w:style>
  <w:style w:type="paragraph" w:customStyle="1" w:styleId="26">
    <w:name w:val="正文文本缩进 New New"/>
    <w:basedOn w:val="23"/>
    <w:qFormat/>
    <w:uiPriority w:val="0"/>
    <w:pPr>
      <w:ind w:firstLine="560" w:firstLineChars="200"/>
    </w:pPr>
  </w:style>
  <w:style w:type="paragraph" w:customStyle="1" w:styleId="27">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8">
    <w:name w:val="AnnotationText"/>
    <w:basedOn w:val="1"/>
    <w:qFormat/>
    <w:uiPriority w:val="99"/>
    <w:pPr>
      <w:spacing w:line="360" w:lineRule="atLeast"/>
      <w:jc w:val="left"/>
    </w:pPr>
    <w:rPr>
      <w:kern w:val="0"/>
    </w:rPr>
  </w:style>
  <w:style w:type="paragraph" w:customStyle="1" w:styleId="29">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32">
    <w:name w:val="样式 宋体 行距: 1.5 倍行距"/>
    <w:basedOn w:val="33"/>
    <w:next w:val="1"/>
    <w:qFormat/>
    <w:uiPriority w:val="0"/>
    <w:pPr>
      <w:jc w:val="center"/>
    </w:pPr>
    <w:rPr>
      <w:rFonts w:ascii="Times New Roman" w:hAnsi="Times New Roman"/>
      <w:b/>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缩进1"/>
    <w:basedOn w:val="1"/>
    <w:qFormat/>
    <w:uiPriority w:val="0"/>
    <w:pPr>
      <w:widowControl/>
      <w:ind w:firstLine="420"/>
      <w:jc w:val="left"/>
    </w:pPr>
    <w:rPr>
      <w:kern w:val="0"/>
    </w:rPr>
  </w:style>
  <w:style w:type="paragraph" w:customStyle="1" w:styleId="36">
    <w:name w:val="正文缩进 New"/>
    <w:basedOn w:val="37"/>
    <w:qFormat/>
    <w:uiPriority w:val="0"/>
    <w:pPr>
      <w:widowControl/>
      <w:ind w:firstLine="420"/>
      <w:jc w:val="left"/>
    </w:pPr>
    <w:rPr>
      <w:kern w:val="0"/>
      <w:sz w:val="20"/>
    </w:rPr>
  </w:style>
  <w:style w:type="paragraph" w:customStyle="1" w:styleId="37">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38">
    <w:name w:val="标题 2 字符"/>
    <w:link w:val="3"/>
    <w:qFormat/>
    <w:uiPriority w:val="0"/>
    <w:rPr>
      <w:kern w:val="0"/>
      <w:sz w:val="20"/>
    </w:rPr>
  </w:style>
  <w:style w:type="paragraph" w:customStyle="1" w:styleId="39">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0">
    <w:name w:val="正文文本缩进 New New New New New New New New"/>
    <w:basedOn w:val="39"/>
    <w:qFormat/>
    <w:uiPriority w:val="0"/>
    <w:pPr>
      <w:spacing w:after="120"/>
      <w:ind w:left="420" w:leftChars="200"/>
    </w:pPr>
    <w:rPr>
      <w:szCs w:val="24"/>
    </w:rPr>
  </w:style>
  <w:style w:type="paragraph" w:customStyle="1" w:styleId="41">
    <w:name w:val="正文文本缩进 New"/>
    <w:basedOn w:val="37"/>
    <w:qFormat/>
    <w:uiPriority w:val="0"/>
    <w:pPr>
      <w:ind w:firstLine="560" w:firstLineChars="200"/>
    </w:pPr>
    <w:rPr>
      <w:rFonts w:ascii="宋体"/>
      <w:sz w:val="24"/>
    </w:rPr>
  </w:style>
  <w:style w:type="paragraph" w:customStyle="1" w:styleId="42">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3">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4">
    <w:name w:val="页眉 字符"/>
    <w:basedOn w:val="17"/>
    <w:link w:val="9"/>
    <w:qFormat/>
    <w:uiPriority w:val="0"/>
    <w:rPr>
      <w:kern w:val="2"/>
      <w:sz w:val="18"/>
      <w:szCs w:val="18"/>
    </w:rPr>
  </w:style>
  <w:style w:type="character" w:customStyle="1" w:styleId="45">
    <w:name w:val="批注框文本 字符"/>
    <w:basedOn w:val="17"/>
    <w:link w:val="7"/>
    <w:qFormat/>
    <w:uiPriority w:val="0"/>
    <w:rPr>
      <w:kern w:val="2"/>
      <w:sz w:val="18"/>
      <w:szCs w:val="18"/>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批注文字 字符"/>
    <w:basedOn w:val="17"/>
    <w:link w:val="5"/>
    <w:qFormat/>
    <w:uiPriority w:val="0"/>
    <w:rPr>
      <w:kern w:val="2"/>
      <w:sz w:val="21"/>
    </w:rPr>
  </w:style>
  <w:style w:type="character" w:customStyle="1" w:styleId="48">
    <w:name w:val="批注主题 字符"/>
    <w:basedOn w:val="47"/>
    <w:link w:val="14"/>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739</Words>
  <Characters>839</Characters>
  <Lines>1218</Lines>
  <Paragraphs>1214</Paragraphs>
  <TotalTime>67</TotalTime>
  <ScaleCrop>false</ScaleCrop>
  <LinksUpToDate>false</LinksUpToDate>
  <CharactersWithSpaces>976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2024-04-01T06:37:00Z</dcterms:created>
  <dc:creator>明正</dc:creator>
  <cp:lastModifiedBy>欢乐马</cp:lastModifiedBy>
  <cp:lastPrinted>2024-04-11T09:46:00Z</cp:lastPrinted>
  <dcterms:modified xsi:type="dcterms:W3CDTF">2025-09-08T03:05:24Z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5D745E0CDBB845BCA01DDAB290C023A3_13</vt:lpwstr>
  </property>
  <property fmtid="{D5CDD505-2E9C-101B-9397-08002B2CF9AE}" pid="4" name="KSOTemplateDocerSaveRecord">
    <vt:lpwstr>eyJoZGlkIjoiMjUwNTI0NDYxZjI1YTM1OTc0YmRhZjI0YTk3MzBhOTIiLCJ1c2VySWQiOiI0MTMxMDM1MTkifQ==</vt:lpwstr>
  </property>
</Properties>
</file>