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F767E">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212DD3FF">
      <w:pPr>
        <w:keepNext w:val="0"/>
        <w:keepLines w:val="0"/>
        <w:pageBreakBefore w:val="0"/>
        <w:wordWrap w:val="0"/>
        <w:overflowPunct/>
        <w:topLinePunct w:val="0"/>
        <w:bidi w:val="0"/>
        <w:rPr>
          <w:rFonts w:hint="eastAsia" w:ascii="宋体" w:hAnsi="宋体" w:eastAsia="宋体" w:cs="宋体"/>
          <w:color w:val="auto"/>
          <w:spacing w:val="0"/>
          <w:highlight w:val="none"/>
          <w:lang w:val="en-US" w:eastAsia="zh-CN"/>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pacing w:val="0"/>
          <w:highlight w:val="none"/>
          <w:lang w:val="en-US" w:eastAsia="zh-CN"/>
        </w:rPr>
        <w:drawing>
          <wp:inline distT="0" distB="0" distL="114300" distR="114300">
            <wp:extent cx="6049645" cy="8555990"/>
            <wp:effectExtent l="0" t="0" r="8255" b="16510"/>
            <wp:docPr id="3" name="图片 3" descr="SKM_C3682603161517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KM_C36826031615171_01"/>
                    <pic:cNvPicPr>
                      <a:picLocks noChangeAspect="1"/>
                    </pic:cNvPicPr>
                  </pic:nvPicPr>
                  <pic:blipFill>
                    <a:blip r:embed="rId27"/>
                    <a:stretch>
                      <a:fillRect/>
                    </a:stretch>
                  </pic:blipFill>
                  <pic:spPr>
                    <a:xfrm>
                      <a:off x="0" y="0"/>
                      <a:ext cx="6049645" cy="8555990"/>
                    </a:xfrm>
                    <a:prstGeom prst="rect">
                      <a:avLst/>
                    </a:prstGeom>
                  </pic:spPr>
                </pic:pic>
              </a:graphicData>
            </a:graphic>
          </wp:inline>
        </w:drawing>
      </w:r>
    </w:p>
    <w:p w14:paraId="018A4953">
      <w:pPr>
        <w:keepNext w:val="0"/>
        <w:keepLines w:val="0"/>
        <w:pageBreakBefore w:val="0"/>
        <w:wordWrap w:val="0"/>
        <w:overflowPunct/>
        <w:topLinePunct w:val="0"/>
        <w:bidi w:val="0"/>
        <w:rPr>
          <w:rFonts w:hint="eastAsia" w:ascii="宋体" w:hAnsi="宋体" w:eastAsia="宋体" w:cs="宋体"/>
          <w:color w:val="auto"/>
          <w:spacing w:val="0"/>
          <w:highlight w:val="none"/>
        </w:rPr>
      </w:pPr>
    </w:p>
    <w:p w14:paraId="3363FA0C">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目录</w:t>
      </w:r>
    </w:p>
    <w:p w14:paraId="09BFBC49">
      <w:pPr>
        <w:pStyle w:val="10"/>
        <w:tabs>
          <w:tab w:val="right" w:leader="dot" w:pos="9746"/>
        </w:tabs>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TOC \o "1-3" \h \u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_Toc10235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w:t>
      </w:r>
      <w:r>
        <w:tab/>
      </w:r>
      <w:r>
        <w:fldChar w:fldCharType="begin"/>
      </w:r>
      <w:r>
        <w:instrText xml:space="preserve"> PAGEREF _Toc10235 \h </w:instrText>
      </w:r>
      <w:r>
        <w:fldChar w:fldCharType="separate"/>
      </w:r>
      <w:r>
        <w:t>3</w:t>
      </w:r>
      <w:r>
        <w:fldChar w:fldCharType="end"/>
      </w:r>
      <w:r>
        <w:rPr>
          <w:rFonts w:hint="eastAsia" w:ascii="宋体" w:hAnsi="宋体" w:eastAsia="宋体" w:cs="宋体"/>
          <w:color w:val="auto"/>
          <w:spacing w:val="0"/>
          <w:szCs w:val="24"/>
          <w:highlight w:val="none"/>
        </w:rPr>
        <w:fldChar w:fldCharType="end"/>
      </w:r>
    </w:p>
    <w:p w14:paraId="0103427B">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_Toc384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投标人须知前附表</w:t>
      </w:r>
      <w:r>
        <w:tab/>
      </w:r>
      <w:r>
        <w:fldChar w:fldCharType="begin"/>
      </w:r>
      <w:r>
        <w:instrText xml:space="preserve"> PAGEREF _Toc384 \h </w:instrText>
      </w:r>
      <w:r>
        <w:fldChar w:fldCharType="separate"/>
      </w:r>
      <w:r>
        <w:t>3</w:t>
      </w:r>
      <w:r>
        <w:fldChar w:fldCharType="end"/>
      </w:r>
      <w:r>
        <w:rPr>
          <w:rFonts w:hint="eastAsia" w:ascii="宋体" w:hAnsi="宋体" w:eastAsia="宋体" w:cs="宋体"/>
          <w:color w:val="auto"/>
          <w:spacing w:val="0"/>
          <w:szCs w:val="24"/>
          <w:highlight w:val="none"/>
        </w:rPr>
        <w:fldChar w:fldCharType="end"/>
      </w:r>
    </w:p>
    <w:p w14:paraId="2AC7383D">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_Toc20130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第二节 重要事项时间地点一览表</w:t>
      </w:r>
      <w:r>
        <w:tab/>
      </w:r>
      <w:r>
        <w:fldChar w:fldCharType="begin"/>
      </w:r>
      <w:r>
        <w:instrText xml:space="preserve"> PAGEREF _Toc20130 \h </w:instrText>
      </w:r>
      <w:r>
        <w:fldChar w:fldCharType="separate"/>
      </w:r>
      <w:r>
        <w:t>10</w:t>
      </w:r>
      <w:r>
        <w:fldChar w:fldCharType="end"/>
      </w:r>
      <w:r>
        <w:rPr>
          <w:rFonts w:hint="eastAsia" w:ascii="宋体" w:hAnsi="宋体" w:eastAsia="宋体" w:cs="宋体"/>
          <w:color w:val="auto"/>
          <w:spacing w:val="0"/>
          <w:szCs w:val="24"/>
          <w:highlight w:val="none"/>
        </w:rPr>
        <w:fldChar w:fldCharType="end"/>
      </w:r>
    </w:p>
    <w:p w14:paraId="4F1A5C24">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_Toc670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投标人须知正文</w:t>
      </w:r>
      <w:r>
        <w:tab/>
      </w:r>
      <w:r>
        <w:fldChar w:fldCharType="begin"/>
      </w:r>
      <w:r>
        <w:instrText xml:space="preserve"> PAGEREF _Toc670 \h </w:instrText>
      </w:r>
      <w:r>
        <w:fldChar w:fldCharType="separate"/>
      </w:r>
      <w:r>
        <w:t>11</w:t>
      </w:r>
      <w:r>
        <w:fldChar w:fldCharType="end"/>
      </w:r>
      <w:r>
        <w:rPr>
          <w:rFonts w:hint="eastAsia" w:ascii="宋体" w:hAnsi="宋体" w:eastAsia="宋体" w:cs="宋体"/>
          <w:color w:val="auto"/>
          <w:spacing w:val="0"/>
          <w:szCs w:val="24"/>
          <w:highlight w:val="none"/>
        </w:rPr>
        <w:fldChar w:fldCharType="end"/>
      </w:r>
    </w:p>
    <w:p w14:paraId="4C001C05">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_Toc23346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．项目概况、招标范围和标段划分、投标费用等</w:t>
      </w:r>
      <w:r>
        <w:tab/>
      </w:r>
      <w:r>
        <w:fldChar w:fldCharType="begin"/>
      </w:r>
      <w:r>
        <w:instrText xml:space="preserve"> PAGEREF _Toc23346 \h </w:instrText>
      </w:r>
      <w:r>
        <w:fldChar w:fldCharType="separate"/>
      </w:r>
      <w:r>
        <w:t>11</w:t>
      </w:r>
      <w:r>
        <w:fldChar w:fldCharType="end"/>
      </w:r>
      <w:r>
        <w:rPr>
          <w:rFonts w:hint="eastAsia" w:ascii="宋体" w:hAnsi="宋体" w:eastAsia="宋体" w:cs="宋体"/>
          <w:color w:val="auto"/>
          <w:spacing w:val="0"/>
          <w:szCs w:val="24"/>
          <w:highlight w:val="none"/>
        </w:rPr>
        <w:fldChar w:fldCharType="end"/>
      </w:r>
    </w:p>
    <w:p w14:paraId="0F80B026">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_Toc24520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w:t>
      </w:r>
      <w:r>
        <w:rPr>
          <w:rFonts w:hint="eastAsia" w:ascii="宋体" w:hAnsi="宋体" w:eastAsia="宋体" w:cs="宋体"/>
          <w:bCs/>
          <w:spacing w:val="0"/>
          <w:szCs w:val="24"/>
          <w:highlight w:val="none"/>
          <w:lang w:eastAsia="zh-CN"/>
        </w:rPr>
        <w:t>投标人</w:t>
      </w:r>
      <w:r>
        <w:rPr>
          <w:rFonts w:hint="eastAsia" w:ascii="宋体" w:hAnsi="宋体" w:eastAsia="宋体" w:cs="宋体"/>
          <w:bCs/>
          <w:spacing w:val="0"/>
          <w:szCs w:val="24"/>
          <w:highlight w:val="none"/>
        </w:rPr>
        <w:t>资质要求</w:t>
      </w:r>
      <w:r>
        <w:tab/>
      </w:r>
      <w:r>
        <w:fldChar w:fldCharType="begin"/>
      </w:r>
      <w:r>
        <w:instrText xml:space="preserve"> PAGEREF _Toc24520 \h </w:instrText>
      </w:r>
      <w:r>
        <w:fldChar w:fldCharType="separate"/>
      </w:r>
      <w:r>
        <w:t>11</w:t>
      </w:r>
      <w:r>
        <w:fldChar w:fldCharType="end"/>
      </w:r>
      <w:r>
        <w:rPr>
          <w:rFonts w:hint="eastAsia" w:ascii="宋体" w:hAnsi="宋体" w:eastAsia="宋体" w:cs="宋体"/>
          <w:color w:val="auto"/>
          <w:spacing w:val="0"/>
          <w:szCs w:val="24"/>
          <w:highlight w:val="none"/>
        </w:rPr>
        <w:fldChar w:fldCharType="end"/>
      </w:r>
    </w:p>
    <w:p w14:paraId="65CA276D">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_Toc9027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3．招标文件的获取</w:t>
      </w:r>
      <w:r>
        <w:tab/>
      </w:r>
      <w:r>
        <w:fldChar w:fldCharType="begin"/>
      </w:r>
      <w:r>
        <w:instrText xml:space="preserve"> PAGEREF _Toc9027 \h </w:instrText>
      </w:r>
      <w:r>
        <w:fldChar w:fldCharType="separate"/>
      </w:r>
      <w:r>
        <w:t>13</w:t>
      </w:r>
      <w:r>
        <w:fldChar w:fldCharType="end"/>
      </w:r>
      <w:r>
        <w:rPr>
          <w:rFonts w:hint="eastAsia" w:ascii="宋体" w:hAnsi="宋体" w:eastAsia="宋体" w:cs="宋体"/>
          <w:color w:val="auto"/>
          <w:spacing w:val="0"/>
          <w:szCs w:val="24"/>
          <w:highlight w:val="none"/>
        </w:rPr>
        <w:fldChar w:fldCharType="end"/>
      </w:r>
    </w:p>
    <w:p w14:paraId="186B1F4D">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_Toc12428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．工期要求</w:t>
      </w:r>
      <w:r>
        <w:tab/>
      </w:r>
      <w:r>
        <w:fldChar w:fldCharType="begin"/>
      </w:r>
      <w:r>
        <w:instrText xml:space="preserve"> PAGEREF _Toc12428 \h </w:instrText>
      </w:r>
      <w:r>
        <w:fldChar w:fldCharType="separate"/>
      </w:r>
      <w:r>
        <w:t>15</w:t>
      </w:r>
      <w:r>
        <w:fldChar w:fldCharType="end"/>
      </w:r>
      <w:r>
        <w:rPr>
          <w:rFonts w:hint="eastAsia" w:ascii="宋体" w:hAnsi="宋体" w:eastAsia="宋体" w:cs="宋体"/>
          <w:color w:val="auto"/>
          <w:spacing w:val="0"/>
          <w:szCs w:val="24"/>
          <w:highlight w:val="none"/>
        </w:rPr>
        <w:fldChar w:fldCharType="end"/>
      </w:r>
    </w:p>
    <w:p w14:paraId="35AFE3B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_Toc24366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．质量标准和材料、机械要求</w:t>
      </w:r>
      <w:r>
        <w:tab/>
      </w:r>
      <w:r>
        <w:fldChar w:fldCharType="begin"/>
      </w:r>
      <w:r>
        <w:instrText xml:space="preserve"> PAGEREF _Toc24366 \h </w:instrText>
      </w:r>
      <w:r>
        <w:fldChar w:fldCharType="separate"/>
      </w:r>
      <w:r>
        <w:t>15</w:t>
      </w:r>
      <w:r>
        <w:fldChar w:fldCharType="end"/>
      </w:r>
      <w:r>
        <w:rPr>
          <w:rFonts w:hint="eastAsia" w:ascii="宋体" w:hAnsi="宋体" w:eastAsia="宋体" w:cs="宋体"/>
          <w:color w:val="auto"/>
          <w:spacing w:val="0"/>
          <w:szCs w:val="24"/>
          <w:highlight w:val="none"/>
        </w:rPr>
        <w:fldChar w:fldCharType="end"/>
      </w:r>
    </w:p>
    <w:p w14:paraId="02AD4C52">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_Toc30402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6 ．施工条件及现场踏勘</w:t>
      </w:r>
      <w:r>
        <w:tab/>
      </w:r>
      <w:r>
        <w:fldChar w:fldCharType="begin"/>
      </w:r>
      <w:r>
        <w:instrText xml:space="preserve"> PAGEREF _Toc30402 \h </w:instrText>
      </w:r>
      <w:r>
        <w:fldChar w:fldCharType="separate"/>
      </w:r>
      <w:r>
        <w:t>16</w:t>
      </w:r>
      <w:r>
        <w:fldChar w:fldCharType="end"/>
      </w:r>
      <w:r>
        <w:rPr>
          <w:rFonts w:hint="eastAsia" w:ascii="宋体" w:hAnsi="宋体" w:eastAsia="宋体" w:cs="宋体"/>
          <w:color w:val="auto"/>
          <w:spacing w:val="0"/>
          <w:szCs w:val="24"/>
          <w:highlight w:val="none"/>
        </w:rPr>
        <w:fldChar w:fldCharType="end"/>
      </w:r>
    </w:p>
    <w:p w14:paraId="591FA6D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_Toc4298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7 ．招标文件的提问和答疑</w:t>
      </w:r>
      <w:r>
        <w:tab/>
      </w:r>
      <w:r>
        <w:fldChar w:fldCharType="begin"/>
      </w:r>
      <w:r>
        <w:instrText xml:space="preserve"> PAGEREF _Toc4298 \h </w:instrText>
      </w:r>
      <w:r>
        <w:fldChar w:fldCharType="separate"/>
      </w:r>
      <w:r>
        <w:t>16</w:t>
      </w:r>
      <w:r>
        <w:fldChar w:fldCharType="end"/>
      </w:r>
      <w:r>
        <w:rPr>
          <w:rFonts w:hint="eastAsia" w:ascii="宋体" w:hAnsi="宋体" w:eastAsia="宋体" w:cs="宋体"/>
          <w:color w:val="auto"/>
          <w:spacing w:val="0"/>
          <w:szCs w:val="24"/>
          <w:highlight w:val="none"/>
        </w:rPr>
        <w:fldChar w:fldCharType="end"/>
      </w:r>
    </w:p>
    <w:p w14:paraId="111D394A">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_Toc32468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8 ．</w:t>
      </w:r>
      <w:r>
        <w:rPr>
          <w:rFonts w:hint="eastAsia" w:ascii="宋体" w:hAnsi="宋体" w:eastAsia="宋体" w:cs="宋体"/>
          <w:bCs/>
          <w:spacing w:val="0"/>
          <w:szCs w:val="24"/>
          <w:highlight w:val="none"/>
          <w:lang w:val="en-US" w:eastAsia="zh-CN"/>
        </w:rPr>
        <w:t>最高投标限价</w:t>
      </w:r>
      <w:r>
        <w:tab/>
      </w:r>
      <w:r>
        <w:fldChar w:fldCharType="begin"/>
      </w:r>
      <w:r>
        <w:instrText xml:space="preserve"> PAGEREF _Toc32468 \h </w:instrText>
      </w:r>
      <w:r>
        <w:fldChar w:fldCharType="separate"/>
      </w:r>
      <w:r>
        <w:t>17</w:t>
      </w:r>
      <w:r>
        <w:fldChar w:fldCharType="end"/>
      </w:r>
      <w:r>
        <w:rPr>
          <w:rFonts w:hint="eastAsia" w:ascii="宋体" w:hAnsi="宋体" w:eastAsia="宋体" w:cs="宋体"/>
          <w:color w:val="auto"/>
          <w:spacing w:val="0"/>
          <w:szCs w:val="24"/>
          <w:highlight w:val="none"/>
        </w:rPr>
        <w:fldChar w:fldCharType="end"/>
      </w:r>
    </w:p>
    <w:p w14:paraId="26392A0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_Toc9474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9 ．投标报价</w:t>
      </w:r>
      <w:r>
        <w:tab/>
      </w:r>
      <w:r>
        <w:fldChar w:fldCharType="begin"/>
      </w:r>
      <w:r>
        <w:instrText xml:space="preserve"> PAGEREF _Toc9474 \h </w:instrText>
      </w:r>
      <w:r>
        <w:fldChar w:fldCharType="separate"/>
      </w:r>
      <w:r>
        <w:t>18</w:t>
      </w:r>
      <w:r>
        <w:fldChar w:fldCharType="end"/>
      </w:r>
      <w:r>
        <w:rPr>
          <w:rFonts w:hint="eastAsia" w:ascii="宋体" w:hAnsi="宋体" w:eastAsia="宋体" w:cs="宋体"/>
          <w:color w:val="auto"/>
          <w:spacing w:val="0"/>
          <w:szCs w:val="24"/>
          <w:highlight w:val="none"/>
        </w:rPr>
        <w:fldChar w:fldCharType="end"/>
      </w:r>
    </w:p>
    <w:p w14:paraId="14686386">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_Toc13188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10 ．投标文件的编制要求</w:t>
      </w:r>
      <w:r>
        <w:tab/>
      </w:r>
      <w:r>
        <w:fldChar w:fldCharType="begin"/>
      </w:r>
      <w:r>
        <w:instrText xml:space="preserve"> PAGEREF _Toc13188 \h </w:instrText>
      </w:r>
      <w:r>
        <w:fldChar w:fldCharType="separate"/>
      </w:r>
      <w:r>
        <w:t>20</w:t>
      </w:r>
      <w:r>
        <w:fldChar w:fldCharType="end"/>
      </w:r>
      <w:r>
        <w:rPr>
          <w:rFonts w:hint="eastAsia" w:ascii="宋体" w:hAnsi="宋体" w:eastAsia="宋体" w:cs="宋体"/>
          <w:color w:val="auto"/>
          <w:spacing w:val="0"/>
          <w:szCs w:val="24"/>
          <w:highlight w:val="none"/>
        </w:rPr>
        <w:fldChar w:fldCharType="end"/>
      </w:r>
    </w:p>
    <w:p w14:paraId="5802A465">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_Toc20233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 xml:space="preserve">11. </w:t>
      </w:r>
      <w:r>
        <w:rPr>
          <w:rFonts w:hint="eastAsia" w:ascii="宋体" w:hAnsi="宋体" w:eastAsia="宋体" w:cs="宋体"/>
          <w:spacing w:val="0"/>
          <w:szCs w:val="24"/>
          <w:highlight w:val="none"/>
        </w:rPr>
        <w:t>电子投标：</w:t>
      </w:r>
      <w:r>
        <w:tab/>
      </w:r>
      <w:r>
        <w:fldChar w:fldCharType="begin"/>
      </w:r>
      <w:r>
        <w:instrText xml:space="preserve"> PAGEREF _Toc20233 \h </w:instrText>
      </w:r>
      <w:r>
        <w:fldChar w:fldCharType="separate"/>
      </w:r>
      <w:r>
        <w:t>24</w:t>
      </w:r>
      <w:r>
        <w:fldChar w:fldCharType="end"/>
      </w:r>
      <w:r>
        <w:rPr>
          <w:rFonts w:hint="eastAsia" w:ascii="宋体" w:hAnsi="宋体" w:eastAsia="宋体" w:cs="宋体"/>
          <w:color w:val="auto"/>
          <w:spacing w:val="0"/>
          <w:szCs w:val="24"/>
          <w:highlight w:val="none"/>
        </w:rPr>
        <w:fldChar w:fldCharType="end"/>
      </w:r>
    </w:p>
    <w:p w14:paraId="6B56A4AE">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_Toc2254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12.</w:t>
      </w:r>
      <w:r>
        <w:rPr>
          <w:rFonts w:hint="eastAsia" w:ascii="宋体" w:hAnsi="宋体" w:eastAsia="宋体" w:cs="宋体"/>
          <w:bCs/>
          <w:spacing w:val="0"/>
          <w:w w:val="101"/>
          <w:szCs w:val="24"/>
          <w:highlight w:val="none"/>
        </w:rPr>
        <w:t xml:space="preserve"> </w:t>
      </w:r>
      <w:r>
        <w:rPr>
          <w:rFonts w:hint="eastAsia" w:ascii="宋体" w:hAnsi="宋体" w:eastAsia="宋体" w:cs="宋体"/>
          <w:bCs/>
          <w:spacing w:val="0"/>
          <w:szCs w:val="24"/>
          <w:highlight w:val="none"/>
        </w:rPr>
        <w:t>电子投标及投标解密失败及突发情况的补救方案</w:t>
      </w:r>
      <w:r>
        <w:tab/>
      </w:r>
      <w:r>
        <w:fldChar w:fldCharType="begin"/>
      </w:r>
      <w:r>
        <w:instrText xml:space="preserve"> PAGEREF _Toc2254 \h </w:instrText>
      </w:r>
      <w:r>
        <w:fldChar w:fldCharType="separate"/>
      </w:r>
      <w:r>
        <w:t>24</w:t>
      </w:r>
      <w:r>
        <w:fldChar w:fldCharType="end"/>
      </w:r>
      <w:r>
        <w:rPr>
          <w:rFonts w:hint="eastAsia" w:ascii="宋体" w:hAnsi="宋体" w:eastAsia="宋体" w:cs="宋体"/>
          <w:color w:val="auto"/>
          <w:spacing w:val="0"/>
          <w:szCs w:val="24"/>
          <w:highlight w:val="none"/>
        </w:rPr>
        <w:fldChar w:fldCharType="end"/>
      </w:r>
    </w:p>
    <w:p w14:paraId="338345D8">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_Toc21046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13 ．投标文件的提交</w:t>
      </w:r>
      <w:r>
        <w:tab/>
      </w:r>
      <w:r>
        <w:fldChar w:fldCharType="begin"/>
      </w:r>
      <w:r>
        <w:instrText xml:space="preserve"> PAGEREF _Toc21046 \h </w:instrText>
      </w:r>
      <w:r>
        <w:fldChar w:fldCharType="separate"/>
      </w:r>
      <w:r>
        <w:t>25</w:t>
      </w:r>
      <w:r>
        <w:fldChar w:fldCharType="end"/>
      </w:r>
      <w:r>
        <w:rPr>
          <w:rFonts w:hint="eastAsia" w:ascii="宋体" w:hAnsi="宋体" w:eastAsia="宋体" w:cs="宋体"/>
          <w:color w:val="auto"/>
          <w:spacing w:val="0"/>
          <w:szCs w:val="24"/>
          <w:highlight w:val="none"/>
        </w:rPr>
        <w:fldChar w:fldCharType="end"/>
      </w:r>
    </w:p>
    <w:p w14:paraId="28CF116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_Toc32459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14 ．开标</w:t>
      </w:r>
      <w:r>
        <w:tab/>
      </w:r>
      <w:r>
        <w:fldChar w:fldCharType="begin"/>
      </w:r>
      <w:r>
        <w:instrText xml:space="preserve"> PAGEREF _Toc32459 \h </w:instrText>
      </w:r>
      <w:r>
        <w:fldChar w:fldCharType="separate"/>
      </w:r>
      <w:r>
        <w:t>25</w:t>
      </w:r>
      <w:r>
        <w:fldChar w:fldCharType="end"/>
      </w:r>
      <w:r>
        <w:rPr>
          <w:rFonts w:hint="eastAsia" w:ascii="宋体" w:hAnsi="宋体" w:eastAsia="宋体" w:cs="宋体"/>
          <w:color w:val="auto"/>
          <w:spacing w:val="0"/>
          <w:szCs w:val="24"/>
          <w:highlight w:val="none"/>
        </w:rPr>
        <w:fldChar w:fldCharType="end"/>
      </w:r>
    </w:p>
    <w:p w14:paraId="53002108">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_Toc22486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15 ．评标</w:t>
      </w:r>
      <w:r>
        <w:tab/>
      </w:r>
      <w:r>
        <w:fldChar w:fldCharType="begin"/>
      </w:r>
      <w:r>
        <w:instrText xml:space="preserve"> PAGEREF _Toc22486 \h </w:instrText>
      </w:r>
      <w:r>
        <w:fldChar w:fldCharType="separate"/>
      </w:r>
      <w:r>
        <w:t>27</w:t>
      </w:r>
      <w:r>
        <w:fldChar w:fldCharType="end"/>
      </w:r>
      <w:r>
        <w:rPr>
          <w:rFonts w:hint="eastAsia" w:ascii="宋体" w:hAnsi="宋体" w:eastAsia="宋体" w:cs="宋体"/>
          <w:color w:val="auto"/>
          <w:spacing w:val="0"/>
          <w:szCs w:val="24"/>
          <w:highlight w:val="none"/>
        </w:rPr>
        <w:fldChar w:fldCharType="end"/>
      </w:r>
    </w:p>
    <w:p w14:paraId="13749274">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_Toc1221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16 ．</w:t>
      </w:r>
      <w:r>
        <w:rPr>
          <w:rFonts w:hint="eastAsia" w:ascii="宋体" w:hAnsi="宋体" w:eastAsia="宋体" w:cs="宋体"/>
          <w:bCs/>
          <w:spacing w:val="0"/>
          <w:szCs w:val="24"/>
          <w:highlight w:val="none"/>
          <w:lang w:val="en-US" w:eastAsia="zh-CN"/>
        </w:rPr>
        <w:t>定</w:t>
      </w:r>
      <w:r>
        <w:rPr>
          <w:rFonts w:hint="eastAsia" w:ascii="宋体" w:hAnsi="宋体" w:eastAsia="宋体" w:cs="宋体"/>
          <w:bCs/>
          <w:spacing w:val="0"/>
          <w:szCs w:val="24"/>
          <w:highlight w:val="none"/>
        </w:rPr>
        <w:t>标</w:t>
      </w:r>
      <w:r>
        <w:tab/>
      </w:r>
      <w:r>
        <w:fldChar w:fldCharType="begin"/>
      </w:r>
      <w:r>
        <w:instrText xml:space="preserve"> PAGEREF _Toc1221 \h </w:instrText>
      </w:r>
      <w:r>
        <w:fldChar w:fldCharType="separate"/>
      </w:r>
      <w:r>
        <w:t>38</w:t>
      </w:r>
      <w:r>
        <w:fldChar w:fldCharType="end"/>
      </w:r>
      <w:r>
        <w:rPr>
          <w:rFonts w:hint="eastAsia" w:ascii="宋体" w:hAnsi="宋体" w:eastAsia="宋体" w:cs="宋体"/>
          <w:color w:val="auto"/>
          <w:spacing w:val="0"/>
          <w:szCs w:val="24"/>
          <w:highlight w:val="none"/>
        </w:rPr>
        <w:fldChar w:fldCharType="end"/>
      </w:r>
    </w:p>
    <w:p w14:paraId="0F373855">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_Toc6260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17</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定</w:t>
      </w:r>
      <w:r>
        <w:rPr>
          <w:rFonts w:hint="eastAsia" w:ascii="宋体" w:hAnsi="宋体" w:eastAsia="宋体" w:cs="宋体"/>
          <w:bCs/>
          <w:spacing w:val="0"/>
          <w:szCs w:val="24"/>
          <w:highlight w:val="none"/>
        </w:rPr>
        <w:t>标</w:t>
      </w:r>
      <w:r>
        <w:rPr>
          <w:rFonts w:hint="eastAsia" w:ascii="宋体" w:hAnsi="宋体" w:eastAsia="宋体" w:cs="宋体"/>
          <w:bCs/>
          <w:spacing w:val="0"/>
          <w:szCs w:val="24"/>
          <w:highlight w:val="none"/>
          <w:lang w:val="en-US" w:eastAsia="zh-CN"/>
        </w:rPr>
        <w:t>结果</w:t>
      </w:r>
      <w:r>
        <w:rPr>
          <w:rFonts w:hint="eastAsia" w:ascii="宋体" w:hAnsi="宋体" w:eastAsia="宋体" w:cs="宋体"/>
          <w:bCs/>
          <w:spacing w:val="0"/>
          <w:szCs w:val="24"/>
          <w:highlight w:val="none"/>
        </w:rPr>
        <w:t>公示</w:t>
      </w:r>
      <w:r>
        <w:tab/>
      </w:r>
      <w:r>
        <w:fldChar w:fldCharType="begin"/>
      </w:r>
      <w:r>
        <w:instrText xml:space="preserve"> PAGEREF _Toc6260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76577E80">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_Toc1505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否决投标条件</w:t>
      </w:r>
      <w:r>
        <w:tab/>
      </w:r>
      <w:r>
        <w:fldChar w:fldCharType="begin"/>
      </w:r>
      <w:r>
        <w:instrText xml:space="preserve"> PAGEREF _Toc1505 \h </w:instrText>
      </w:r>
      <w:r>
        <w:fldChar w:fldCharType="separate"/>
      </w:r>
      <w:r>
        <w:t>41</w:t>
      </w:r>
      <w:r>
        <w:fldChar w:fldCharType="end"/>
      </w:r>
      <w:r>
        <w:rPr>
          <w:rFonts w:hint="eastAsia" w:ascii="宋体" w:hAnsi="宋体" w:eastAsia="宋体" w:cs="宋体"/>
          <w:color w:val="auto"/>
          <w:spacing w:val="0"/>
          <w:szCs w:val="24"/>
          <w:highlight w:val="none"/>
        </w:rPr>
        <w:fldChar w:fldCharType="end"/>
      </w:r>
    </w:p>
    <w:p w14:paraId="1F6BCD9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_Toc7264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．资格评审环节</w:t>
      </w:r>
      <w:r>
        <w:tab/>
      </w:r>
      <w:r>
        <w:fldChar w:fldCharType="begin"/>
      </w:r>
      <w:r>
        <w:instrText xml:space="preserve"> PAGEREF _Toc7264 \h </w:instrText>
      </w:r>
      <w:r>
        <w:fldChar w:fldCharType="separate"/>
      </w:r>
      <w:r>
        <w:t>41</w:t>
      </w:r>
      <w:r>
        <w:fldChar w:fldCharType="end"/>
      </w:r>
      <w:r>
        <w:rPr>
          <w:rFonts w:hint="eastAsia" w:ascii="宋体" w:hAnsi="宋体" w:eastAsia="宋体" w:cs="宋体"/>
          <w:color w:val="auto"/>
          <w:spacing w:val="0"/>
          <w:szCs w:val="24"/>
          <w:highlight w:val="none"/>
        </w:rPr>
        <w:fldChar w:fldCharType="end"/>
      </w:r>
    </w:p>
    <w:p w14:paraId="4423A9BF">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_Toc29694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．形式评审环节</w:t>
      </w:r>
      <w:r>
        <w:tab/>
      </w:r>
      <w:r>
        <w:fldChar w:fldCharType="begin"/>
      </w:r>
      <w:r>
        <w:instrText xml:space="preserve"> PAGEREF _Toc29694 \h </w:instrText>
      </w:r>
      <w:r>
        <w:fldChar w:fldCharType="separate"/>
      </w:r>
      <w:r>
        <w:t>42</w:t>
      </w:r>
      <w:r>
        <w:fldChar w:fldCharType="end"/>
      </w:r>
      <w:r>
        <w:rPr>
          <w:rFonts w:hint="eastAsia" w:ascii="宋体" w:hAnsi="宋体" w:eastAsia="宋体" w:cs="宋体"/>
          <w:color w:val="auto"/>
          <w:spacing w:val="0"/>
          <w:szCs w:val="24"/>
          <w:highlight w:val="none"/>
        </w:rPr>
        <w:fldChar w:fldCharType="end"/>
      </w:r>
    </w:p>
    <w:p w14:paraId="5723DEB0">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_Toc13699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．响应性评审环节</w:t>
      </w:r>
      <w:r>
        <w:tab/>
      </w:r>
      <w:r>
        <w:fldChar w:fldCharType="begin"/>
      </w:r>
      <w:r>
        <w:instrText xml:space="preserve"> PAGEREF _Toc13699 \h </w:instrText>
      </w:r>
      <w:r>
        <w:fldChar w:fldCharType="separate"/>
      </w:r>
      <w:r>
        <w:t>42</w:t>
      </w:r>
      <w:r>
        <w:fldChar w:fldCharType="end"/>
      </w:r>
      <w:r>
        <w:rPr>
          <w:rFonts w:hint="eastAsia" w:ascii="宋体" w:hAnsi="宋体" w:eastAsia="宋体" w:cs="宋体"/>
          <w:color w:val="auto"/>
          <w:spacing w:val="0"/>
          <w:szCs w:val="24"/>
          <w:highlight w:val="none"/>
        </w:rPr>
        <w:fldChar w:fldCharType="end"/>
      </w:r>
    </w:p>
    <w:p w14:paraId="52E089C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_Toc2756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w:t>
      </w:r>
      <w:r>
        <w:tab/>
      </w:r>
      <w:r>
        <w:fldChar w:fldCharType="begin"/>
      </w:r>
      <w:r>
        <w:instrText xml:space="preserve"> PAGEREF _Toc2756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39232B2A">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_Toc9411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中标人须知</w:t>
      </w:r>
      <w:r>
        <w:tab/>
      </w:r>
      <w:r>
        <w:fldChar w:fldCharType="begin"/>
      </w:r>
      <w:r>
        <w:instrText xml:space="preserve"> PAGEREF _Toc9411 \h </w:instrText>
      </w:r>
      <w:r>
        <w:fldChar w:fldCharType="separate"/>
      </w:r>
      <w:r>
        <w:t>44</w:t>
      </w:r>
      <w:r>
        <w:fldChar w:fldCharType="end"/>
      </w:r>
      <w:r>
        <w:rPr>
          <w:rFonts w:hint="eastAsia" w:ascii="宋体" w:hAnsi="宋体" w:eastAsia="宋体" w:cs="宋体"/>
          <w:color w:val="auto"/>
          <w:spacing w:val="0"/>
          <w:szCs w:val="24"/>
          <w:highlight w:val="none"/>
        </w:rPr>
        <w:fldChar w:fldCharType="end"/>
      </w:r>
    </w:p>
    <w:p w14:paraId="5DC4D1E4">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_Toc5110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．中标通知书</w:t>
      </w:r>
      <w:r>
        <w:tab/>
      </w:r>
      <w:r>
        <w:fldChar w:fldCharType="begin"/>
      </w:r>
      <w:r>
        <w:instrText xml:space="preserve"> PAGEREF _Toc5110 \h </w:instrText>
      </w:r>
      <w:r>
        <w:fldChar w:fldCharType="separate"/>
      </w:r>
      <w:r>
        <w:t>44</w:t>
      </w:r>
      <w:r>
        <w:fldChar w:fldCharType="end"/>
      </w:r>
      <w:r>
        <w:rPr>
          <w:rFonts w:hint="eastAsia" w:ascii="宋体" w:hAnsi="宋体" w:eastAsia="宋体" w:cs="宋体"/>
          <w:color w:val="auto"/>
          <w:spacing w:val="0"/>
          <w:szCs w:val="24"/>
          <w:highlight w:val="none"/>
        </w:rPr>
        <w:fldChar w:fldCharType="end"/>
      </w:r>
    </w:p>
    <w:p w14:paraId="6E8E6F6B">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_Toc12154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．中结果公示</w:t>
      </w:r>
      <w:r>
        <w:tab/>
      </w:r>
      <w:r>
        <w:fldChar w:fldCharType="begin"/>
      </w:r>
      <w:r>
        <w:instrText xml:space="preserve"> PAGEREF _Toc12154 \h </w:instrText>
      </w:r>
      <w:r>
        <w:fldChar w:fldCharType="separate"/>
      </w:r>
      <w:r>
        <w:t>44</w:t>
      </w:r>
      <w:r>
        <w:fldChar w:fldCharType="end"/>
      </w:r>
      <w:r>
        <w:rPr>
          <w:rFonts w:hint="eastAsia" w:ascii="宋体" w:hAnsi="宋体" w:eastAsia="宋体" w:cs="宋体"/>
          <w:color w:val="auto"/>
          <w:spacing w:val="0"/>
          <w:szCs w:val="24"/>
          <w:highlight w:val="none"/>
        </w:rPr>
        <w:fldChar w:fldCharType="end"/>
      </w:r>
    </w:p>
    <w:p w14:paraId="50072D9E">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_Toc32644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．履约保证</w:t>
      </w:r>
      <w:r>
        <w:tab/>
      </w:r>
      <w:r>
        <w:fldChar w:fldCharType="begin"/>
      </w:r>
      <w:r>
        <w:instrText xml:space="preserve"> PAGEREF _Toc32644 \h </w:instrText>
      </w:r>
      <w:r>
        <w:fldChar w:fldCharType="separate"/>
      </w:r>
      <w:r>
        <w:t>44</w:t>
      </w:r>
      <w:r>
        <w:fldChar w:fldCharType="end"/>
      </w:r>
      <w:r>
        <w:rPr>
          <w:rFonts w:hint="eastAsia" w:ascii="宋体" w:hAnsi="宋体" w:eastAsia="宋体" w:cs="宋体"/>
          <w:color w:val="auto"/>
          <w:spacing w:val="0"/>
          <w:szCs w:val="24"/>
          <w:highlight w:val="none"/>
        </w:rPr>
        <w:fldChar w:fldCharType="end"/>
      </w:r>
    </w:p>
    <w:p w14:paraId="49AFDEBA">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_Toc19929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．合同订立</w:t>
      </w:r>
      <w:r>
        <w:tab/>
      </w:r>
      <w:r>
        <w:fldChar w:fldCharType="begin"/>
      </w:r>
      <w:r>
        <w:instrText xml:space="preserve"> PAGEREF _Toc19929 \h </w:instrText>
      </w:r>
      <w:r>
        <w:fldChar w:fldCharType="separate"/>
      </w:r>
      <w:r>
        <w:t>44</w:t>
      </w:r>
      <w:r>
        <w:fldChar w:fldCharType="end"/>
      </w:r>
      <w:r>
        <w:rPr>
          <w:rFonts w:hint="eastAsia" w:ascii="宋体" w:hAnsi="宋体" w:eastAsia="宋体" w:cs="宋体"/>
          <w:color w:val="auto"/>
          <w:spacing w:val="0"/>
          <w:szCs w:val="24"/>
          <w:highlight w:val="none"/>
        </w:rPr>
        <w:fldChar w:fldCharType="end"/>
      </w:r>
    </w:p>
    <w:p w14:paraId="36FAB4C7">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_Toc29932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拟签订合同的主要条款</w:t>
      </w:r>
      <w:r>
        <w:tab/>
      </w:r>
      <w:r>
        <w:fldChar w:fldCharType="begin"/>
      </w:r>
      <w:r>
        <w:instrText xml:space="preserve"> PAGEREF _Toc29932 \h </w:instrText>
      </w:r>
      <w:r>
        <w:fldChar w:fldCharType="separate"/>
      </w:r>
      <w:r>
        <w:t>55</w:t>
      </w:r>
      <w:r>
        <w:fldChar w:fldCharType="end"/>
      </w:r>
      <w:r>
        <w:rPr>
          <w:rFonts w:hint="eastAsia" w:ascii="宋体" w:hAnsi="宋体" w:eastAsia="宋体" w:cs="宋体"/>
          <w:color w:val="auto"/>
          <w:spacing w:val="0"/>
          <w:szCs w:val="24"/>
          <w:highlight w:val="none"/>
        </w:rPr>
        <w:fldChar w:fldCharType="end"/>
      </w:r>
    </w:p>
    <w:p w14:paraId="6217449C">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_Toc8493 </w:instrText>
      </w:r>
      <w:r>
        <w:rPr>
          <w:rFonts w:hint="eastAsia" w:ascii="宋体" w:hAnsi="宋体" w:eastAsia="宋体" w:cs="宋体"/>
          <w:spacing w:val="0"/>
          <w:szCs w:val="24"/>
          <w:highlight w:val="none"/>
        </w:rPr>
        <w:fldChar w:fldCharType="separate"/>
      </w:r>
      <w:r>
        <w:rPr>
          <w:rFonts w:hint="eastAsia" w:ascii="宋体" w:hAnsi="宋体" w:eastAsia="宋体" w:cs="宋体"/>
          <w:snapToGrid w:val="0"/>
          <w:szCs w:val="24"/>
          <w:highlight w:val="none"/>
        </w:rPr>
        <w:t>1．工程承包方式</w:t>
      </w:r>
      <w:r>
        <w:tab/>
      </w:r>
      <w:r>
        <w:fldChar w:fldCharType="begin"/>
      </w:r>
      <w:r>
        <w:instrText xml:space="preserve"> PAGEREF _Toc8493 \h </w:instrText>
      </w:r>
      <w:r>
        <w:fldChar w:fldCharType="separate"/>
      </w:r>
      <w:r>
        <w:t>55</w:t>
      </w:r>
      <w:r>
        <w:fldChar w:fldCharType="end"/>
      </w:r>
      <w:r>
        <w:rPr>
          <w:rFonts w:hint="eastAsia" w:ascii="宋体" w:hAnsi="宋体" w:eastAsia="宋体" w:cs="宋体"/>
          <w:color w:val="auto"/>
          <w:spacing w:val="0"/>
          <w:szCs w:val="24"/>
          <w:highlight w:val="none"/>
        </w:rPr>
        <w:fldChar w:fldCharType="end"/>
      </w:r>
    </w:p>
    <w:p w14:paraId="6D79AF92">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_Toc28909 </w:instrText>
      </w:r>
      <w:r>
        <w:rPr>
          <w:rFonts w:hint="eastAsia" w:ascii="宋体" w:hAnsi="宋体" w:eastAsia="宋体" w:cs="宋体"/>
          <w:spacing w:val="0"/>
          <w:szCs w:val="24"/>
          <w:highlight w:val="none"/>
        </w:rPr>
        <w:fldChar w:fldCharType="separate"/>
      </w:r>
      <w:r>
        <w:rPr>
          <w:rFonts w:hint="eastAsia" w:ascii="宋体" w:hAnsi="宋体" w:eastAsia="宋体" w:cs="宋体"/>
          <w:snapToGrid w:val="0"/>
          <w:szCs w:val="24"/>
          <w:highlight w:val="none"/>
        </w:rPr>
        <w:t>2．工程结算原则</w:t>
      </w:r>
      <w:r>
        <w:tab/>
      </w:r>
      <w:r>
        <w:fldChar w:fldCharType="begin"/>
      </w:r>
      <w:r>
        <w:instrText xml:space="preserve"> PAGEREF _Toc28909 \h </w:instrText>
      </w:r>
      <w:r>
        <w:fldChar w:fldCharType="separate"/>
      </w:r>
      <w:r>
        <w:t>55</w:t>
      </w:r>
      <w:r>
        <w:fldChar w:fldCharType="end"/>
      </w:r>
      <w:r>
        <w:rPr>
          <w:rFonts w:hint="eastAsia" w:ascii="宋体" w:hAnsi="宋体" w:eastAsia="宋体" w:cs="宋体"/>
          <w:color w:val="auto"/>
          <w:spacing w:val="0"/>
          <w:szCs w:val="24"/>
          <w:highlight w:val="none"/>
        </w:rPr>
        <w:fldChar w:fldCharType="end"/>
      </w:r>
    </w:p>
    <w:p w14:paraId="56EA52B9">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_Toc6483 </w:instrText>
      </w:r>
      <w:r>
        <w:rPr>
          <w:rFonts w:hint="eastAsia" w:ascii="宋体" w:hAnsi="宋体" w:eastAsia="宋体" w:cs="宋体"/>
          <w:spacing w:val="0"/>
          <w:szCs w:val="24"/>
          <w:highlight w:val="none"/>
        </w:rPr>
        <w:fldChar w:fldCharType="separate"/>
      </w:r>
      <w:r>
        <w:rPr>
          <w:rFonts w:hint="eastAsia" w:ascii="宋体" w:hAnsi="宋体" w:eastAsia="宋体" w:cs="宋体"/>
          <w:snapToGrid w:val="0"/>
          <w:szCs w:val="24"/>
          <w:highlight w:val="none"/>
        </w:rPr>
        <w:t>3．工程付款办法</w:t>
      </w:r>
      <w:r>
        <w:tab/>
      </w:r>
      <w:r>
        <w:fldChar w:fldCharType="begin"/>
      </w:r>
      <w:r>
        <w:instrText xml:space="preserve"> PAGEREF _Toc6483 \h </w:instrText>
      </w:r>
      <w:r>
        <w:fldChar w:fldCharType="separate"/>
      </w:r>
      <w:r>
        <w:t>65</w:t>
      </w:r>
      <w:r>
        <w:fldChar w:fldCharType="end"/>
      </w:r>
      <w:r>
        <w:rPr>
          <w:rFonts w:hint="eastAsia" w:ascii="宋体" w:hAnsi="宋体" w:eastAsia="宋体" w:cs="宋体"/>
          <w:color w:val="auto"/>
          <w:spacing w:val="0"/>
          <w:szCs w:val="24"/>
          <w:highlight w:val="none"/>
        </w:rPr>
        <w:fldChar w:fldCharType="end"/>
      </w:r>
    </w:p>
    <w:p w14:paraId="700516B0">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_Toc22943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技术要求</w:t>
      </w:r>
      <w:r>
        <w:tab/>
      </w:r>
      <w:r>
        <w:fldChar w:fldCharType="begin"/>
      </w:r>
      <w:r>
        <w:instrText xml:space="preserve"> PAGEREF _Toc22943 \h </w:instrText>
      </w:r>
      <w:r>
        <w:fldChar w:fldCharType="separate"/>
      </w:r>
      <w:r>
        <w:t>68</w:t>
      </w:r>
      <w:r>
        <w:fldChar w:fldCharType="end"/>
      </w:r>
      <w:r>
        <w:rPr>
          <w:rFonts w:hint="eastAsia" w:ascii="宋体" w:hAnsi="宋体" w:eastAsia="宋体" w:cs="宋体"/>
          <w:color w:val="auto"/>
          <w:spacing w:val="0"/>
          <w:szCs w:val="24"/>
          <w:highlight w:val="none"/>
        </w:rPr>
        <w:fldChar w:fldCharType="end"/>
      </w:r>
    </w:p>
    <w:p w14:paraId="70CA0D0A">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_Toc10988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．房屋建筑工程建设项目</w:t>
      </w:r>
      <w:r>
        <w:tab/>
      </w:r>
      <w:r>
        <w:fldChar w:fldCharType="begin"/>
      </w:r>
      <w:r>
        <w:instrText xml:space="preserve"> PAGEREF _Toc10988 \h </w:instrText>
      </w:r>
      <w:r>
        <w:fldChar w:fldCharType="separate"/>
      </w:r>
      <w:r>
        <w:t>68</w:t>
      </w:r>
      <w:r>
        <w:fldChar w:fldCharType="end"/>
      </w:r>
      <w:r>
        <w:rPr>
          <w:rFonts w:hint="eastAsia" w:ascii="宋体" w:hAnsi="宋体" w:eastAsia="宋体" w:cs="宋体"/>
          <w:color w:val="auto"/>
          <w:spacing w:val="0"/>
          <w:szCs w:val="24"/>
          <w:highlight w:val="none"/>
        </w:rPr>
        <w:fldChar w:fldCharType="end"/>
      </w:r>
    </w:p>
    <w:p w14:paraId="27C7F81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_Toc1126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．市政基础设施工程建设项目</w:t>
      </w:r>
      <w:r>
        <w:tab/>
      </w:r>
      <w:r>
        <w:fldChar w:fldCharType="begin"/>
      </w:r>
      <w:r>
        <w:instrText xml:space="preserve"> PAGEREF _Toc1126 \h </w:instrText>
      </w:r>
      <w:r>
        <w:fldChar w:fldCharType="separate"/>
      </w:r>
      <w:r>
        <w:t>68</w:t>
      </w:r>
      <w:r>
        <w:fldChar w:fldCharType="end"/>
      </w:r>
      <w:r>
        <w:rPr>
          <w:rFonts w:hint="eastAsia" w:ascii="宋体" w:hAnsi="宋体" w:eastAsia="宋体" w:cs="宋体"/>
          <w:color w:val="auto"/>
          <w:spacing w:val="0"/>
          <w:szCs w:val="24"/>
          <w:highlight w:val="none"/>
        </w:rPr>
        <w:fldChar w:fldCharType="end"/>
      </w:r>
    </w:p>
    <w:p w14:paraId="0188CD13">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_Toc17417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．备查要求</w:t>
      </w:r>
      <w:r>
        <w:tab/>
      </w:r>
      <w:r>
        <w:fldChar w:fldCharType="begin"/>
      </w:r>
      <w:r>
        <w:instrText xml:space="preserve"> PAGEREF _Toc17417 \h </w:instrText>
      </w:r>
      <w:r>
        <w:fldChar w:fldCharType="separate"/>
      </w:r>
      <w:r>
        <w:t>69</w:t>
      </w:r>
      <w:r>
        <w:fldChar w:fldCharType="end"/>
      </w:r>
      <w:r>
        <w:rPr>
          <w:rFonts w:hint="eastAsia" w:ascii="宋体" w:hAnsi="宋体" w:eastAsia="宋体" w:cs="宋体"/>
          <w:color w:val="auto"/>
          <w:spacing w:val="0"/>
          <w:szCs w:val="24"/>
          <w:highlight w:val="none"/>
        </w:rPr>
        <w:fldChar w:fldCharType="end"/>
      </w:r>
    </w:p>
    <w:p w14:paraId="304D0D9B">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_Toc17497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第五章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图纸和招标工程量清单</w:t>
      </w:r>
      <w:r>
        <w:tab/>
      </w:r>
      <w:r>
        <w:fldChar w:fldCharType="begin"/>
      </w:r>
      <w:r>
        <w:instrText xml:space="preserve"> PAGEREF _Toc17497 \h </w:instrText>
      </w:r>
      <w:r>
        <w:fldChar w:fldCharType="separate"/>
      </w:r>
      <w:r>
        <w:t>70</w:t>
      </w:r>
      <w:r>
        <w:fldChar w:fldCharType="end"/>
      </w:r>
      <w:r>
        <w:rPr>
          <w:rFonts w:hint="eastAsia" w:ascii="宋体" w:hAnsi="宋体" w:eastAsia="宋体" w:cs="宋体"/>
          <w:color w:val="auto"/>
          <w:spacing w:val="0"/>
          <w:szCs w:val="24"/>
          <w:highlight w:val="none"/>
        </w:rPr>
        <w:fldChar w:fldCharType="end"/>
      </w:r>
    </w:p>
    <w:p w14:paraId="48F13D5E">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_Toc23405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．图纸</w:t>
      </w:r>
      <w:r>
        <w:tab/>
      </w:r>
      <w:r>
        <w:fldChar w:fldCharType="begin"/>
      </w:r>
      <w:r>
        <w:instrText xml:space="preserve"> PAGEREF _Toc23405 \h </w:instrText>
      </w:r>
      <w:r>
        <w:fldChar w:fldCharType="separate"/>
      </w:r>
      <w:r>
        <w:t>70</w:t>
      </w:r>
      <w:r>
        <w:fldChar w:fldCharType="end"/>
      </w:r>
      <w:r>
        <w:rPr>
          <w:rFonts w:hint="eastAsia" w:ascii="宋体" w:hAnsi="宋体" w:eastAsia="宋体" w:cs="宋体"/>
          <w:color w:val="auto"/>
          <w:spacing w:val="0"/>
          <w:szCs w:val="24"/>
          <w:highlight w:val="none"/>
        </w:rPr>
        <w:fldChar w:fldCharType="end"/>
      </w:r>
    </w:p>
    <w:p w14:paraId="2FAF6FFA">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_Toc3353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．招标工程量清单</w:t>
      </w:r>
      <w:r>
        <w:tab/>
      </w:r>
      <w:r>
        <w:fldChar w:fldCharType="begin"/>
      </w:r>
      <w:r>
        <w:instrText xml:space="preserve"> PAGEREF _Toc3353 \h </w:instrText>
      </w:r>
      <w:r>
        <w:fldChar w:fldCharType="separate"/>
      </w:r>
      <w:r>
        <w:t>70</w:t>
      </w:r>
      <w:r>
        <w:fldChar w:fldCharType="end"/>
      </w:r>
      <w:r>
        <w:rPr>
          <w:rFonts w:hint="eastAsia" w:ascii="宋体" w:hAnsi="宋体" w:eastAsia="宋体" w:cs="宋体"/>
          <w:color w:val="auto"/>
          <w:spacing w:val="0"/>
          <w:szCs w:val="24"/>
          <w:highlight w:val="none"/>
        </w:rPr>
        <w:fldChar w:fldCharType="end"/>
      </w:r>
    </w:p>
    <w:p w14:paraId="7781A84E">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_Toc5775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第六章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投标文件格式</w:t>
      </w:r>
      <w:r>
        <w:tab/>
      </w:r>
      <w:r>
        <w:fldChar w:fldCharType="begin"/>
      </w:r>
      <w:r>
        <w:instrText xml:space="preserve"> PAGEREF _Toc5775 \h </w:instrText>
      </w:r>
      <w:r>
        <w:fldChar w:fldCharType="separate"/>
      </w:r>
      <w:r>
        <w:t>71</w:t>
      </w:r>
      <w:r>
        <w:fldChar w:fldCharType="end"/>
      </w:r>
      <w:r>
        <w:rPr>
          <w:rFonts w:hint="eastAsia" w:ascii="宋体" w:hAnsi="宋体" w:eastAsia="宋体" w:cs="宋体"/>
          <w:color w:val="auto"/>
          <w:spacing w:val="0"/>
          <w:szCs w:val="24"/>
          <w:highlight w:val="none"/>
        </w:rPr>
        <w:fldChar w:fldCharType="end"/>
      </w:r>
    </w:p>
    <w:p w14:paraId="2B5B072A">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_Toc21804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格式一</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封面</w:t>
      </w:r>
      <w:r>
        <w:tab/>
      </w:r>
      <w:r>
        <w:fldChar w:fldCharType="begin"/>
      </w:r>
      <w:r>
        <w:instrText xml:space="preserve"> PAGEREF _Toc21804 \h </w:instrText>
      </w:r>
      <w:r>
        <w:fldChar w:fldCharType="separate"/>
      </w:r>
      <w:r>
        <w:t>71</w:t>
      </w:r>
      <w:r>
        <w:fldChar w:fldCharType="end"/>
      </w:r>
      <w:r>
        <w:rPr>
          <w:rFonts w:hint="eastAsia" w:ascii="宋体" w:hAnsi="宋体" w:eastAsia="宋体" w:cs="宋体"/>
          <w:color w:val="auto"/>
          <w:spacing w:val="0"/>
          <w:szCs w:val="24"/>
          <w:highlight w:val="none"/>
        </w:rPr>
        <w:fldChar w:fldCharType="end"/>
      </w:r>
    </w:p>
    <w:p w14:paraId="25AD083E">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_Toc9478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格式二 投标函</w:t>
      </w:r>
      <w:r>
        <w:tab/>
      </w:r>
      <w:r>
        <w:fldChar w:fldCharType="begin"/>
      </w:r>
      <w:r>
        <w:instrText xml:space="preserve"> PAGEREF _Toc9478 \h </w:instrText>
      </w:r>
      <w:r>
        <w:fldChar w:fldCharType="separate"/>
      </w:r>
      <w:r>
        <w:t>72</w:t>
      </w:r>
      <w:r>
        <w:fldChar w:fldCharType="end"/>
      </w:r>
      <w:r>
        <w:rPr>
          <w:rFonts w:hint="eastAsia" w:ascii="宋体" w:hAnsi="宋体" w:eastAsia="宋体" w:cs="宋体"/>
          <w:color w:val="auto"/>
          <w:spacing w:val="0"/>
          <w:szCs w:val="24"/>
          <w:highlight w:val="none"/>
        </w:rPr>
        <w:fldChar w:fldCharType="end"/>
      </w:r>
    </w:p>
    <w:p w14:paraId="7A366ED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_Toc31828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格式三 各项承诺一览表</w:t>
      </w:r>
      <w:r>
        <w:tab/>
      </w:r>
      <w:r>
        <w:fldChar w:fldCharType="begin"/>
      </w:r>
      <w:r>
        <w:instrText xml:space="preserve"> PAGEREF _Toc31828 \h </w:instrText>
      </w:r>
      <w:r>
        <w:fldChar w:fldCharType="separate"/>
      </w:r>
      <w:r>
        <w:t>73</w:t>
      </w:r>
      <w:r>
        <w:fldChar w:fldCharType="end"/>
      </w:r>
      <w:r>
        <w:rPr>
          <w:rFonts w:hint="eastAsia" w:ascii="宋体" w:hAnsi="宋体" w:eastAsia="宋体" w:cs="宋体"/>
          <w:color w:val="auto"/>
          <w:spacing w:val="0"/>
          <w:szCs w:val="24"/>
          <w:highlight w:val="none"/>
        </w:rPr>
        <w:fldChar w:fldCharType="end"/>
      </w:r>
    </w:p>
    <w:p w14:paraId="6C16776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_Toc9225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格式四 授权委托书</w:t>
      </w:r>
      <w:r>
        <w:tab/>
      </w:r>
      <w:r>
        <w:fldChar w:fldCharType="begin"/>
      </w:r>
      <w:r>
        <w:instrText xml:space="preserve"> PAGEREF _Toc9225 \h </w:instrText>
      </w:r>
      <w:r>
        <w:fldChar w:fldCharType="separate"/>
      </w:r>
      <w:r>
        <w:t>75</w:t>
      </w:r>
      <w:r>
        <w:fldChar w:fldCharType="end"/>
      </w:r>
      <w:r>
        <w:rPr>
          <w:rFonts w:hint="eastAsia" w:ascii="宋体" w:hAnsi="宋体" w:eastAsia="宋体" w:cs="宋体"/>
          <w:color w:val="auto"/>
          <w:spacing w:val="0"/>
          <w:szCs w:val="24"/>
          <w:highlight w:val="none"/>
        </w:rPr>
        <w:fldChar w:fldCharType="end"/>
      </w:r>
    </w:p>
    <w:p w14:paraId="01172133">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_Toc23932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格式五 法定代表人身份证明</w:t>
      </w:r>
      <w:r>
        <w:tab/>
      </w:r>
      <w:r>
        <w:fldChar w:fldCharType="begin"/>
      </w:r>
      <w:r>
        <w:instrText xml:space="preserve"> PAGEREF _Toc23932 \h </w:instrText>
      </w:r>
      <w:r>
        <w:fldChar w:fldCharType="separate"/>
      </w:r>
      <w:r>
        <w:t>76</w:t>
      </w:r>
      <w:r>
        <w:fldChar w:fldCharType="end"/>
      </w:r>
      <w:r>
        <w:rPr>
          <w:rFonts w:hint="eastAsia" w:ascii="宋体" w:hAnsi="宋体" w:eastAsia="宋体" w:cs="宋体"/>
          <w:color w:val="auto"/>
          <w:spacing w:val="0"/>
          <w:szCs w:val="24"/>
          <w:highlight w:val="none"/>
        </w:rPr>
        <w:fldChar w:fldCharType="end"/>
      </w:r>
    </w:p>
    <w:p w14:paraId="14EF0852">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_Toc13087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格式六 联合体协议书</w:t>
      </w:r>
      <w:r>
        <w:rPr>
          <w:rFonts w:hint="eastAsia" w:ascii="宋体" w:hAnsi="宋体" w:eastAsia="宋体" w:cs="宋体"/>
          <w:bCs/>
          <w:spacing w:val="0"/>
          <w:szCs w:val="24"/>
          <w:highlight w:val="none"/>
          <w:lang w:eastAsia="zh-CN"/>
        </w:rPr>
        <w:t>（</w:t>
      </w:r>
      <w:r>
        <w:rPr>
          <w:rFonts w:hint="eastAsia" w:ascii="宋体" w:hAnsi="宋体" w:eastAsia="宋体" w:cs="宋体"/>
          <w:bCs/>
          <w:spacing w:val="0"/>
          <w:szCs w:val="24"/>
          <w:highlight w:val="none"/>
          <w:lang w:val="en-US" w:eastAsia="zh-CN"/>
        </w:rPr>
        <w:t>如有</w:t>
      </w:r>
      <w:r>
        <w:rPr>
          <w:rFonts w:hint="eastAsia" w:ascii="宋体" w:hAnsi="宋体" w:eastAsia="宋体" w:cs="宋体"/>
          <w:bCs/>
          <w:spacing w:val="0"/>
          <w:szCs w:val="24"/>
          <w:highlight w:val="none"/>
          <w:lang w:eastAsia="zh-CN"/>
        </w:rPr>
        <w:t>）</w:t>
      </w:r>
      <w:r>
        <w:tab/>
      </w:r>
      <w:r>
        <w:fldChar w:fldCharType="begin"/>
      </w:r>
      <w:r>
        <w:instrText xml:space="preserve"> PAGEREF _Toc13087 \h </w:instrText>
      </w:r>
      <w:r>
        <w:fldChar w:fldCharType="separate"/>
      </w:r>
      <w:r>
        <w:t>77</w:t>
      </w:r>
      <w:r>
        <w:fldChar w:fldCharType="end"/>
      </w:r>
      <w:r>
        <w:rPr>
          <w:rFonts w:hint="eastAsia" w:ascii="宋体" w:hAnsi="宋体" w:eastAsia="宋体" w:cs="宋体"/>
          <w:color w:val="auto"/>
          <w:spacing w:val="0"/>
          <w:szCs w:val="24"/>
          <w:highlight w:val="none"/>
        </w:rPr>
        <w:fldChar w:fldCharType="end"/>
      </w:r>
    </w:p>
    <w:p w14:paraId="67B6DF7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_Toc12591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格式七 投标人基本情况表</w:t>
      </w:r>
      <w:r>
        <w:tab/>
      </w:r>
      <w:r>
        <w:fldChar w:fldCharType="begin"/>
      </w:r>
      <w:r>
        <w:instrText xml:space="preserve"> PAGEREF _Toc12591 \h </w:instrText>
      </w:r>
      <w:r>
        <w:fldChar w:fldCharType="separate"/>
      </w:r>
      <w:r>
        <w:t>78</w:t>
      </w:r>
      <w:r>
        <w:fldChar w:fldCharType="end"/>
      </w:r>
      <w:r>
        <w:rPr>
          <w:rFonts w:hint="eastAsia" w:ascii="宋体" w:hAnsi="宋体" w:eastAsia="宋体" w:cs="宋体"/>
          <w:color w:val="auto"/>
          <w:spacing w:val="0"/>
          <w:szCs w:val="24"/>
          <w:highlight w:val="none"/>
        </w:rPr>
        <w:fldChar w:fldCharType="end"/>
      </w:r>
    </w:p>
    <w:p w14:paraId="54AA82F3">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_Toc27456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格式八 项目经理简历表</w:t>
      </w:r>
      <w:r>
        <w:tab/>
      </w:r>
      <w:r>
        <w:fldChar w:fldCharType="begin"/>
      </w:r>
      <w:r>
        <w:instrText xml:space="preserve"> PAGEREF _Toc27456 \h </w:instrText>
      </w:r>
      <w:r>
        <w:fldChar w:fldCharType="separate"/>
      </w:r>
      <w:r>
        <w:t>79</w:t>
      </w:r>
      <w:r>
        <w:fldChar w:fldCharType="end"/>
      </w:r>
      <w:r>
        <w:rPr>
          <w:rFonts w:hint="eastAsia" w:ascii="宋体" w:hAnsi="宋体" w:eastAsia="宋体" w:cs="宋体"/>
          <w:color w:val="auto"/>
          <w:spacing w:val="0"/>
          <w:szCs w:val="24"/>
          <w:highlight w:val="none"/>
        </w:rPr>
        <w:fldChar w:fldCharType="end"/>
      </w:r>
    </w:p>
    <w:p w14:paraId="3F5D9693">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_Toc19646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格式九 项目经理任职声明</w:t>
      </w:r>
      <w:r>
        <w:tab/>
      </w:r>
      <w:r>
        <w:fldChar w:fldCharType="begin"/>
      </w:r>
      <w:r>
        <w:instrText xml:space="preserve"> PAGEREF _Toc19646 \h </w:instrText>
      </w:r>
      <w:r>
        <w:fldChar w:fldCharType="separate"/>
      </w:r>
      <w:r>
        <w:t>80</w:t>
      </w:r>
      <w:r>
        <w:fldChar w:fldCharType="end"/>
      </w:r>
      <w:r>
        <w:rPr>
          <w:rFonts w:hint="eastAsia" w:ascii="宋体" w:hAnsi="宋体" w:eastAsia="宋体" w:cs="宋体"/>
          <w:color w:val="auto"/>
          <w:spacing w:val="0"/>
          <w:szCs w:val="24"/>
          <w:highlight w:val="none"/>
        </w:rPr>
        <w:fldChar w:fldCharType="end"/>
      </w:r>
    </w:p>
    <w:p w14:paraId="5AEFBEDD">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_Toc13288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 项目技术负责人简历表</w:t>
      </w:r>
      <w:r>
        <w:tab/>
      </w:r>
      <w:r>
        <w:fldChar w:fldCharType="begin"/>
      </w:r>
      <w:r>
        <w:instrText xml:space="preserve"> PAGEREF _Toc13288 \h </w:instrText>
      </w:r>
      <w:r>
        <w:fldChar w:fldCharType="separate"/>
      </w:r>
      <w:r>
        <w:t>81</w:t>
      </w:r>
      <w:r>
        <w:fldChar w:fldCharType="end"/>
      </w:r>
      <w:r>
        <w:rPr>
          <w:rFonts w:hint="eastAsia" w:ascii="宋体" w:hAnsi="宋体" w:eastAsia="宋体" w:cs="宋体"/>
          <w:color w:val="auto"/>
          <w:spacing w:val="0"/>
          <w:szCs w:val="24"/>
          <w:highlight w:val="none"/>
        </w:rPr>
        <w:fldChar w:fldCharType="end"/>
      </w:r>
    </w:p>
    <w:p w14:paraId="36D2B9B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_Toc27504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格式十一 项目管理机构组成表</w:t>
      </w:r>
      <w:r>
        <w:tab/>
      </w:r>
      <w:r>
        <w:fldChar w:fldCharType="begin"/>
      </w:r>
      <w:r>
        <w:instrText xml:space="preserve"> PAGEREF _Toc27504 \h </w:instrText>
      </w:r>
      <w:r>
        <w:fldChar w:fldCharType="separate"/>
      </w:r>
      <w:r>
        <w:t>82</w:t>
      </w:r>
      <w:r>
        <w:fldChar w:fldCharType="end"/>
      </w:r>
      <w:r>
        <w:rPr>
          <w:rFonts w:hint="eastAsia" w:ascii="宋体" w:hAnsi="宋体" w:eastAsia="宋体" w:cs="宋体"/>
          <w:color w:val="auto"/>
          <w:spacing w:val="0"/>
          <w:szCs w:val="24"/>
          <w:highlight w:val="none"/>
        </w:rPr>
        <w:fldChar w:fldCharType="end"/>
      </w:r>
    </w:p>
    <w:p w14:paraId="5A12C2A2">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_Toc3573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格式十二 建造师查询页（有效期+建造师签字）</w:t>
      </w:r>
      <w:r>
        <w:tab/>
      </w:r>
      <w:r>
        <w:fldChar w:fldCharType="begin"/>
      </w:r>
      <w:r>
        <w:instrText xml:space="preserve"> PAGEREF _Toc3573 \h </w:instrText>
      </w:r>
      <w:r>
        <w:fldChar w:fldCharType="separate"/>
      </w:r>
      <w:r>
        <w:t>83</w:t>
      </w:r>
      <w:r>
        <w:fldChar w:fldCharType="end"/>
      </w:r>
      <w:r>
        <w:rPr>
          <w:rFonts w:hint="eastAsia" w:ascii="宋体" w:hAnsi="宋体" w:eastAsia="宋体" w:cs="宋体"/>
          <w:color w:val="auto"/>
          <w:spacing w:val="0"/>
          <w:szCs w:val="24"/>
          <w:highlight w:val="none"/>
        </w:rPr>
        <w:fldChar w:fldCharType="end"/>
      </w:r>
    </w:p>
    <w:p w14:paraId="10F99973">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_Toc23166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格式十三</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2"/>
          <w:highlight w:val="none"/>
        </w:rPr>
        <w:t>危险性较大的分部分项工程清单及超过一定规模的危险性较大的分部分项工程清单</w:t>
      </w:r>
      <w:r>
        <w:tab/>
      </w:r>
      <w:r>
        <w:fldChar w:fldCharType="begin"/>
      </w:r>
      <w:r>
        <w:instrText xml:space="preserve"> PAGEREF _Toc23166 \h </w:instrText>
      </w:r>
      <w:r>
        <w:fldChar w:fldCharType="separate"/>
      </w:r>
      <w:r>
        <w:t>85</w:t>
      </w:r>
      <w:r>
        <w:fldChar w:fldCharType="end"/>
      </w:r>
      <w:r>
        <w:rPr>
          <w:rFonts w:hint="eastAsia" w:ascii="宋体" w:hAnsi="宋体" w:eastAsia="宋体" w:cs="宋体"/>
          <w:color w:val="auto"/>
          <w:spacing w:val="0"/>
          <w:szCs w:val="24"/>
          <w:highlight w:val="none"/>
        </w:rPr>
        <w:fldChar w:fldCharType="end"/>
      </w:r>
    </w:p>
    <w:p w14:paraId="7752FC5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_Toc27207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格式十四</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position w:val="3"/>
          <w:szCs w:val="21"/>
          <w:highlight w:val="none"/>
        </w:rPr>
        <w:t>投标保证金信用承诺函</w:t>
      </w:r>
      <w:r>
        <w:tab/>
      </w:r>
      <w:r>
        <w:fldChar w:fldCharType="begin"/>
      </w:r>
      <w:r>
        <w:instrText xml:space="preserve"> PAGEREF _Toc27207 \h </w:instrText>
      </w:r>
      <w:r>
        <w:fldChar w:fldCharType="separate"/>
      </w:r>
      <w:r>
        <w:t>90</w:t>
      </w:r>
      <w:r>
        <w:fldChar w:fldCharType="end"/>
      </w:r>
      <w:r>
        <w:rPr>
          <w:rFonts w:hint="eastAsia" w:ascii="宋体" w:hAnsi="宋体" w:eastAsia="宋体" w:cs="宋体"/>
          <w:color w:val="auto"/>
          <w:spacing w:val="0"/>
          <w:szCs w:val="24"/>
          <w:highlight w:val="none"/>
        </w:rPr>
        <w:fldChar w:fldCharType="end"/>
      </w:r>
    </w:p>
    <w:p w14:paraId="3D8722E4">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_Toc26027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w:t>
      </w:r>
      <w:r>
        <w:rPr>
          <w:rFonts w:hint="eastAsia" w:ascii="宋体" w:hAnsi="宋体" w:eastAsia="宋体" w:cs="宋体"/>
          <w:bCs/>
          <w:spacing w:val="0"/>
          <w:szCs w:val="24"/>
          <w:highlight w:val="none"/>
          <w:lang w:eastAsia="zh-CN"/>
        </w:rPr>
        <w:t>五</w:t>
      </w:r>
      <w:r>
        <w:rPr>
          <w:rFonts w:hint="eastAsia" w:ascii="宋体" w:hAnsi="宋体" w:eastAsia="宋体" w:cs="宋体"/>
          <w:bCs/>
          <w:spacing w:val="0"/>
          <w:szCs w:val="24"/>
          <w:highlight w:val="none"/>
        </w:rPr>
        <w:t xml:space="preserve">  原件一览表</w:t>
      </w:r>
      <w:r>
        <w:tab/>
      </w:r>
      <w:r>
        <w:fldChar w:fldCharType="begin"/>
      </w:r>
      <w:r>
        <w:instrText xml:space="preserve"> PAGEREF _Toc26027 \h </w:instrText>
      </w:r>
      <w:r>
        <w:fldChar w:fldCharType="separate"/>
      </w:r>
      <w:r>
        <w:t>91</w:t>
      </w:r>
      <w:r>
        <w:fldChar w:fldCharType="end"/>
      </w:r>
      <w:r>
        <w:rPr>
          <w:rFonts w:hint="eastAsia" w:ascii="宋体" w:hAnsi="宋体" w:eastAsia="宋体" w:cs="宋体"/>
          <w:color w:val="auto"/>
          <w:spacing w:val="0"/>
          <w:szCs w:val="24"/>
          <w:highlight w:val="none"/>
        </w:rPr>
        <w:fldChar w:fldCharType="end"/>
      </w:r>
    </w:p>
    <w:p w14:paraId="0F332678">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_Toc4725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w:t>
      </w:r>
      <w:r>
        <w:rPr>
          <w:rFonts w:hint="eastAsia" w:ascii="宋体" w:hAnsi="宋体" w:eastAsia="宋体" w:cs="宋体"/>
          <w:bCs/>
          <w:spacing w:val="0"/>
          <w:szCs w:val="24"/>
          <w:highlight w:val="none"/>
          <w:lang w:val="en-US" w:eastAsia="zh-CN"/>
        </w:rPr>
        <w:t>十六</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lang w:val="en-US" w:eastAsia="zh-CN"/>
        </w:rPr>
        <w:t>定标文件</w:t>
      </w:r>
      <w:r>
        <w:rPr>
          <w:rFonts w:hint="eastAsia" w:ascii="宋体" w:hAnsi="宋体" w:eastAsia="宋体" w:cs="宋体"/>
          <w:bCs/>
          <w:spacing w:val="0"/>
          <w:szCs w:val="24"/>
          <w:highlight w:val="none"/>
        </w:rPr>
        <w:t>封面</w:t>
      </w:r>
      <w:r>
        <w:tab/>
      </w:r>
      <w:r>
        <w:fldChar w:fldCharType="begin"/>
      </w:r>
      <w:r>
        <w:instrText xml:space="preserve"> PAGEREF _Toc4725 \h </w:instrText>
      </w:r>
      <w:r>
        <w:fldChar w:fldCharType="separate"/>
      </w:r>
      <w:r>
        <w:t>92</w:t>
      </w:r>
      <w:r>
        <w:fldChar w:fldCharType="end"/>
      </w:r>
      <w:r>
        <w:rPr>
          <w:rFonts w:hint="eastAsia" w:ascii="宋体" w:hAnsi="宋体" w:eastAsia="宋体" w:cs="宋体"/>
          <w:color w:val="auto"/>
          <w:spacing w:val="0"/>
          <w:szCs w:val="24"/>
          <w:highlight w:val="none"/>
        </w:rPr>
        <w:fldChar w:fldCharType="end"/>
      </w:r>
    </w:p>
    <w:p w14:paraId="2087E198">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_Toc4519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w:t>
      </w:r>
      <w:r>
        <w:rPr>
          <w:rFonts w:hint="eastAsia" w:ascii="宋体" w:hAnsi="宋体" w:eastAsia="宋体" w:cs="宋体"/>
          <w:bCs/>
          <w:spacing w:val="0"/>
          <w:szCs w:val="24"/>
          <w:highlight w:val="none"/>
          <w:lang w:val="en-US" w:eastAsia="zh-CN"/>
        </w:rPr>
        <w:t>十七</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定标因素评审资料</w:t>
      </w:r>
      <w:r>
        <w:tab/>
      </w:r>
      <w:r>
        <w:fldChar w:fldCharType="begin"/>
      </w:r>
      <w:r>
        <w:instrText xml:space="preserve"> PAGEREF _Toc4519 \h </w:instrText>
      </w:r>
      <w:r>
        <w:fldChar w:fldCharType="separate"/>
      </w:r>
      <w:r>
        <w:t>93</w:t>
      </w:r>
      <w:r>
        <w:fldChar w:fldCharType="end"/>
      </w:r>
      <w:r>
        <w:rPr>
          <w:rFonts w:hint="eastAsia" w:ascii="宋体" w:hAnsi="宋体" w:eastAsia="宋体" w:cs="宋体"/>
          <w:color w:val="auto"/>
          <w:spacing w:val="0"/>
          <w:szCs w:val="24"/>
          <w:highlight w:val="none"/>
        </w:rPr>
        <w:fldChar w:fldCharType="end"/>
      </w:r>
    </w:p>
    <w:p w14:paraId="76EBA53F">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_Toc7189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第七章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建设工程施工合同</w:t>
      </w:r>
      <w:r>
        <w:tab/>
      </w:r>
      <w:r>
        <w:fldChar w:fldCharType="begin"/>
      </w:r>
      <w:r>
        <w:instrText xml:space="preserve"> PAGEREF _Toc7189 \h </w:instrText>
      </w:r>
      <w:r>
        <w:fldChar w:fldCharType="separate"/>
      </w:r>
      <w:r>
        <w:t>94</w:t>
      </w:r>
      <w:r>
        <w:fldChar w:fldCharType="end"/>
      </w:r>
      <w:r>
        <w:rPr>
          <w:rFonts w:hint="eastAsia" w:ascii="宋体" w:hAnsi="宋体" w:eastAsia="宋体" w:cs="宋体"/>
          <w:color w:val="auto"/>
          <w:spacing w:val="0"/>
          <w:szCs w:val="24"/>
          <w:highlight w:val="none"/>
        </w:rPr>
        <w:fldChar w:fldCharType="end"/>
      </w:r>
    </w:p>
    <w:p w14:paraId="5C2DA271">
      <w:pPr>
        <w:keepNext w:val="0"/>
        <w:keepLines w:val="0"/>
        <w:pageBreakBefore w:val="0"/>
        <w:wordWrap w:val="0"/>
        <w:overflowPunct/>
        <w:topLinePunct w:val="0"/>
        <w:bidi w:val="0"/>
        <w:spacing w:line="220" w:lineRule="auto"/>
        <w:jc w:val="center"/>
        <w:rPr>
          <w:rFonts w:hint="eastAsia" w:ascii="宋体" w:hAnsi="宋体" w:eastAsia="宋体" w:cs="宋体"/>
          <w:color w:val="auto"/>
          <w:spacing w:val="0"/>
          <w:sz w:val="24"/>
          <w:szCs w:val="24"/>
          <w:highlight w:val="none"/>
        </w:rPr>
        <w:sectPr>
          <w:headerReference r:id="rId4" w:type="default"/>
          <w:footerReference r:id="rId5"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pacing w:val="0"/>
          <w:szCs w:val="24"/>
          <w:highlight w:val="none"/>
        </w:rPr>
        <w:fldChar w:fldCharType="end"/>
      </w:r>
    </w:p>
    <w:p w14:paraId="5E00BD9D">
      <w:pPr>
        <w:pStyle w:val="6"/>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469BBC3">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auto"/>
          <w:spacing w:val="0"/>
          <w:sz w:val="24"/>
          <w:szCs w:val="24"/>
          <w:highlight w:val="none"/>
        </w:rPr>
      </w:pPr>
      <w:bookmarkStart w:id="0" w:name="bookmark1"/>
      <w:bookmarkEnd w:id="0"/>
      <w:bookmarkStart w:id="1" w:name="_Toc10235"/>
      <w:r>
        <w:rPr>
          <w:rFonts w:hint="eastAsia" w:ascii="宋体" w:hAnsi="宋体" w:eastAsia="宋体" w:cs="宋体"/>
          <w:b/>
          <w:bCs/>
          <w:color w:val="auto"/>
          <w:spacing w:val="0"/>
          <w:sz w:val="24"/>
          <w:szCs w:val="24"/>
          <w:highlight w:val="none"/>
        </w:rPr>
        <w:t>第一章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w:t>
      </w:r>
      <w:bookmarkEnd w:id="1"/>
    </w:p>
    <w:p w14:paraId="2CEDFB2C">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auto"/>
          <w:spacing w:val="0"/>
          <w:sz w:val="24"/>
          <w:szCs w:val="24"/>
          <w:highlight w:val="none"/>
        </w:rPr>
      </w:pPr>
      <w:bookmarkStart w:id="2" w:name="bookmark3"/>
      <w:bookmarkEnd w:id="2"/>
      <w:bookmarkStart w:id="3" w:name="_Toc384"/>
      <w:r>
        <w:rPr>
          <w:rFonts w:hint="eastAsia" w:ascii="宋体" w:hAnsi="宋体" w:eastAsia="宋体" w:cs="宋体"/>
          <w:b/>
          <w:bCs/>
          <w:color w:val="auto"/>
          <w:spacing w:val="0"/>
          <w:sz w:val="24"/>
          <w:szCs w:val="24"/>
          <w:highlight w:val="none"/>
        </w:rPr>
        <w:t>第一节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投标人须知前附表</w:t>
      </w:r>
      <w:bookmarkEnd w:id="3"/>
    </w:p>
    <w:p w14:paraId="196CB528">
      <w:pPr>
        <w:keepNext w:val="0"/>
        <w:keepLines w:val="0"/>
        <w:pageBreakBefore w:val="0"/>
        <w:wordWrap w:val="0"/>
        <w:overflowPunct/>
        <w:topLinePunct w:val="0"/>
        <w:bidi w:val="0"/>
        <w:spacing w:before="25"/>
        <w:rPr>
          <w:rFonts w:hint="eastAsia" w:ascii="宋体" w:hAnsi="宋体" w:eastAsia="宋体" w:cs="宋体"/>
          <w:color w:val="auto"/>
          <w:spacing w:val="0"/>
          <w:highlight w:val="none"/>
        </w:rPr>
      </w:pPr>
    </w:p>
    <w:tbl>
      <w:tblPr>
        <w:tblStyle w:val="15"/>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942"/>
        <w:gridCol w:w="7574"/>
      </w:tblGrid>
      <w:tr w14:paraId="4DD9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center"/>
          </w:tcPr>
          <w:p w14:paraId="48996B63">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序号</w:t>
            </w:r>
          </w:p>
        </w:tc>
        <w:tc>
          <w:tcPr>
            <w:tcW w:w="1942" w:type="dxa"/>
            <w:vAlign w:val="center"/>
          </w:tcPr>
          <w:p w14:paraId="38542E1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内容</w:t>
            </w:r>
          </w:p>
        </w:tc>
        <w:tc>
          <w:tcPr>
            <w:tcW w:w="7574" w:type="dxa"/>
            <w:vAlign w:val="center"/>
          </w:tcPr>
          <w:p w14:paraId="19700D4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说明与要求</w:t>
            </w:r>
          </w:p>
        </w:tc>
      </w:tr>
      <w:tr w14:paraId="1E24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6F0E6307">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auto"/>
                <w:spacing w:val="0"/>
                <w:sz w:val="21"/>
                <w:szCs w:val="21"/>
                <w:highlight w:val="none"/>
              </w:rPr>
            </w:pPr>
            <w:bookmarkStart w:id="4" w:name="OLE_LINK2" w:colFirst="2" w:colLast="2"/>
            <w:r>
              <w:rPr>
                <w:rFonts w:hint="eastAsia" w:asciiTheme="minorEastAsia" w:hAnsiTheme="minorEastAsia" w:eastAsiaTheme="minorEastAsia" w:cstheme="minorEastAsia"/>
                <w:color w:val="auto"/>
                <w:spacing w:val="0"/>
                <w:sz w:val="21"/>
                <w:szCs w:val="21"/>
                <w:highlight w:val="none"/>
              </w:rPr>
              <w:t>1</w:t>
            </w:r>
          </w:p>
        </w:tc>
        <w:tc>
          <w:tcPr>
            <w:tcW w:w="1942" w:type="dxa"/>
            <w:vAlign w:val="center"/>
          </w:tcPr>
          <w:p w14:paraId="222BCE8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项目名称</w:t>
            </w:r>
          </w:p>
        </w:tc>
        <w:tc>
          <w:tcPr>
            <w:tcW w:w="7574" w:type="dxa"/>
            <w:vAlign w:val="center"/>
          </w:tcPr>
          <w:p w14:paraId="7BFDA06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韶关市风采桥桥面人行道修缮工程施工</w:t>
            </w:r>
          </w:p>
        </w:tc>
      </w:tr>
      <w:tr w14:paraId="27FD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6896A5ED">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14419B9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项目业主</w:t>
            </w:r>
          </w:p>
        </w:tc>
        <w:tc>
          <w:tcPr>
            <w:tcW w:w="7574" w:type="dxa"/>
            <w:vAlign w:val="center"/>
          </w:tcPr>
          <w:p w14:paraId="24B962E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韶关市市政管理中心</w:t>
            </w:r>
          </w:p>
        </w:tc>
      </w:tr>
      <w:tr w14:paraId="23B3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6BE10F56">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1942" w:type="dxa"/>
            <w:vAlign w:val="center"/>
          </w:tcPr>
          <w:p w14:paraId="4E3BE1B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项目批准部门及项目批准文号</w:t>
            </w:r>
          </w:p>
        </w:tc>
        <w:tc>
          <w:tcPr>
            <w:tcW w:w="7574" w:type="dxa"/>
            <w:vAlign w:val="center"/>
          </w:tcPr>
          <w:p w14:paraId="627A030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韶关市发展和改革局</w:t>
            </w:r>
          </w:p>
          <w:p w14:paraId="281FC55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韶发改投审〔2025〕34号</w:t>
            </w:r>
          </w:p>
        </w:tc>
      </w:tr>
      <w:tr w14:paraId="1488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037AC272">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1942" w:type="dxa"/>
            <w:vAlign w:val="center"/>
          </w:tcPr>
          <w:p w14:paraId="1EAD014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建设地点</w:t>
            </w:r>
          </w:p>
        </w:tc>
        <w:tc>
          <w:tcPr>
            <w:tcW w:w="7574" w:type="dxa"/>
            <w:tcMar>
              <w:top w:w="0" w:type="dxa"/>
              <w:left w:w="0" w:type="dxa"/>
              <w:bottom w:w="0" w:type="dxa"/>
              <w:right w:w="0" w:type="dxa"/>
            </w:tcMar>
            <w:vAlign w:val="center"/>
          </w:tcPr>
          <w:p w14:paraId="1DDCBB2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韶关市风采桥</w:t>
            </w:r>
          </w:p>
        </w:tc>
      </w:tr>
      <w:tr w14:paraId="75CB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75BBD9EE">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1942" w:type="dxa"/>
            <w:vAlign w:val="center"/>
          </w:tcPr>
          <w:p w14:paraId="5664470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项目代码</w:t>
            </w:r>
          </w:p>
        </w:tc>
        <w:tc>
          <w:tcPr>
            <w:tcW w:w="7574" w:type="dxa"/>
            <w:vAlign w:val="center"/>
          </w:tcPr>
          <w:p w14:paraId="04C821F9">
            <w:pPr>
              <w:keepNext w:val="0"/>
              <w:keepLines w:val="0"/>
              <w:widowControl/>
              <w:suppressLineNumbers w:val="0"/>
              <w:ind w:firstLine="210" w:firstLineChars="100"/>
              <w:jc w:val="left"/>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2508-440200-04-01-131387</w:t>
            </w:r>
          </w:p>
        </w:tc>
      </w:tr>
      <w:tr w14:paraId="016F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3AF433F2">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w:t>
            </w:r>
          </w:p>
        </w:tc>
        <w:tc>
          <w:tcPr>
            <w:tcW w:w="1942" w:type="dxa"/>
            <w:vAlign w:val="center"/>
          </w:tcPr>
          <w:p w14:paraId="6092623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资金来源及落实情况</w:t>
            </w:r>
          </w:p>
        </w:tc>
        <w:tc>
          <w:tcPr>
            <w:tcW w:w="7574" w:type="dxa"/>
            <w:vAlign w:val="center"/>
          </w:tcPr>
          <w:p w14:paraId="6E2376B4">
            <w:pPr>
              <w:keepNext w:val="0"/>
              <w:keepLines w:val="0"/>
              <w:widowControl/>
              <w:suppressLineNumbers w:val="0"/>
              <w:ind w:firstLine="210" w:firstLineChars="100"/>
              <w:jc w:val="left"/>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项目建设所需资金由政府一般债予以支持，其余部分由财政统筹解决</w:t>
            </w:r>
          </w:p>
        </w:tc>
      </w:tr>
      <w:tr w14:paraId="1B38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87C06E1">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w:t>
            </w:r>
          </w:p>
        </w:tc>
        <w:tc>
          <w:tcPr>
            <w:tcW w:w="1942" w:type="dxa"/>
            <w:vAlign w:val="center"/>
          </w:tcPr>
          <w:p w14:paraId="4C2F1E0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招标人</w:t>
            </w:r>
          </w:p>
        </w:tc>
        <w:tc>
          <w:tcPr>
            <w:tcW w:w="7574" w:type="dxa"/>
            <w:vAlign w:val="center"/>
          </w:tcPr>
          <w:p w14:paraId="7D53AF3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韶关市市政管理中心</w:t>
            </w:r>
          </w:p>
        </w:tc>
      </w:tr>
      <w:tr w14:paraId="20EE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3A2A6D51">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w:t>
            </w:r>
          </w:p>
        </w:tc>
        <w:tc>
          <w:tcPr>
            <w:tcW w:w="1942" w:type="dxa"/>
            <w:vAlign w:val="center"/>
          </w:tcPr>
          <w:p w14:paraId="028C8CE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招标代理机构</w:t>
            </w:r>
          </w:p>
        </w:tc>
        <w:tc>
          <w:tcPr>
            <w:tcW w:w="7574" w:type="dxa"/>
            <w:vAlign w:val="center"/>
          </w:tcPr>
          <w:p w14:paraId="0C9CFC1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韶关成果项目管理有限公司</w:t>
            </w:r>
          </w:p>
        </w:tc>
      </w:tr>
      <w:tr w14:paraId="40B4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866847F">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w:t>
            </w:r>
          </w:p>
        </w:tc>
        <w:tc>
          <w:tcPr>
            <w:tcW w:w="1942" w:type="dxa"/>
            <w:vAlign w:val="center"/>
          </w:tcPr>
          <w:p w14:paraId="4223215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设计单位</w:t>
            </w:r>
          </w:p>
        </w:tc>
        <w:tc>
          <w:tcPr>
            <w:tcW w:w="7574" w:type="dxa"/>
            <w:vAlign w:val="center"/>
          </w:tcPr>
          <w:p w14:paraId="7259E9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中都工程设计有限公司</w:t>
            </w:r>
          </w:p>
        </w:tc>
      </w:tr>
      <w:bookmarkEnd w:id="4"/>
      <w:tr w14:paraId="4104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768DA257">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w:t>
            </w:r>
          </w:p>
        </w:tc>
        <w:tc>
          <w:tcPr>
            <w:tcW w:w="1942" w:type="dxa"/>
            <w:vAlign w:val="center"/>
          </w:tcPr>
          <w:p w14:paraId="59B7A72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造价咨询单位</w:t>
            </w:r>
          </w:p>
        </w:tc>
        <w:tc>
          <w:tcPr>
            <w:tcW w:w="7574" w:type="dxa"/>
            <w:vAlign w:val="center"/>
          </w:tcPr>
          <w:p w14:paraId="01D21B5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□非全过程造价咨询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p>
        </w:tc>
      </w:tr>
      <w:tr w14:paraId="05A0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3B5417C">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w:t>
            </w:r>
          </w:p>
        </w:tc>
        <w:tc>
          <w:tcPr>
            <w:tcW w:w="1942" w:type="dxa"/>
            <w:vAlign w:val="center"/>
          </w:tcPr>
          <w:p w14:paraId="6CFC11F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监理单位</w:t>
            </w:r>
          </w:p>
        </w:tc>
        <w:tc>
          <w:tcPr>
            <w:tcW w:w="7574" w:type="dxa"/>
            <w:vAlign w:val="center"/>
          </w:tcPr>
          <w:p w14:paraId="1ABFA49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☑已确定监理单位</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□未确定监理单位</w:t>
            </w:r>
          </w:p>
        </w:tc>
      </w:tr>
      <w:tr w14:paraId="25D1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114EF9C">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1</w:t>
            </w: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0E4B842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建设内容和规模</w:t>
            </w:r>
          </w:p>
        </w:tc>
        <w:tc>
          <w:tcPr>
            <w:tcW w:w="7574" w:type="dxa"/>
            <w:vAlign w:val="center"/>
          </w:tcPr>
          <w:p w14:paraId="3331303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☑建设规模：</w:t>
            </w:r>
            <w:r>
              <w:rPr>
                <w:rFonts w:hint="eastAsia" w:asciiTheme="minorEastAsia" w:hAnsiTheme="minorEastAsia" w:eastAsiaTheme="minorEastAsia" w:cstheme="minorEastAsia"/>
                <w:snapToGrid w:val="0"/>
                <w:color w:val="auto"/>
                <w:spacing w:val="0"/>
                <w:kern w:val="0"/>
                <w:sz w:val="21"/>
                <w:szCs w:val="21"/>
                <w:highlight w:val="none"/>
                <w:lang w:val="en-US" w:eastAsia="zh-CN"/>
              </w:rPr>
              <w:t>/</w:t>
            </w:r>
          </w:p>
          <w:p w14:paraId="545B734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w:t>
            </w:r>
          </w:p>
          <w:p w14:paraId="2163DE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对风采桥主桥、引桥进行修缮，桥</w:t>
            </w:r>
            <w:r>
              <w:rPr>
                <w:rFonts w:hint="default" w:asciiTheme="minorEastAsia" w:hAnsiTheme="minorEastAsia" w:eastAsiaTheme="minorEastAsia" w:cstheme="minorEastAsia"/>
                <w:snapToGrid w:val="0"/>
                <w:color w:val="auto"/>
                <w:spacing w:val="0"/>
                <w:kern w:val="0"/>
                <w:sz w:val="21"/>
                <w:szCs w:val="21"/>
                <w:highlight w:val="none"/>
                <w:lang w:val="en-US" w:eastAsia="zh-CN"/>
              </w:rPr>
              <w:t>梁全长约482米，桥宽12米，建筑面积5784平方米。</w:t>
            </w:r>
          </w:p>
        </w:tc>
      </w:tr>
      <w:tr w14:paraId="454D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7FC595D">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w:t>
            </w:r>
          </w:p>
        </w:tc>
        <w:tc>
          <w:tcPr>
            <w:tcW w:w="1942" w:type="dxa"/>
            <w:vAlign w:val="center"/>
          </w:tcPr>
          <w:p w14:paraId="57C4E78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项目总投资</w:t>
            </w:r>
          </w:p>
        </w:tc>
        <w:tc>
          <w:tcPr>
            <w:tcW w:w="7574" w:type="dxa"/>
            <w:vAlign w:val="center"/>
          </w:tcPr>
          <w:p w14:paraId="45D7A72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项目概算总投资462.44万元，其中工程费用353.87万元，工程建设其他费用95.10万元，预备费用13.47万元。</w:t>
            </w:r>
          </w:p>
        </w:tc>
      </w:tr>
      <w:tr w14:paraId="2BEC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343ADD2F">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14</w:t>
            </w:r>
          </w:p>
        </w:tc>
        <w:tc>
          <w:tcPr>
            <w:tcW w:w="1942" w:type="dxa"/>
            <w:vAlign w:val="center"/>
          </w:tcPr>
          <w:p w14:paraId="6A7E5B2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招标范围</w:t>
            </w:r>
          </w:p>
        </w:tc>
        <w:tc>
          <w:tcPr>
            <w:tcW w:w="7574" w:type="dxa"/>
            <w:vAlign w:val="center"/>
          </w:tcPr>
          <w:p w14:paraId="311050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按审查合格的施工图纸及工程量清单内容施工</w:t>
            </w:r>
          </w:p>
        </w:tc>
      </w:tr>
      <w:tr w14:paraId="71BE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20FB47A">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w:t>
            </w:r>
          </w:p>
        </w:tc>
        <w:tc>
          <w:tcPr>
            <w:tcW w:w="1942" w:type="dxa"/>
            <w:vAlign w:val="center"/>
          </w:tcPr>
          <w:p w14:paraId="61B9B9E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标段划分</w:t>
            </w:r>
          </w:p>
        </w:tc>
        <w:tc>
          <w:tcPr>
            <w:tcW w:w="7574" w:type="dxa"/>
            <w:vAlign w:val="center"/>
          </w:tcPr>
          <w:p w14:paraId="04448B7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本招标项目不划分标段。 </w:t>
            </w:r>
          </w:p>
        </w:tc>
      </w:tr>
      <w:tr w14:paraId="0CDC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70AAA65">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16</w:t>
            </w:r>
          </w:p>
        </w:tc>
        <w:tc>
          <w:tcPr>
            <w:tcW w:w="1942" w:type="dxa"/>
            <w:vAlign w:val="center"/>
          </w:tcPr>
          <w:p w14:paraId="13DCED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工期</w:t>
            </w:r>
          </w:p>
        </w:tc>
        <w:tc>
          <w:tcPr>
            <w:tcW w:w="7574" w:type="dxa"/>
            <w:vAlign w:val="top"/>
          </w:tcPr>
          <w:p w14:paraId="33DD96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lang w:val="en-US" w:eastAsia="zh-CN"/>
              </w:rPr>
              <w:t>180个日历天</w:t>
            </w:r>
            <w:r>
              <w:rPr>
                <w:rFonts w:hint="eastAsia" w:asciiTheme="minorEastAsia" w:hAnsiTheme="minorEastAsia" w:eastAsiaTheme="minorEastAsia" w:cstheme="minorEastAsia"/>
                <w:snapToGrid w:val="0"/>
                <w:color w:val="auto"/>
                <w:spacing w:val="0"/>
                <w:kern w:val="0"/>
                <w:sz w:val="21"/>
                <w:szCs w:val="21"/>
                <w:highlight w:val="none"/>
                <w:lang w:eastAsia="zh-CN"/>
              </w:rPr>
              <w:t>。具体如下：</w:t>
            </w:r>
          </w:p>
          <w:p w14:paraId="2E23EB4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☑总工期：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180</w:t>
            </w:r>
            <w:r>
              <w:rPr>
                <w:rFonts w:hint="eastAsia" w:asciiTheme="minorEastAsia" w:hAnsiTheme="minorEastAsia" w:eastAsiaTheme="minorEastAsia" w:cstheme="minorEastAsia"/>
                <w:snapToGrid w:val="0"/>
                <w:color w:val="auto"/>
                <w:spacing w:val="0"/>
                <w:kern w:val="0"/>
                <w:sz w:val="21"/>
                <w:szCs w:val="21"/>
                <w:highlight w:val="none"/>
                <w:lang w:eastAsia="zh-CN"/>
              </w:rPr>
              <w:t>天 （日历天）。</w:t>
            </w:r>
          </w:p>
          <w:p w14:paraId="26AB2D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□计划开工日期：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日（具体开工日期以合同为准）</w:t>
            </w:r>
          </w:p>
          <w:p w14:paraId="419633D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□计划竣工日期：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w:t>
            </w:r>
          </w:p>
          <w:p w14:paraId="447708E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□除上述总工期外，发包人还要求以下阶段工期：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p>
        </w:tc>
      </w:tr>
      <w:tr w14:paraId="0832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82" w:type="dxa"/>
            <w:vAlign w:val="center"/>
          </w:tcPr>
          <w:p w14:paraId="5C8BA544">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17</w:t>
            </w:r>
          </w:p>
        </w:tc>
        <w:tc>
          <w:tcPr>
            <w:tcW w:w="1942" w:type="dxa"/>
            <w:vAlign w:val="center"/>
          </w:tcPr>
          <w:p w14:paraId="4CEAC5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p>
        </w:tc>
        <w:tc>
          <w:tcPr>
            <w:tcW w:w="7574" w:type="dxa"/>
            <w:vAlign w:val="top"/>
          </w:tcPr>
          <w:p w14:paraId="42F99ED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符合现行国家有关工程施工质量验收规范和标准的要求，达到验收合格标准。</w:t>
            </w:r>
          </w:p>
        </w:tc>
      </w:tr>
      <w:tr w14:paraId="4CB1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1D59D55F">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18</w:t>
            </w:r>
          </w:p>
        </w:tc>
        <w:tc>
          <w:tcPr>
            <w:tcW w:w="1942" w:type="dxa"/>
            <w:vMerge w:val="restart"/>
            <w:vAlign w:val="center"/>
          </w:tcPr>
          <w:p w14:paraId="1086669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合同类型</w:t>
            </w:r>
          </w:p>
        </w:tc>
        <w:tc>
          <w:tcPr>
            <w:tcW w:w="7574" w:type="dxa"/>
            <w:vAlign w:val="top"/>
          </w:tcPr>
          <w:p w14:paraId="34BB545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☑单价合同：发承包双方约定以工程量清单及其综合单价进行合同价款计算、调整和确认的建设工程施工合同。</w:t>
            </w:r>
          </w:p>
          <w:p w14:paraId="5FBB177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328D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4992AFE9">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p>
        </w:tc>
        <w:tc>
          <w:tcPr>
            <w:tcW w:w="1942" w:type="dxa"/>
            <w:vMerge w:val="continue"/>
            <w:vAlign w:val="center"/>
          </w:tcPr>
          <w:p w14:paraId="67B171E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p>
        </w:tc>
        <w:tc>
          <w:tcPr>
            <w:tcW w:w="7574" w:type="dxa"/>
            <w:vAlign w:val="top"/>
          </w:tcPr>
          <w:p w14:paraId="5B2A157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□总价合同：发承包双方约定以施工图及其预算和有关条件进行合同价款计算、调整和确认的建设工程施工合同。 </w:t>
            </w:r>
          </w:p>
          <w:p w14:paraId="576C35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注：总价合同是以施工图纸、规范为基础，在工程任务内容明确、发包人的要求条件清楚、计价标准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7E0F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5799A098">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w:t>
            </w:r>
          </w:p>
        </w:tc>
        <w:tc>
          <w:tcPr>
            <w:tcW w:w="1942" w:type="dxa"/>
            <w:vAlign w:val="center"/>
          </w:tcPr>
          <w:p w14:paraId="4BA854B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房屋建筑工程绿色建筑标准</w:t>
            </w:r>
          </w:p>
        </w:tc>
        <w:tc>
          <w:tcPr>
            <w:tcW w:w="7574" w:type="dxa"/>
            <w:vAlign w:val="center"/>
          </w:tcPr>
          <w:p w14:paraId="6EA25BEB">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纳入绿色建设实施范围。</w:t>
            </w:r>
          </w:p>
        </w:tc>
      </w:tr>
      <w:tr w14:paraId="2F4B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5BB5351C">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19. 1</w:t>
            </w:r>
          </w:p>
        </w:tc>
        <w:tc>
          <w:tcPr>
            <w:tcW w:w="1942" w:type="dxa"/>
            <w:vAlign w:val="center"/>
          </w:tcPr>
          <w:p w14:paraId="117D2CE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装配式建筑标准</w:t>
            </w:r>
          </w:p>
        </w:tc>
        <w:tc>
          <w:tcPr>
            <w:tcW w:w="7574" w:type="dxa"/>
            <w:vAlign w:val="center"/>
          </w:tcPr>
          <w:p w14:paraId="6B30D43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纳入装配式建造建设实施范围。</w:t>
            </w:r>
          </w:p>
        </w:tc>
      </w:tr>
      <w:tr w14:paraId="7196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53832028">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20</w:t>
            </w:r>
          </w:p>
        </w:tc>
        <w:tc>
          <w:tcPr>
            <w:tcW w:w="1942" w:type="dxa"/>
            <w:vAlign w:val="center"/>
          </w:tcPr>
          <w:p w14:paraId="5CAF528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w:t>
            </w:r>
          </w:p>
        </w:tc>
        <w:tc>
          <w:tcPr>
            <w:tcW w:w="7574" w:type="dxa"/>
            <w:vAlign w:val="center"/>
          </w:tcPr>
          <w:p w14:paraId="7E704987">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auto"/>
                <w:spacing w:val="0"/>
                <w:kern w:val="0"/>
                <w:sz w:val="21"/>
                <w:szCs w:val="21"/>
                <w:highlight w:val="none"/>
                <w:u w:val="singl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 ☑无     □有：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     </w:t>
            </w:r>
          </w:p>
        </w:tc>
      </w:tr>
      <w:tr w14:paraId="7ECC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91AE3D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21</w:t>
            </w:r>
          </w:p>
        </w:tc>
        <w:tc>
          <w:tcPr>
            <w:tcW w:w="1942" w:type="dxa"/>
            <w:vAlign w:val="center"/>
          </w:tcPr>
          <w:p w14:paraId="1E0DD9E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承包人提供材料和工程设备</w:t>
            </w:r>
          </w:p>
        </w:tc>
        <w:tc>
          <w:tcPr>
            <w:tcW w:w="7574" w:type="dxa"/>
            <w:vAlign w:val="top"/>
          </w:tcPr>
          <w:p w14:paraId="14E2E4F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0D2DCB8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□其它说明：鼓励承包人积极采购环保产品进行施工。</w:t>
            </w:r>
          </w:p>
        </w:tc>
      </w:tr>
      <w:tr w14:paraId="2A7C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3FCD515C">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w:t>
            </w:r>
          </w:p>
        </w:tc>
        <w:tc>
          <w:tcPr>
            <w:tcW w:w="1942" w:type="dxa"/>
            <w:vAlign w:val="center"/>
          </w:tcPr>
          <w:p w14:paraId="686F7B1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最高投标限价</w:t>
            </w:r>
          </w:p>
        </w:tc>
        <w:tc>
          <w:tcPr>
            <w:tcW w:w="7574" w:type="dxa"/>
            <w:vAlign w:val="center"/>
          </w:tcPr>
          <w:p w14:paraId="75B7F6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本招标项目的</w:t>
            </w:r>
            <w:r>
              <w:rPr>
                <w:rFonts w:hint="eastAsia" w:asciiTheme="minorEastAsia" w:hAnsiTheme="minorEastAsia" w:eastAsiaTheme="minorEastAsia" w:cstheme="minorEastAsia"/>
                <w:snapToGrid w:val="0"/>
                <w:color w:val="auto"/>
                <w:spacing w:val="0"/>
                <w:kern w:val="0"/>
                <w:sz w:val="21"/>
                <w:szCs w:val="21"/>
                <w:highlight w:val="none"/>
                <w:lang w:val="en-US" w:eastAsia="zh-CN"/>
              </w:rPr>
              <w:t>最高投标限价</w:t>
            </w:r>
            <w:r>
              <w:rPr>
                <w:rFonts w:hint="eastAsia" w:asciiTheme="minorEastAsia" w:hAnsiTheme="minorEastAsia" w:eastAsiaTheme="minorEastAsia" w:cstheme="minorEastAsia"/>
                <w:snapToGrid w:val="0"/>
                <w:color w:val="auto"/>
                <w:spacing w:val="0"/>
                <w:kern w:val="0"/>
                <w:sz w:val="21"/>
                <w:szCs w:val="21"/>
                <w:highlight w:val="none"/>
                <w:lang w:eastAsia="zh-CN"/>
              </w:rPr>
              <w:t>、工程量清单、</w:t>
            </w:r>
            <w:r>
              <w:rPr>
                <w:rFonts w:hint="eastAsia" w:asciiTheme="minorEastAsia" w:hAnsiTheme="minorEastAsia" w:eastAsiaTheme="minorEastAsia" w:cstheme="minorEastAsia"/>
                <w:snapToGrid w:val="0"/>
                <w:color w:val="auto"/>
                <w:spacing w:val="0"/>
                <w:kern w:val="0"/>
                <w:sz w:val="21"/>
                <w:szCs w:val="21"/>
                <w:highlight w:val="none"/>
                <w:lang w:val="en-US" w:eastAsia="zh-CN"/>
              </w:rPr>
              <w:t>施工图纸</w:t>
            </w:r>
            <w:r>
              <w:rPr>
                <w:rFonts w:hint="eastAsia" w:asciiTheme="minorEastAsia" w:hAnsiTheme="minorEastAsia" w:eastAsiaTheme="minorEastAsia" w:cstheme="minorEastAsia"/>
                <w:snapToGrid w:val="0"/>
                <w:color w:val="auto"/>
                <w:spacing w:val="0"/>
                <w:kern w:val="0"/>
                <w:sz w:val="21"/>
                <w:szCs w:val="21"/>
                <w:highlight w:val="none"/>
                <w:lang w:eastAsia="zh-CN"/>
              </w:rPr>
              <w:t>在投标截止时间15天前以补充公告的形式在广东省招标投标监管网（http://zbtb.gd.gov.cn）、全国公共资源交易平台（广东省·韶关市）（https://ygp.gdzwfw.gov.cn/ggzy-portal/#/440200/index）网站公布。</w:t>
            </w:r>
          </w:p>
        </w:tc>
      </w:tr>
      <w:tr w14:paraId="54A7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538319E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w:t>
            </w:r>
          </w:p>
        </w:tc>
        <w:tc>
          <w:tcPr>
            <w:tcW w:w="1942" w:type="dxa"/>
            <w:vAlign w:val="center"/>
          </w:tcPr>
          <w:p w14:paraId="6757490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投标人的投标报价</w:t>
            </w:r>
          </w:p>
        </w:tc>
        <w:tc>
          <w:tcPr>
            <w:tcW w:w="7574" w:type="dxa"/>
            <w:vAlign w:val="center"/>
          </w:tcPr>
          <w:p w14:paraId="33957A2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19EEAFE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spacing w:val="0"/>
                <w:kern w:val="0"/>
                <w:sz w:val="21"/>
                <w:szCs w:val="21"/>
                <w:highlight w:val="none"/>
                <w:lang w:val="en-US" w:eastAsia="zh-CN"/>
              </w:rPr>
              <w:t>价  □其他：</w:t>
            </w:r>
          </w:p>
          <w:p w14:paraId="16173AD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投标报价时，应按《广东省建设工程计价依据（2018）》规定的费率报价，若招标工程量清单明确说明不计算预算包干费或另外确定预算包干费费率的，则按招标工程量清单报价。</w:t>
            </w:r>
          </w:p>
        </w:tc>
      </w:tr>
      <w:tr w14:paraId="42AA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0F9F6D8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w:t>
            </w:r>
          </w:p>
        </w:tc>
        <w:tc>
          <w:tcPr>
            <w:tcW w:w="1942" w:type="dxa"/>
            <w:vAlign w:val="center"/>
          </w:tcPr>
          <w:p w14:paraId="289DAA6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投标报价风险</w:t>
            </w:r>
          </w:p>
        </w:tc>
        <w:tc>
          <w:tcPr>
            <w:tcW w:w="7574" w:type="dxa"/>
            <w:vAlign w:val="center"/>
          </w:tcPr>
          <w:p w14:paraId="639CCF5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☑投标人依据招标文件约定自行考虑风险因素，一旦中标，投标报价（合同价）除合同另有约定外将不因市场变化而调整。</w:t>
            </w:r>
          </w:p>
          <w:p w14:paraId="414B250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54843E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☑人工费、材料费、机具费、管理费、利润、措施项目费（不含安全生产措施费）投标人漏报或不报，招标人视为有关费用 已包括在工程量清单项目的其它单价及合价中不予另外增加。</w:t>
            </w:r>
          </w:p>
          <w:p w14:paraId="4D6AFB1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☑措施项目中的安全生产措施费，必须按国家、省级、市级（即工程所在地）行业建设主管部门的规定计算，不得作为竞争性费用。</w:t>
            </w:r>
          </w:p>
          <w:p w14:paraId="708EB3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7A9C3DF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797C29E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52A8CB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2776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42E6764A">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25</w:t>
            </w:r>
          </w:p>
        </w:tc>
        <w:tc>
          <w:tcPr>
            <w:tcW w:w="1942" w:type="dxa"/>
            <w:vAlign w:val="center"/>
          </w:tcPr>
          <w:p w14:paraId="2EE410F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投标费用</w:t>
            </w:r>
          </w:p>
        </w:tc>
        <w:tc>
          <w:tcPr>
            <w:tcW w:w="7574" w:type="dxa"/>
            <w:vAlign w:val="center"/>
          </w:tcPr>
          <w:p w14:paraId="11D2FE5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投标人自行承担编制与递交投标文件的一切费用。</w:t>
            </w:r>
          </w:p>
        </w:tc>
      </w:tr>
      <w:tr w14:paraId="742C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2E6D0803">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26</w:t>
            </w:r>
          </w:p>
        </w:tc>
        <w:tc>
          <w:tcPr>
            <w:tcW w:w="1942" w:type="dxa"/>
            <w:vAlign w:val="center"/>
          </w:tcPr>
          <w:p w14:paraId="2A8AB06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投标人资格要求</w:t>
            </w:r>
          </w:p>
        </w:tc>
        <w:tc>
          <w:tcPr>
            <w:tcW w:w="7574" w:type="dxa"/>
            <w:vAlign w:val="center"/>
          </w:tcPr>
          <w:p w14:paraId="0EB7F0A3">
            <w:pPr>
              <w:wordWrap w:val="0"/>
              <w:adjustRightInd w:val="0"/>
              <w:snapToGrid w:val="0"/>
              <w:spacing w:line="400" w:lineRule="exact"/>
              <w:ind w:firstLine="210" w:firstLineChars="100"/>
              <w:rPr>
                <w:rFonts w:hint="eastAsia" w:ascii="宋体" w:hAnsi="宋体" w:eastAsia="宋体" w:cs="宋体"/>
                <w:snapToGrid w:val="0"/>
                <w:kern w:val="0"/>
                <w:sz w:val="21"/>
                <w:szCs w:val="24"/>
                <w:highlight w:val="none"/>
              </w:rPr>
            </w:pPr>
            <w:r>
              <w:rPr>
                <w:rFonts w:hint="eastAsia" w:ascii="宋体" w:hAnsi="宋体" w:eastAsia="宋体" w:cs="宋体"/>
                <w:snapToGrid w:val="0"/>
                <w:kern w:val="0"/>
                <w:sz w:val="21"/>
                <w:szCs w:val="24"/>
                <w:highlight w:val="none"/>
              </w:rPr>
              <w:t>1．本次招标</w:t>
            </w:r>
            <w:r>
              <w:rPr>
                <w:rFonts w:hint="eastAsia" w:ascii="宋体" w:hAnsi="宋体" w:eastAsia="宋体" w:cs="宋体"/>
                <w:b/>
                <w:bCs/>
                <w:snapToGrid w:val="0"/>
                <w:kern w:val="0"/>
                <w:sz w:val="21"/>
                <w:szCs w:val="24"/>
                <w:highlight w:val="none"/>
                <w:u w:val="single"/>
              </w:rPr>
              <w:t>接受</w:t>
            </w:r>
            <w:r>
              <w:rPr>
                <w:rFonts w:hint="eastAsia" w:ascii="宋体" w:hAnsi="宋体" w:eastAsia="宋体" w:cs="宋体"/>
                <w:snapToGrid w:val="0"/>
                <w:kern w:val="0"/>
                <w:sz w:val="21"/>
                <w:szCs w:val="24"/>
                <w:highlight w:val="none"/>
              </w:rPr>
              <w:t>联合体投标。</w:t>
            </w:r>
          </w:p>
          <w:p w14:paraId="0B0AF700">
            <w:pPr>
              <w:wordWrap w:val="0"/>
              <w:adjustRightInd w:val="0"/>
              <w:snapToGrid w:val="0"/>
              <w:spacing w:line="400" w:lineRule="exact"/>
              <w:ind w:firstLine="211" w:firstLineChars="100"/>
              <w:jc w:val="left"/>
              <w:rPr>
                <w:rFonts w:hint="eastAsia" w:ascii="宋体" w:hAnsi="宋体" w:eastAsia="宋体" w:cs="宋体"/>
                <w:b/>
                <w:bCs/>
                <w:snapToGrid w:val="0"/>
                <w:kern w:val="0"/>
                <w:sz w:val="21"/>
                <w:highlight w:val="none"/>
              </w:rPr>
            </w:pPr>
            <w:r>
              <w:rPr>
                <w:rFonts w:hint="eastAsia" w:ascii="宋体" w:hAnsi="宋体" w:eastAsia="宋体" w:cs="宋体"/>
                <w:b/>
                <w:bCs/>
                <w:snapToGrid w:val="0"/>
                <w:kern w:val="0"/>
                <w:sz w:val="21"/>
                <w:highlight w:val="none"/>
              </w:rPr>
              <w:t>2．</w:t>
            </w:r>
            <w:r>
              <w:rPr>
                <w:rFonts w:hint="eastAsia" w:ascii="宋体" w:hAnsi="宋体" w:eastAsia="宋体" w:cs="宋体"/>
                <w:b/>
                <w:bCs/>
                <w:color w:val="000000"/>
                <w:sz w:val="21"/>
                <w:szCs w:val="21"/>
                <w:highlight w:val="none"/>
              </w:rPr>
              <w:t>资格资质要求</w:t>
            </w:r>
          </w:p>
          <w:p w14:paraId="024AE773">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cs="宋体"/>
                <w:b/>
                <w:bCs/>
                <w:color w:val="auto"/>
                <w:kern w:val="0"/>
                <w:sz w:val="21"/>
                <w:szCs w:val="21"/>
                <w:highlight w:val="none"/>
                <w:lang w:eastAsia="zh-CN"/>
              </w:rPr>
              <w:t>2</w:t>
            </w:r>
            <w:r>
              <w:rPr>
                <w:rFonts w:hint="eastAsia" w:ascii="宋体" w:hAnsi="宋体" w:eastAsia="宋体" w:cs="宋体"/>
                <w:b/>
                <w:bCs/>
                <w:color w:val="auto"/>
                <w:kern w:val="0"/>
                <w:sz w:val="21"/>
                <w:szCs w:val="21"/>
                <w:highlight w:val="none"/>
              </w:rPr>
              <w:t>.1</w:t>
            </w:r>
            <w:r>
              <w:rPr>
                <w:rFonts w:hint="eastAsia" w:ascii="宋体" w:hAnsi="宋体" w:eastAsia="宋体" w:cs="宋体"/>
                <w:color w:val="auto"/>
                <w:kern w:val="0"/>
                <w:sz w:val="21"/>
                <w:szCs w:val="21"/>
                <w:highlight w:val="none"/>
              </w:rPr>
              <w:t>本次招标</w:t>
            </w:r>
            <w:r>
              <w:rPr>
                <w:rFonts w:hint="eastAsia" w:ascii="宋体" w:hAnsi="宋体" w:eastAsia="宋体" w:cs="宋体"/>
                <w:b/>
                <w:bCs/>
                <w:color w:val="auto"/>
                <w:kern w:val="0"/>
                <w:sz w:val="21"/>
                <w:szCs w:val="21"/>
                <w:highlight w:val="none"/>
              </w:rPr>
              <w:t>接受</w:t>
            </w:r>
            <w:r>
              <w:rPr>
                <w:rFonts w:hint="eastAsia" w:ascii="宋体" w:hAnsi="宋体" w:eastAsia="宋体" w:cs="宋体"/>
                <w:color w:val="auto"/>
                <w:kern w:val="0"/>
                <w:sz w:val="21"/>
                <w:szCs w:val="21"/>
                <w:highlight w:val="none"/>
              </w:rPr>
              <w:t>联合体投标，联合体以一个投标人的身份共同投标。</w:t>
            </w:r>
          </w:p>
          <w:p w14:paraId="29C7EAFD">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.1.1</w:t>
            </w:r>
            <w:r>
              <w:rPr>
                <w:rFonts w:hint="eastAsia" w:ascii="宋体" w:hAnsi="宋体" w:eastAsia="宋体" w:cs="宋体"/>
                <w:color w:val="auto"/>
                <w:sz w:val="21"/>
                <w:szCs w:val="21"/>
                <w:highlight w:val="none"/>
              </w:rPr>
              <w:t>联合体成员数量不超过</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个。</w:t>
            </w:r>
          </w:p>
          <w:p w14:paraId="659BF29D">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 xml:space="preserve">.1.2 </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18C9F223">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5791409B">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.1.</w:t>
            </w:r>
            <w:r>
              <w:rPr>
                <w:rFonts w:hint="eastAsia" w:ascii="宋体" w:hAnsi="宋体" w:cs="宋体"/>
                <w:b/>
                <w:bCs/>
                <w:color w:val="auto"/>
                <w:kern w:val="0"/>
                <w:sz w:val="21"/>
                <w:szCs w:val="21"/>
                <w:highlight w:val="none"/>
                <w:lang w:val="en-US" w:eastAsia="zh-CN"/>
              </w:rPr>
              <w:t>4</w:t>
            </w:r>
            <w:r>
              <w:rPr>
                <w:rFonts w:hint="eastAsia" w:ascii="宋体" w:hAnsi="宋体" w:eastAsia="宋体" w:cs="宋体"/>
                <w:color w:val="auto"/>
                <w:sz w:val="21"/>
                <w:szCs w:val="21"/>
                <w:highlight w:val="none"/>
              </w:rPr>
              <w:t>联合体各方不得再以自己名义单独或参加其他联合体在本招标项目中投标，否则各相关投标均无效。</w:t>
            </w:r>
          </w:p>
          <w:p w14:paraId="348A9CC3">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yellow"/>
              </w:rPr>
            </w:pPr>
            <w:r>
              <w:rPr>
                <w:rFonts w:hint="eastAsia" w:ascii="宋体" w:hAnsi="宋体" w:cs="宋体"/>
                <w:b/>
                <w:bCs/>
                <w:color w:val="auto"/>
                <w:kern w:val="0"/>
                <w:sz w:val="21"/>
                <w:szCs w:val="21"/>
                <w:highlight w:val="yellow"/>
                <w:lang w:val="en-US" w:eastAsia="zh-CN" w:bidi="ar-SA"/>
              </w:rPr>
              <w:t>2</w:t>
            </w:r>
            <w:r>
              <w:rPr>
                <w:rFonts w:hint="eastAsia" w:ascii="宋体" w:hAnsi="宋体" w:eastAsia="宋体" w:cs="宋体"/>
                <w:b/>
                <w:bCs/>
                <w:color w:val="auto"/>
                <w:kern w:val="0"/>
                <w:sz w:val="21"/>
                <w:szCs w:val="21"/>
                <w:highlight w:val="yellow"/>
                <w:lang w:val="en-US" w:eastAsia="zh-CN" w:bidi="ar-SA"/>
              </w:rPr>
              <w:t xml:space="preserve">.2 </w:t>
            </w:r>
            <w:r>
              <w:rPr>
                <w:rFonts w:hint="eastAsia" w:ascii="宋体" w:hAnsi="宋体" w:eastAsia="宋体" w:cs="宋体"/>
                <w:color w:val="auto"/>
                <w:sz w:val="21"/>
                <w:szCs w:val="21"/>
                <w:highlight w:val="yellow"/>
              </w:rPr>
              <w:t>资质要求</w:t>
            </w:r>
          </w:p>
          <w:p w14:paraId="671B0E24">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yellow"/>
              </w:rPr>
            </w:pPr>
            <w:r>
              <w:rPr>
                <w:rFonts w:hint="eastAsia" w:ascii="宋体" w:hAnsi="宋体" w:cs="宋体"/>
                <w:b/>
                <w:bCs/>
                <w:color w:val="auto"/>
                <w:kern w:val="0"/>
                <w:sz w:val="21"/>
                <w:szCs w:val="21"/>
                <w:highlight w:val="yellow"/>
                <w:lang w:val="en-US" w:eastAsia="zh-CN" w:bidi="ar-SA"/>
              </w:rPr>
              <w:t>2</w:t>
            </w:r>
            <w:r>
              <w:rPr>
                <w:rFonts w:hint="eastAsia" w:ascii="宋体" w:hAnsi="宋体" w:eastAsia="宋体" w:cs="宋体"/>
                <w:b/>
                <w:bCs/>
                <w:color w:val="auto"/>
                <w:kern w:val="0"/>
                <w:sz w:val="21"/>
                <w:szCs w:val="21"/>
                <w:highlight w:val="yellow"/>
                <w:lang w:val="en-US" w:eastAsia="zh-CN" w:bidi="ar-SA"/>
              </w:rPr>
              <w:t xml:space="preserve">.2.1 </w:t>
            </w:r>
            <w:r>
              <w:rPr>
                <w:rFonts w:hint="eastAsia" w:ascii="宋体" w:hAnsi="宋体" w:eastAsia="宋体" w:cs="宋体"/>
                <w:color w:val="auto"/>
                <w:sz w:val="21"/>
                <w:szCs w:val="21"/>
                <w:highlight w:val="yellow"/>
              </w:rPr>
              <w:t>投标人须具备独立法人资格，按国家法律经营。</w:t>
            </w:r>
          </w:p>
          <w:p w14:paraId="64ECF257">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yellow"/>
              </w:rPr>
            </w:pPr>
            <w:r>
              <w:rPr>
                <w:rFonts w:hint="eastAsia" w:ascii="宋体" w:hAnsi="宋体" w:cs="宋体"/>
                <w:b/>
                <w:bCs/>
                <w:color w:val="auto"/>
                <w:kern w:val="0"/>
                <w:sz w:val="21"/>
                <w:szCs w:val="21"/>
                <w:highlight w:val="yellow"/>
                <w:lang w:val="en-US" w:eastAsia="zh-CN" w:bidi="ar-SA"/>
              </w:rPr>
              <w:t>2</w:t>
            </w:r>
            <w:r>
              <w:rPr>
                <w:rFonts w:hint="eastAsia" w:ascii="宋体" w:hAnsi="宋体" w:eastAsia="宋体" w:cs="宋体"/>
                <w:b/>
                <w:bCs/>
                <w:color w:val="auto"/>
                <w:kern w:val="0"/>
                <w:sz w:val="21"/>
                <w:szCs w:val="21"/>
                <w:highlight w:val="yellow"/>
                <w:lang w:val="en-US" w:eastAsia="zh-CN" w:bidi="ar-SA"/>
              </w:rPr>
              <w:t xml:space="preserve">.2.2 </w:t>
            </w:r>
            <w:r>
              <w:rPr>
                <w:rFonts w:hint="eastAsia" w:ascii="宋体" w:hAnsi="宋体" w:eastAsia="宋体" w:cs="宋体"/>
                <w:color w:val="auto"/>
                <w:sz w:val="21"/>
                <w:szCs w:val="21"/>
                <w:highlight w:val="yellow"/>
              </w:rPr>
              <w:t>投标人须持有行政主管部门颁发的企业资质证书。</w:t>
            </w:r>
          </w:p>
          <w:p w14:paraId="143AD97B">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yellow"/>
              </w:rPr>
            </w:pPr>
            <w:r>
              <w:rPr>
                <w:rFonts w:hint="eastAsia" w:ascii="宋体" w:hAnsi="宋体" w:cs="宋体"/>
                <w:b/>
                <w:bCs/>
                <w:color w:val="auto"/>
                <w:kern w:val="0"/>
                <w:sz w:val="21"/>
                <w:szCs w:val="21"/>
                <w:highlight w:val="yellow"/>
                <w:lang w:val="en-US" w:eastAsia="zh-CN" w:bidi="ar-SA"/>
              </w:rPr>
              <w:t>2</w:t>
            </w:r>
            <w:r>
              <w:rPr>
                <w:rFonts w:hint="eastAsia" w:ascii="宋体" w:hAnsi="宋体" w:eastAsia="宋体" w:cs="宋体"/>
                <w:b/>
                <w:bCs/>
                <w:color w:val="auto"/>
                <w:kern w:val="0"/>
                <w:sz w:val="21"/>
                <w:szCs w:val="21"/>
                <w:highlight w:val="yellow"/>
                <w:lang w:val="en-US" w:eastAsia="zh-CN" w:bidi="ar-SA"/>
              </w:rPr>
              <w:t xml:space="preserve">.2.3 </w:t>
            </w:r>
            <w:r>
              <w:rPr>
                <w:rFonts w:hint="eastAsia" w:ascii="宋体" w:hAnsi="宋体" w:eastAsia="宋体" w:cs="宋体"/>
                <w:color w:val="auto"/>
                <w:sz w:val="21"/>
                <w:szCs w:val="21"/>
                <w:highlight w:val="yellow"/>
              </w:rPr>
              <w:t>参加投标的投标人可以是单</w:t>
            </w:r>
            <w:r>
              <w:rPr>
                <w:rFonts w:hint="eastAsia" w:ascii="宋体" w:hAnsi="宋体" w:eastAsia="宋体" w:cs="宋体"/>
                <w:color w:val="auto"/>
                <w:sz w:val="21"/>
                <w:szCs w:val="21"/>
                <w:highlight w:val="yellow"/>
                <w:lang w:val="en-US" w:eastAsia="zh-CN"/>
              </w:rPr>
              <w:t>1</w:t>
            </w:r>
            <w:r>
              <w:rPr>
                <w:rFonts w:hint="eastAsia" w:ascii="宋体" w:hAnsi="宋体" w:eastAsia="宋体" w:cs="宋体"/>
                <w:color w:val="auto"/>
                <w:sz w:val="21"/>
                <w:szCs w:val="21"/>
                <w:highlight w:val="yellow"/>
              </w:rPr>
              <w:t>独立法人或由不超过</w:t>
            </w:r>
            <w:r>
              <w:rPr>
                <w:rFonts w:hint="eastAsia" w:ascii="宋体" w:hAnsi="宋体" w:cs="宋体"/>
                <w:color w:val="auto"/>
                <w:sz w:val="21"/>
                <w:szCs w:val="21"/>
                <w:highlight w:val="yellow"/>
                <w:u w:val="single"/>
                <w:lang w:val="en-US" w:eastAsia="zh-CN"/>
              </w:rPr>
              <w:t xml:space="preserve"> 2 </w:t>
            </w:r>
            <w:r>
              <w:rPr>
                <w:rFonts w:hint="eastAsia" w:ascii="宋体" w:hAnsi="宋体" w:eastAsia="宋体" w:cs="宋体"/>
                <w:color w:val="auto"/>
                <w:sz w:val="21"/>
                <w:szCs w:val="21"/>
                <w:highlight w:val="yellow"/>
              </w:rPr>
              <w:t>家独立法人组成的联合体（必须注明其中一家为牵头人），联合体各方不得再以自己的名义单独申请，也不得同时参加两个或两个以上的联合体进行本项目的投标。单一独立法人必须至少具备以下①</w:t>
            </w:r>
            <w:r>
              <w:rPr>
                <w:rFonts w:hint="eastAsia" w:ascii="宋体" w:hAnsi="宋体" w:cs="宋体"/>
                <w:color w:val="auto"/>
                <w:sz w:val="21"/>
                <w:szCs w:val="21"/>
                <w:highlight w:val="yellow"/>
                <w:lang w:val="en-US" w:eastAsia="zh-CN"/>
              </w:rPr>
              <w:t>或②~③</w:t>
            </w:r>
            <w:r>
              <w:rPr>
                <w:rFonts w:hint="eastAsia" w:ascii="宋体" w:hAnsi="宋体" w:eastAsia="宋体" w:cs="宋体"/>
                <w:color w:val="auto"/>
                <w:sz w:val="21"/>
                <w:szCs w:val="21"/>
                <w:highlight w:val="yellow"/>
              </w:rPr>
              <w:t>资质，组成联合体投标的，联合后必须至少具备以下①</w:t>
            </w:r>
            <w:r>
              <w:rPr>
                <w:rFonts w:hint="eastAsia" w:ascii="宋体" w:hAnsi="宋体" w:cs="宋体"/>
                <w:color w:val="auto"/>
                <w:sz w:val="21"/>
                <w:szCs w:val="21"/>
                <w:highlight w:val="yellow"/>
                <w:lang w:val="en-US" w:eastAsia="zh-CN"/>
              </w:rPr>
              <w:t>或②~③</w:t>
            </w:r>
            <w:r>
              <w:rPr>
                <w:rFonts w:hint="eastAsia" w:ascii="宋体" w:hAnsi="宋体" w:eastAsia="宋体" w:cs="宋体"/>
                <w:color w:val="auto"/>
                <w:sz w:val="21"/>
                <w:szCs w:val="21"/>
                <w:highlight w:val="yellow"/>
              </w:rPr>
              <w:t>资质，联合体牵头人必须</w:t>
            </w:r>
            <w:r>
              <w:rPr>
                <w:rFonts w:hint="eastAsia" w:ascii="宋体" w:hAnsi="宋体" w:eastAsia="宋体" w:cs="宋体"/>
                <w:color w:val="auto"/>
                <w:sz w:val="21"/>
                <w:szCs w:val="21"/>
                <w:highlight w:val="yellow"/>
                <w:lang w:val="en-US" w:eastAsia="zh-CN"/>
              </w:rPr>
              <w:t>为</w:t>
            </w:r>
            <w:r>
              <w:rPr>
                <w:rFonts w:hint="eastAsia" w:ascii="宋体" w:hAnsi="宋体" w:eastAsia="宋体" w:cs="宋体"/>
                <w:color w:val="auto"/>
                <w:sz w:val="21"/>
                <w:szCs w:val="21"/>
                <w:highlight w:val="yellow"/>
                <w:u w:val="single"/>
                <w:lang w:val="en-US" w:eastAsia="zh-CN"/>
              </w:rPr>
              <w:t>施工单位</w:t>
            </w:r>
            <w:r>
              <w:rPr>
                <w:rFonts w:hint="eastAsia" w:ascii="宋体" w:hAnsi="宋体" w:eastAsia="宋体" w:cs="宋体"/>
                <w:color w:val="auto"/>
                <w:sz w:val="21"/>
                <w:szCs w:val="21"/>
                <w:highlight w:val="yellow"/>
              </w:rPr>
              <w:t>，由同一专业的单位组成的联合体，按照资质等级较低的单位确定资质等级：</w:t>
            </w:r>
          </w:p>
          <w:p w14:paraId="787B2964">
            <w:pPr>
              <w:keepNext w:val="0"/>
              <w:keepLines w:val="0"/>
              <w:pageBreakBefore w:val="0"/>
              <w:kinsoku/>
              <w:wordWrap/>
              <w:overflowPunct/>
              <w:topLinePunct w:val="0"/>
              <w:autoSpaceDE/>
              <w:autoSpaceDN/>
              <w:bidi w:val="0"/>
              <w:adjustRightInd/>
              <w:snapToGrid w:val="0"/>
              <w:spacing w:line="300" w:lineRule="auto"/>
              <w:ind w:left="105" w:leftChars="50" w:firstLine="420" w:firstLineChars="200"/>
              <w:textAlignment w:val="auto"/>
              <w:rPr>
                <w:rFonts w:hint="eastAsia" w:hAnsi="宋体" w:eastAsia="宋体" w:cs="宋体"/>
                <w:b/>
                <w:bCs/>
                <w:color w:val="000000"/>
                <w:sz w:val="21"/>
                <w:szCs w:val="21"/>
                <w:highlight w:val="yellow"/>
                <w:u w:val="single"/>
                <w:lang w:eastAsia="zh-CN"/>
              </w:rPr>
            </w:pPr>
            <w:r>
              <w:rPr>
                <w:rFonts w:hint="eastAsia" w:ascii="宋体" w:hAnsi="宋体" w:eastAsia="宋体" w:cs="宋体"/>
                <w:color w:val="auto"/>
                <w:sz w:val="21"/>
                <w:szCs w:val="21"/>
                <w:highlight w:val="yellow"/>
                <w:lang w:val="zh-CN"/>
              </w:rPr>
              <w:t>①施工资质：</w:t>
            </w:r>
            <w:r>
              <w:rPr>
                <w:rFonts w:hint="eastAsia" w:ascii="宋体" w:hAnsi="宋体" w:eastAsia="宋体" w:cs="宋体"/>
                <w:b/>
                <w:bCs/>
                <w:color w:val="000000"/>
                <w:sz w:val="21"/>
                <w:szCs w:val="21"/>
                <w:highlight w:val="yellow"/>
                <w:u w:val="single"/>
              </w:rPr>
              <w:t>市政公用工程施工总承包</w:t>
            </w:r>
            <w:r>
              <w:rPr>
                <w:rFonts w:hint="eastAsia" w:ascii="宋体" w:hAnsi="宋体" w:eastAsia="宋体" w:cs="宋体"/>
                <w:b/>
                <w:bCs/>
                <w:color w:val="000000"/>
                <w:sz w:val="21"/>
                <w:szCs w:val="21"/>
                <w:highlight w:val="yellow"/>
                <w:u w:val="single"/>
                <w:lang w:val="en-US" w:eastAsia="zh-CN"/>
              </w:rPr>
              <w:t>壹</w:t>
            </w:r>
            <w:r>
              <w:rPr>
                <w:rFonts w:hint="eastAsia" w:ascii="宋体" w:hAnsi="宋体" w:eastAsia="宋体" w:cs="宋体"/>
                <w:b/>
                <w:bCs/>
                <w:color w:val="000000"/>
                <w:sz w:val="21"/>
                <w:szCs w:val="21"/>
                <w:highlight w:val="yellow"/>
                <w:u w:val="single"/>
              </w:rPr>
              <w:t>级以上（含</w:t>
            </w:r>
            <w:r>
              <w:rPr>
                <w:rFonts w:hint="eastAsia" w:ascii="宋体" w:hAnsi="宋体" w:eastAsia="宋体" w:cs="宋体"/>
                <w:b/>
                <w:bCs/>
                <w:color w:val="000000"/>
                <w:sz w:val="21"/>
                <w:szCs w:val="21"/>
                <w:highlight w:val="yellow"/>
                <w:u w:val="single"/>
                <w:lang w:val="en-US" w:eastAsia="zh-CN"/>
              </w:rPr>
              <w:t>壹</w:t>
            </w:r>
            <w:r>
              <w:rPr>
                <w:rFonts w:hint="eastAsia" w:ascii="宋体" w:hAnsi="宋体" w:eastAsia="宋体" w:cs="宋体"/>
                <w:b/>
                <w:bCs/>
                <w:color w:val="000000"/>
                <w:sz w:val="21"/>
                <w:szCs w:val="21"/>
                <w:highlight w:val="yellow"/>
                <w:u w:val="single"/>
              </w:rPr>
              <w:t>级）</w:t>
            </w:r>
            <w:r>
              <w:rPr>
                <w:rFonts w:hint="eastAsia" w:hAnsi="宋体" w:eastAsia="宋体" w:cs="宋体"/>
                <w:b/>
                <w:bCs/>
                <w:color w:val="000000"/>
                <w:sz w:val="21"/>
                <w:szCs w:val="21"/>
                <w:highlight w:val="yellow"/>
                <w:u w:val="single"/>
                <w:lang w:eastAsia="zh-CN"/>
              </w:rPr>
              <w:t>。</w:t>
            </w:r>
          </w:p>
          <w:p w14:paraId="1DFA38AC">
            <w:pPr>
              <w:keepNext w:val="0"/>
              <w:keepLines w:val="0"/>
              <w:pageBreakBefore w:val="0"/>
              <w:kinsoku/>
              <w:wordWrap/>
              <w:overflowPunct/>
              <w:topLinePunct w:val="0"/>
              <w:autoSpaceDE/>
              <w:autoSpaceDN/>
              <w:bidi w:val="0"/>
              <w:adjustRightInd/>
              <w:snapToGrid w:val="0"/>
              <w:spacing w:line="300" w:lineRule="auto"/>
              <w:ind w:left="525" w:leftChars="250" w:firstLine="0" w:firstLineChars="0"/>
              <w:textAlignment w:val="auto"/>
              <w:rPr>
                <w:rFonts w:hint="eastAsia" w:ascii="宋体" w:hAnsi="宋体" w:eastAsia="宋体" w:cs="宋体"/>
                <w:snapToGrid w:val="0"/>
                <w:kern w:val="0"/>
                <w:sz w:val="21"/>
                <w:szCs w:val="21"/>
                <w:highlight w:val="yellow"/>
              </w:rPr>
            </w:pPr>
            <w:r>
              <w:rPr>
                <w:rFonts w:hint="eastAsia" w:ascii="宋体" w:hAnsi="宋体" w:eastAsia="宋体" w:cs="宋体"/>
                <w:color w:val="auto"/>
                <w:sz w:val="21"/>
                <w:szCs w:val="21"/>
                <w:highlight w:val="yellow"/>
                <w:lang w:val="zh-CN"/>
              </w:rPr>
              <w:t>②施工资质：</w:t>
            </w:r>
            <w:r>
              <w:rPr>
                <w:rFonts w:hint="eastAsia" w:ascii="宋体" w:hAnsi="宋体" w:eastAsia="宋体" w:cs="宋体"/>
                <w:b/>
                <w:bCs/>
                <w:color w:val="000000"/>
                <w:sz w:val="21"/>
                <w:szCs w:val="21"/>
                <w:highlight w:val="yellow"/>
                <w:u w:val="single"/>
                <w:lang w:val="en-US" w:eastAsia="zh-CN"/>
              </w:rPr>
              <w:t>桥梁工程专业承包资质贰级以上（含贰级）</w:t>
            </w:r>
            <w:r>
              <w:rPr>
                <w:rFonts w:hint="eastAsia" w:ascii="宋体" w:hAnsi="宋体" w:eastAsia="宋体" w:cs="宋体"/>
                <w:snapToGrid w:val="0"/>
                <w:kern w:val="0"/>
                <w:sz w:val="21"/>
                <w:szCs w:val="21"/>
                <w:highlight w:val="yellow"/>
              </w:rPr>
              <w:t>。</w:t>
            </w:r>
            <w:r>
              <w:rPr>
                <w:rFonts w:hint="eastAsia" w:ascii="宋体" w:hAnsi="宋体" w:eastAsia="宋体" w:cs="宋体"/>
                <w:snapToGrid w:val="0"/>
                <w:kern w:val="0"/>
                <w:sz w:val="21"/>
                <w:szCs w:val="21"/>
                <w:highlight w:val="yellow"/>
              </w:rPr>
              <w:br w:type="textWrapping"/>
            </w:r>
            <w:r>
              <w:rPr>
                <w:rFonts w:hint="eastAsia" w:ascii="宋体" w:hAnsi="宋体" w:eastAsia="宋体" w:cs="宋体"/>
                <w:color w:val="auto"/>
                <w:sz w:val="21"/>
                <w:szCs w:val="21"/>
                <w:highlight w:val="yellow"/>
                <w:lang w:val="en-US" w:eastAsia="zh-CN"/>
              </w:rPr>
              <w:t>③</w:t>
            </w:r>
            <w:r>
              <w:rPr>
                <w:rFonts w:hint="eastAsia" w:ascii="宋体" w:hAnsi="宋体" w:eastAsia="宋体" w:cs="宋体"/>
                <w:color w:val="auto"/>
                <w:sz w:val="21"/>
                <w:szCs w:val="21"/>
                <w:highlight w:val="yellow"/>
                <w:lang w:val="zh-CN"/>
              </w:rPr>
              <w:t>施工资质：</w:t>
            </w:r>
            <w:r>
              <w:rPr>
                <w:rFonts w:hint="eastAsia" w:ascii="宋体" w:hAnsi="宋体" w:eastAsia="宋体" w:cs="宋体"/>
                <w:b/>
                <w:bCs/>
                <w:color w:val="000000"/>
                <w:sz w:val="21"/>
                <w:szCs w:val="21"/>
                <w:highlight w:val="yellow"/>
                <w:u w:val="single"/>
                <w:lang w:val="en-US" w:eastAsia="zh-CN"/>
              </w:rPr>
              <w:t>钢结构专业承包资质叁级以上（含叁级）</w:t>
            </w:r>
            <w:r>
              <w:rPr>
                <w:rFonts w:hint="eastAsia" w:ascii="宋体" w:hAnsi="宋体" w:eastAsia="宋体" w:cs="宋体"/>
                <w:snapToGrid w:val="0"/>
                <w:kern w:val="0"/>
                <w:sz w:val="21"/>
                <w:szCs w:val="21"/>
                <w:highlight w:val="yellow"/>
              </w:rPr>
              <w:t>。</w:t>
            </w:r>
          </w:p>
          <w:p w14:paraId="16704F67">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.3 </w:t>
            </w:r>
            <w:r>
              <w:rPr>
                <w:rFonts w:hint="eastAsia" w:ascii="宋体" w:hAnsi="宋体" w:eastAsia="宋体" w:cs="宋体"/>
                <w:color w:val="auto"/>
                <w:sz w:val="21"/>
                <w:szCs w:val="21"/>
                <w:highlight w:val="none"/>
              </w:rPr>
              <w:t>相关人员要求</w:t>
            </w:r>
          </w:p>
          <w:p w14:paraId="78036993">
            <w:pPr>
              <w:keepNext w:val="0"/>
              <w:keepLines w:val="0"/>
              <w:pageBreakBefore w:val="0"/>
              <w:kinsoku/>
              <w:wordWrap/>
              <w:overflowPunct/>
              <w:topLinePunct w:val="0"/>
              <w:autoSpaceDE/>
              <w:autoSpaceDN/>
              <w:bidi w:val="0"/>
              <w:adjustRightInd/>
              <w:snapToGrid w:val="0"/>
              <w:spacing w:line="300" w:lineRule="auto"/>
              <w:ind w:left="105" w:leftChars="50" w:firstLine="422" w:firstLineChars="200"/>
              <w:textAlignment w:val="auto"/>
              <w:rPr>
                <w:rFonts w:hint="eastAsia" w:ascii="宋体" w:hAnsi="宋体" w:eastAsia="宋体" w:cs="宋体"/>
                <w:color w:val="auto"/>
                <w:sz w:val="21"/>
                <w:szCs w:val="21"/>
                <w:highlight w:val="none"/>
                <w:lang w:val="zh-CN"/>
              </w:rPr>
            </w:pPr>
            <w:r>
              <w:rPr>
                <w:rFonts w:hint="eastAsia" w:hAnsi="宋体" w:eastAsia="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.3.1 </w:t>
            </w:r>
            <w:r>
              <w:rPr>
                <w:rFonts w:hint="eastAsia" w:ascii="宋体" w:hAnsi="宋体" w:eastAsia="宋体" w:cs="宋体"/>
                <w:color w:val="auto"/>
                <w:sz w:val="21"/>
                <w:szCs w:val="21"/>
                <w:highlight w:val="none"/>
                <w:lang w:val="zh-CN"/>
              </w:rPr>
              <w:t>拟派项目经理为具有</w:t>
            </w:r>
            <w:r>
              <w:rPr>
                <w:rFonts w:hint="eastAsia" w:ascii="宋体" w:hAnsi="宋体" w:eastAsia="宋体" w:cs="宋体"/>
                <w:b/>
                <w:bCs/>
                <w:snapToGrid w:val="0"/>
                <w:color w:val="000000"/>
                <w:kern w:val="0"/>
                <w:sz w:val="21"/>
                <w:szCs w:val="21"/>
                <w:highlight w:val="none"/>
                <w:u w:val="single"/>
              </w:rPr>
              <w:t>市政公用工程</w:t>
            </w:r>
            <w:r>
              <w:rPr>
                <w:rFonts w:hint="eastAsia" w:hAnsi="宋体" w:eastAsia="宋体" w:cs="宋体"/>
                <w:b/>
                <w:bCs/>
                <w:snapToGrid w:val="0"/>
                <w:color w:val="000000"/>
                <w:kern w:val="0"/>
                <w:sz w:val="21"/>
                <w:szCs w:val="21"/>
                <w:highlight w:val="none"/>
                <w:u w:val="single"/>
                <w:lang w:val="en-US" w:eastAsia="zh-CN"/>
              </w:rPr>
              <w:t>或公路工程</w:t>
            </w:r>
            <w:r>
              <w:rPr>
                <w:rFonts w:hint="eastAsia" w:ascii="宋体" w:hAnsi="宋体" w:eastAsia="宋体" w:cs="宋体"/>
                <w:color w:val="auto"/>
                <w:sz w:val="21"/>
                <w:szCs w:val="21"/>
                <w:highlight w:val="none"/>
                <w:lang w:val="zh-CN"/>
              </w:rPr>
              <w:t>专业一级注册建造师，应持有住建部门印发的在使用有效期内的有效电子注册证书。同时均须具备有效安全生产考核合格证明（B证，安全生产考核合格证书或“建筑施工企业管理人员安全生产考核信息系统”考核合格信息截图），且未担任其他在施（包括已中标未开工、已开工未竣工）建设工程项目的项目经理。</w:t>
            </w:r>
          </w:p>
          <w:p w14:paraId="17ABA5B6">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p>
          <w:p w14:paraId="2E5D51E2">
            <w:pPr>
              <w:pStyle w:val="30"/>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拟派项目技术负责人须具备</w:t>
            </w:r>
            <w:r>
              <w:rPr>
                <w:rFonts w:hint="eastAsia" w:ascii="宋体" w:hAnsi="宋体" w:eastAsia="宋体" w:cs="宋体"/>
                <w:color w:val="auto"/>
                <w:sz w:val="21"/>
                <w:szCs w:val="21"/>
                <w:highlight w:val="none"/>
                <w:u w:val="single"/>
              </w:rPr>
              <w:t>市政公用工程或</w:t>
            </w:r>
            <w:r>
              <w:rPr>
                <w:rFonts w:hint="eastAsia" w:ascii="宋体" w:hAnsi="宋体" w:cs="宋体"/>
                <w:color w:val="auto"/>
                <w:sz w:val="21"/>
                <w:szCs w:val="21"/>
                <w:highlight w:val="none"/>
                <w:u w:val="single"/>
                <w:lang w:val="en-US" w:eastAsia="zh-CN"/>
              </w:rPr>
              <w:t>路桥</w:t>
            </w:r>
            <w:r>
              <w:rPr>
                <w:rFonts w:hint="eastAsia" w:ascii="宋体" w:hAnsi="宋体" w:eastAsia="宋体" w:cs="宋体"/>
                <w:color w:val="auto"/>
                <w:sz w:val="21"/>
                <w:szCs w:val="21"/>
                <w:highlight w:val="none"/>
                <w:u w:val="single"/>
              </w:rPr>
              <w:t>工程</w:t>
            </w:r>
            <w:r>
              <w:rPr>
                <w:rFonts w:hint="eastAsia" w:ascii="宋体" w:hAnsi="宋体" w:eastAsia="宋体" w:cs="宋体"/>
                <w:color w:val="auto"/>
                <w:sz w:val="21"/>
                <w:szCs w:val="21"/>
                <w:highlight w:val="none"/>
              </w:rPr>
              <w:t>专业类</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级或以上技术职称。</w:t>
            </w:r>
          </w:p>
          <w:p w14:paraId="47AF4FD7">
            <w:pPr>
              <w:pStyle w:val="30"/>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 xml:space="preserve">.3.3 </w:t>
            </w:r>
            <w:r>
              <w:rPr>
                <w:rFonts w:hint="eastAsia" w:ascii="宋体" w:hAnsi="宋体" w:eastAsia="宋体" w:cs="宋体"/>
                <w:color w:val="auto"/>
                <w:sz w:val="21"/>
                <w:szCs w:val="21"/>
                <w:highlight w:val="none"/>
              </w:rPr>
              <w:t>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人。</w:t>
            </w:r>
          </w:p>
          <w:p w14:paraId="0676C55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 ．禁止投标条款：</w:t>
            </w:r>
          </w:p>
          <w:p w14:paraId="6E1A260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4.1  投标人不得存在下列情形之一：</w:t>
            </w:r>
          </w:p>
          <w:p w14:paraId="27B51DE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（1）为招标人不具有独立法人资格的附属机构（单位）；</w:t>
            </w:r>
          </w:p>
          <w:p w14:paraId="70F62CE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（2）为本招标项目前期准备提供设计或咨询服务的；</w:t>
            </w:r>
          </w:p>
          <w:p w14:paraId="25E0D7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（3）与本招标项目的其他投标人为同一个单位负责人；</w:t>
            </w:r>
          </w:p>
          <w:p w14:paraId="139EC8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（4）与本招标项目的其他投标人存在控股、管理关系；</w:t>
            </w:r>
          </w:p>
          <w:p w14:paraId="318908E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（5）为本招标项目的监理人；</w:t>
            </w:r>
          </w:p>
          <w:p w14:paraId="127A522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（6）为本招标项目的代建人；</w:t>
            </w:r>
          </w:p>
          <w:p w14:paraId="1AB32C5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（7）为本招标项目的招标代理机构；</w:t>
            </w:r>
          </w:p>
          <w:p w14:paraId="57F0668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（8）与本招标项目的监理人或代建人或招标代理机构同为一个 法定代表人；</w:t>
            </w:r>
          </w:p>
          <w:p w14:paraId="15BC226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（9）与本招标项目的监理人或代建人或招标代理机构存在控股或参股关系；</w:t>
            </w:r>
          </w:p>
          <w:p w14:paraId="78650BE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（10）与本招标项目的监理人或代建人或招标代理机构存在相互任职或工作关系；</w:t>
            </w:r>
          </w:p>
          <w:p w14:paraId="4163740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（11）被依法暂停或者取消投标资格；</w:t>
            </w:r>
          </w:p>
          <w:p w14:paraId="546236E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（12）被责令停产停业、暂扣或者吊销许可证、暂扣或者吊销执照；</w:t>
            </w:r>
          </w:p>
          <w:p w14:paraId="279E9B4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（13）进入清算程序，或被宣告破产，或其他丧失履约能力的情形；</w:t>
            </w:r>
          </w:p>
          <w:p w14:paraId="24CD9BF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（14）在最近三年内发生重大工程质量或安全问题（以相关行业主管部门的行政处罚决定或司法机关出具的有关法律文书为准）；</w:t>
            </w:r>
          </w:p>
          <w:p w14:paraId="6105C0B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（15）被“信用中国 ”网站（https://www.creditchina.gov.cn）发布的《法人和非法人组织公共信用信息报告》列为严重失信主体名单的。</w:t>
            </w:r>
          </w:p>
          <w:p w14:paraId="59C58FF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4.2  招标人拒绝以下名单中的单位参加本次投标：</w:t>
            </w:r>
          </w:p>
          <w:tbl>
            <w:tblPr>
              <w:tblStyle w:val="15"/>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642"/>
              <w:gridCol w:w="3239"/>
            </w:tblGrid>
            <w:tr w14:paraId="6DDB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7" w:type="dxa"/>
                  <w:vAlign w:val="center"/>
                </w:tcPr>
                <w:p w14:paraId="1B51FA5A">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642" w:type="dxa"/>
                  <w:vAlign w:val="center"/>
                </w:tcPr>
                <w:p w14:paraId="5CAF0A6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3239" w:type="dxa"/>
                  <w:vAlign w:val="center"/>
                </w:tcPr>
                <w:p w14:paraId="3B9F3CD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095F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1ED2AC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642" w:type="dxa"/>
                  <w:vAlign w:val="center"/>
                </w:tcPr>
                <w:p w14:paraId="0D9FC85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韶关市市政管理中心</w:t>
                  </w:r>
                </w:p>
              </w:tc>
              <w:tc>
                <w:tcPr>
                  <w:tcW w:w="3239" w:type="dxa"/>
                  <w:vAlign w:val="center"/>
                </w:tcPr>
                <w:p w14:paraId="4D9893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65DA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3A1AC8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642" w:type="dxa"/>
                  <w:vAlign w:val="center"/>
                </w:tcPr>
                <w:p w14:paraId="19300F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韶关成果项目管理有限公司</w:t>
                  </w:r>
                </w:p>
              </w:tc>
              <w:tc>
                <w:tcPr>
                  <w:tcW w:w="3239" w:type="dxa"/>
                  <w:vAlign w:val="center"/>
                </w:tcPr>
                <w:p w14:paraId="609E12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r w14:paraId="2DEE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7" w:type="dxa"/>
                  <w:vAlign w:val="center"/>
                </w:tcPr>
                <w:p w14:paraId="03A153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3</w:t>
                  </w:r>
                </w:p>
              </w:tc>
              <w:tc>
                <w:tcPr>
                  <w:tcW w:w="3642" w:type="dxa"/>
                  <w:vAlign w:val="center"/>
                </w:tcPr>
                <w:p w14:paraId="56BE9A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中都工程设计有限公司</w:t>
                  </w:r>
                </w:p>
              </w:tc>
              <w:tc>
                <w:tcPr>
                  <w:tcW w:w="3239" w:type="dxa"/>
                  <w:vAlign w:val="center"/>
                </w:tcPr>
                <w:p w14:paraId="5232B5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为本招标项目的施工图设计单位</w:t>
                  </w:r>
                </w:p>
              </w:tc>
            </w:tr>
            <w:tr w14:paraId="7903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7" w:type="dxa"/>
                  <w:vAlign w:val="center"/>
                </w:tcPr>
                <w:p w14:paraId="3BDC78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4</w:t>
                  </w:r>
                </w:p>
              </w:tc>
              <w:tc>
                <w:tcPr>
                  <w:tcW w:w="3642" w:type="dxa"/>
                  <w:vAlign w:val="center"/>
                </w:tcPr>
                <w:p w14:paraId="72F6F5A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广东建科施工图审查有限公司</w:t>
                  </w:r>
                </w:p>
              </w:tc>
              <w:tc>
                <w:tcPr>
                  <w:tcW w:w="3239" w:type="dxa"/>
                  <w:vAlign w:val="center"/>
                </w:tcPr>
                <w:p w14:paraId="345969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为本招标项目的施工图审查单位</w:t>
                  </w:r>
                </w:p>
              </w:tc>
            </w:tr>
            <w:tr w14:paraId="19E0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7" w:type="dxa"/>
                  <w:vAlign w:val="center"/>
                </w:tcPr>
                <w:p w14:paraId="0D5F60C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5</w:t>
                  </w:r>
                </w:p>
              </w:tc>
              <w:tc>
                <w:tcPr>
                  <w:tcW w:w="3642" w:type="dxa"/>
                  <w:vAlign w:val="center"/>
                </w:tcPr>
                <w:p w14:paraId="1FE366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广东人信工程咨询有限公司</w:t>
                  </w:r>
                </w:p>
              </w:tc>
              <w:tc>
                <w:tcPr>
                  <w:tcW w:w="3239" w:type="dxa"/>
                  <w:vAlign w:val="center"/>
                </w:tcPr>
                <w:p w14:paraId="54340B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为本招标项目的造价咨询单位</w:t>
                  </w:r>
                </w:p>
              </w:tc>
            </w:tr>
            <w:tr w14:paraId="4C77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7" w:type="dxa"/>
                  <w:vAlign w:val="center"/>
                </w:tcPr>
                <w:p w14:paraId="319A2C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6</w:t>
                  </w:r>
                </w:p>
              </w:tc>
              <w:tc>
                <w:tcPr>
                  <w:tcW w:w="3642" w:type="dxa"/>
                  <w:vAlign w:val="center"/>
                </w:tcPr>
                <w:p w14:paraId="00CE55B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深圳华粤城市建设工程设计有限公司</w:t>
                  </w:r>
                </w:p>
              </w:tc>
              <w:tc>
                <w:tcPr>
                  <w:tcW w:w="3239" w:type="dxa"/>
                  <w:vAlign w:val="center"/>
                </w:tcPr>
                <w:p w14:paraId="605680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为本招标项目的监理单位</w:t>
                  </w:r>
                </w:p>
              </w:tc>
            </w:tr>
          </w:tbl>
          <w:p w14:paraId="54B9438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 ．其他要求</w:t>
            </w:r>
          </w:p>
          <w:p w14:paraId="3C09726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tc>
      </w:tr>
      <w:tr w14:paraId="5BAB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4BF78773">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27</w:t>
            </w:r>
          </w:p>
        </w:tc>
        <w:tc>
          <w:tcPr>
            <w:tcW w:w="1942" w:type="dxa"/>
            <w:vAlign w:val="center"/>
          </w:tcPr>
          <w:p w14:paraId="6A030E1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投标有效期</w:t>
            </w:r>
          </w:p>
        </w:tc>
        <w:tc>
          <w:tcPr>
            <w:tcW w:w="7574" w:type="dxa"/>
            <w:vAlign w:val="center"/>
          </w:tcPr>
          <w:p w14:paraId="7EF5475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 个日历天。</w:t>
            </w:r>
          </w:p>
        </w:tc>
      </w:tr>
      <w:tr w14:paraId="6971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1E3A9D17">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28</w:t>
            </w:r>
          </w:p>
        </w:tc>
        <w:tc>
          <w:tcPr>
            <w:tcW w:w="1942" w:type="dxa"/>
            <w:vAlign w:val="center"/>
          </w:tcPr>
          <w:p w14:paraId="24459D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投标文件组成</w:t>
            </w:r>
          </w:p>
        </w:tc>
        <w:tc>
          <w:tcPr>
            <w:tcW w:w="7574" w:type="dxa"/>
            <w:vAlign w:val="center"/>
          </w:tcPr>
          <w:p w14:paraId="53F827A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spacing w:val="0"/>
                <w:kern w:val="0"/>
                <w:sz w:val="21"/>
                <w:szCs w:val="21"/>
                <w:highlight w:val="none"/>
                <w:lang w:val="en-US" w:eastAsia="zh-CN"/>
              </w:rPr>
              <w:t>定标文件四</w:t>
            </w:r>
            <w:r>
              <w:rPr>
                <w:rFonts w:hint="eastAsia" w:asciiTheme="minorEastAsia" w:hAnsiTheme="minorEastAsia" w:eastAsiaTheme="minorEastAsia" w:cstheme="minorEastAsia"/>
                <w:snapToGrid w:val="0"/>
                <w:color w:val="auto"/>
                <w:spacing w:val="0"/>
                <w:kern w:val="0"/>
                <w:sz w:val="21"/>
                <w:szCs w:val="21"/>
                <w:highlight w:val="none"/>
                <w:lang w:eastAsia="zh-CN"/>
              </w:rPr>
              <w:t>个分册。</w:t>
            </w:r>
          </w:p>
        </w:tc>
      </w:tr>
      <w:tr w14:paraId="5E29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282353BA">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29</w:t>
            </w:r>
          </w:p>
        </w:tc>
        <w:tc>
          <w:tcPr>
            <w:tcW w:w="1942" w:type="dxa"/>
            <w:vAlign w:val="center"/>
          </w:tcPr>
          <w:p w14:paraId="74B22D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施工组织设计评审方式</w:t>
            </w:r>
          </w:p>
        </w:tc>
        <w:tc>
          <w:tcPr>
            <w:tcW w:w="7574" w:type="dxa"/>
            <w:vAlign w:val="center"/>
          </w:tcPr>
          <w:p w14:paraId="683086F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本次招标施工组织设计</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不采用 </w:t>
            </w:r>
            <w:r>
              <w:rPr>
                <w:rFonts w:hint="eastAsia" w:asciiTheme="minorEastAsia" w:hAnsiTheme="minorEastAsia" w:eastAsiaTheme="minorEastAsia" w:cstheme="minorEastAsia"/>
                <w:snapToGrid w:val="0"/>
                <w:color w:val="auto"/>
                <w:spacing w:val="0"/>
                <w:kern w:val="0"/>
                <w:sz w:val="21"/>
                <w:szCs w:val="21"/>
                <w:highlight w:val="none"/>
                <w:lang w:eastAsia="zh-CN"/>
              </w:rPr>
              <w:t>“暗标 ”方式进行评审。</w:t>
            </w:r>
          </w:p>
        </w:tc>
      </w:tr>
      <w:tr w14:paraId="4CD9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029705D9">
            <w:pPr>
              <w:keepNext w:val="0"/>
              <w:keepLines w:val="0"/>
              <w:pageBreakBefore w:val="0"/>
              <w:wordWrap w:val="0"/>
              <w:overflowPunct/>
              <w:topLinePunct w:val="0"/>
              <w:bidi w:val="0"/>
              <w:spacing w:before="69"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30</w:t>
            </w:r>
          </w:p>
        </w:tc>
        <w:tc>
          <w:tcPr>
            <w:tcW w:w="1942" w:type="dxa"/>
            <w:vAlign w:val="center"/>
          </w:tcPr>
          <w:p w14:paraId="1ABA6C5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w:t>
            </w:r>
          </w:p>
        </w:tc>
        <w:tc>
          <w:tcPr>
            <w:tcW w:w="7574" w:type="dxa"/>
            <w:vAlign w:val="top"/>
          </w:tcPr>
          <w:p w14:paraId="1D041BE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评标委员会由 5 人组成，其中招标人代表 0 人，专家 5 人。专家从广东省综合评标评审专家库</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（韶关区域）</w:t>
            </w:r>
            <w:r>
              <w:rPr>
                <w:rFonts w:hint="eastAsia" w:asciiTheme="minorEastAsia" w:hAnsiTheme="minorEastAsia" w:eastAsiaTheme="minorEastAsia" w:cstheme="minorEastAsia"/>
                <w:snapToGrid w:val="0"/>
                <w:color w:val="auto"/>
                <w:spacing w:val="0"/>
                <w:kern w:val="0"/>
                <w:sz w:val="21"/>
                <w:szCs w:val="21"/>
                <w:highlight w:val="none"/>
                <w:lang w:eastAsia="zh-CN"/>
              </w:rPr>
              <w:t>中随机抽取，其中技术类专家 3 人，经济类专家 2 人。</w:t>
            </w:r>
          </w:p>
        </w:tc>
      </w:tr>
      <w:tr w14:paraId="00F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582" w:type="dxa"/>
            <w:vAlign w:val="center"/>
          </w:tcPr>
          <w:p w14:paraId="20A804ED">
            <w:pPr>
              <w:keepNext w:val="0"/>
              <w:keepLines w:val="0"/>
              <w:pageBreakBefore w:val="0"/>
              <w:wordWrap w:val="0"/>
              <w:overflowPunct/>
              <w:topLinePunct w:val="0"/>
              <w:bidi w:val="0"/>
              <w:spacing w:before="258" w:line="188" w:lineRule="auto"/>
              <w:ind w:left="209"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31</w:t>
            </w:r>
          </w:p>
        </w:tc>
        <w:tc>
          <w:tcPr>
            <w:tcW w:w="1942" w:type="dxa"/>
            <w:vAlign w:val="center"/>
          </w:tcPr>
          <w:p w14:paraId="665467A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定</w:t>
            </w:r>
            <w:r>
              <w:rPr>
                <w:rFonts w:hint="eastAsia" w:asciiTheme="minorEastAsia" w:hAnsiTheme="minorEastAsia" w:eastAsiaTheme="minorEastAsia" w:cstheme="minorEastAsia"/>
                <w:snapToGrid w:val="0"/>
                <w:color w:val="auto"/>
                <w:spacing w:val="0"/>
                <w:kern w:val="0"/>
                <w:sz w:val="21"/>
                <w:szCs w:val="21"/>
                <w:highlight w:val="none"/>
                <w:lang w:eastAsia="zh-CN"/>
              </w:rPr>
              <w:t>标委员会</w:t>
            </w:r>
          </w:p>
        </w:tc>
        <w:tc>
          <w:tcPr>
            <w:tcW w:w="7574" w:type="dxa"/>
            <w:vAlign w:val="center"/>
          </w:tcPr>
          <w:p w14:paraId="3AE5DB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left"/>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本</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项目定标委员会组成人员为 </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7 </w:t>
            </w:r>
            <w:r>
              <w:rPr>
                <w:rFonts w:hint="eastAsia" w:asciiTheme="minorEastAsia" w:hAnsiTheme="minorEastAsia" w:eastAsiaTheme="minorEastAsia" w:cstheme="minorEastAsia"/>
                <w:snapToGrid w:val="0"/>
                <w:color w:val="auto"/>
                <w:spacing w:val="0"/>
                <w:kern w:val="0"/>
                <w:sz w:val="21"/>
                <w:szCs w:val="21"/>
                <w:highlight w:val="none"/>
                <w:lang w:eastAsia="zh-CN"/>
              </w:rPr>
              <w:t>人</w:t>
            </w:r>
          </w:p>
        </w:tc>
      </w:tr>
      <w:tr w14:paraId="705E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2AFC9717">
            <w:pPr>
              <w:keepNext w:val="0"/>
              <w:keepLines w:val="0"/>
              <w:pageBreakBefore w:val="0"/>
              <w:wordWrap w:val="0"/>
              <w:overflowPunct/>
              <w:topLinePunct w:val="0"/>
              <w:bidi w:val="0"/>
              <w:spacing w:before="258" w:line="188" w:lineRule="auto"/>
              <w:ind w:left="209"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val="en-US" w:eastAsia="zh-CN"/>
              </w:rPr>
              <w:t>32</w:t>
            </w:r>
          </w:p>
        </w:tc>
        <w:tc>
          <w:tcPr>
            <w:tcW w:w="1942" w:type="dxa"/>
            <w:vAlign w:val="center"/>
          </w:tcPr>
          <w:p w14:paraId="7057DE4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评标方法</w:t>
            </w:r>
          </w:p>
        </w:tc>
        <w:tc>
          <w:tcPr>
            <w:tcW w:w="7574" w:type="dxa"/>
            <w:vAlign w:val="center"/>
          </w:tcPr>
          <w:p w14:paraId="628B1B3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☑综合评估法</w:t>
            </w:r>
          </w:p>
        </w:tc>
      </w:tr>
      <w:tr w14:paraId="6DFD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4AF0EE91">
            <w:pPr>
              <w:keepNext w:val="0"/>
              <w:keepLines w:val="0"/>
              <w:pageBreakBefore w:val="0"/>
              <w:wordWrap w:val="0"/>
              <w:overflowPunct/>
              <w:topLinePunct w:val="0"/>
              <w:bidi w:val="0"/>
              <w:spacing w:before="258" w:line="188" w:lineRule="auto"/>
              <w:ind w:left="209"/>
              <w:jc w:val="both"/>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33</w:t>
            </w:r>
          </w:p>
        </w:tc>
        <w:tc>
          <w:tcPr>
            <w:tcW w:w="1942" w:type="dxa"/>
            <w:vAlign w:val="center"/>
          </w:tcPr>
          <w:p w14:paraId="7AA0808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定标办法</w:t>
            </w:r>
          </w:p>
        </w:tc>
        <w:tc>
          <w:tcPr>
            <w:tcW w:w="7574" w:type="dxa"/>
            <w:vAlign w:val="center"/>
          </w:tcPr>
          <w:p w14:paraId="73EA49A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☑票决定标法</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□集体议事法</w:t>
            </w:r>
          </w:p>
        </w:tc>
      </w:tr>
      <w:tr w14:paraId="735B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4" w:hRule="atLeast"/>
        </w:trPr>
        <w:tc>
          <w:tcPr>
            <w:tcW w:w="582" w:type="dxa"/>
            <w:vAlign w:val="center"/>
          </w:tcPr>
          <w:p w14:paraId="28C06626">
            <w:pPr>
              <w:keepNext w:val="0"/>
              <w:keepLines w:val="0"/>
              <w:pageBreakBefore w:val="0"/>
              <w:wordWrap w:val="0"/>
              <w:overflowPunct/>
              <w:topLinePunct w:val="0"/>
              <w:bidi w:val="0"/>
              <w:spacing w:before="57" w:line="195"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rPr>
              <w:t>3</w:t>
            </w:r>
            <w:r>
              <w:rPr>
                <w:rFonts w:hint="eastAsia" w:asciiTheme="minorEastAsia" w:hAnsiTheme="minorEastAsia" w:eastAsiaTheme="minorEastAsia" w:cstheme="minorEastAsia"/>
                <w:color w:val="auto"/>
                <w:spacing w:val="0"/>
                <w:sz w:val="21"/>
                <w:szCs w:val="21"/>
                <w:highlight w:val="none"/>
                <w:lang w:val="en-US" w:eastAsia="zh-CN"/>
              </w:rPr>
              <w:t>4</w:t>
            </w:r>
          </w:p>
        </w:tc>
        <w:tc>
          <w:tcPr>
            <w:tcW w:w="1942" w:type="dxa"/>
            <w:vAlign w:val="center"/>
          </w:tcPr>
          <w:p w14:paraId="5B598B9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招标文件要求提交的用于评审的证书、证件、证明原件</w:t>
            </w:r>
          </w:p>
        </w:tc>
        <w:tc>
          <w:tcPr>
            <w:tcW w:w="7574" w:type="dxa"/>
            <w:vAlign w:val="top"/>
          </w:tcPr>
          <w:p w14:paraId="547AFCE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184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7C8ECFED">
            <w:pPr>
              <w:keepNext w:val="0"/>
              <w:keepLines w:val="0"/>
              <w:pageBreakBefore w:val="0"/>
              <w:wordWrap w:val="0"/>
              <w:overflowPunct/>
              <w:topLinePunct w:val="0"/>
              <w:bidi w:val="0"/>
              <w:spacing w:before="69" w:line="188" w:lineRule="auto"/>
              <w:ind w:left="20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5</w:t>
            </w:r>
          </w:p>
        </w:tc>
        <w:tc>
          <w:tcPr>
            <w:tcW w:w="1942" w:type="dxa"/>
            <w:vAlign w:val="center"/>
          </w:tcPr>
          <w:p w14:paraId="7C44A74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招标代理费</w:t>
            </w:r>
          </w:p>
        </w:tc>
        <w:tc>
          <w:tcPr>
            <w:tcW w:w="7574" w:type="dxa"/>
            <w:vAlign w:val="center"/>
          </w:tcPr>
          <w:p w14:paraId="746D7B9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color w:val="auto"/>
                <w:highlight w:val="none"/>
                <w:u w:val="none"/>
              </w:rPr>
              <w:t>本项目的招标代理费由中标人支付，该费用不再另行报价，由投标人在投标报价时综合考虑在内。（招标代理服务费参照《招标代理服务收费管理暂行办法》（计价格[2002]1980号），以中标价为计费基数。评标专家酬劳包括食宿费用、交通费、专家评审劳务费等）</w:t>
            </w:r>
          </w:p>
        </w:tc>
      </w:tr>
      <w:tr w14:paraId="362F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1482EFA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6</w:t>
            </w:r>
          </w:p>
        </w:tc>
        <w:tc>
          <w:tcPr>
            <w:tcW w:w="1942" w:type="dxa"/>
            <w:vAlign w:val="center"/>
          </w:tcPr>
          <w:p w14:paraId="18185B7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w:t>
            </w:r>
          </w:p>
          <w:p w14:paraId="7BD8529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5B4D209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rPr>
              <w:t>单位名称：</w:t>
            </w:r>
            <w:r>
              <w:rPr>
                <w:rFonts w:hint="eastAsia" w:ascii="宋体" w:hAnsi="宋体" w:eastAsia="宋体" w:cs="宋体"/>
                <w:snapToGrid w:val="0"/>
                <w:color w:val="auto"/>
                <w:spacing w:val="0"/>
                <w:kern w:val="0"/>
                <w:sz w:val="21"/>
                <w:highlight w:val="none"/>
                <w:lang w:val="en-US" w:eastAsia="zh-CN"/>
              </w:rPr>
              <w:t>韶关市市政管理中心</w:t>
            </w:r>
          </w:p>
          <w:p w14:paraId="063BA8E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rPr>
            </w:pPr>
            <w:r>
              <w:rPr>
                <w:rFonts w:hint="eastAsia" w:ascii="宋体" w:hAnsi="宋体" w:eastAsia="宋体" w:cs="宋体"/>
                <w:snapToGrid w:val="0"/>
                <w:color w:val="auto"/>
                <w:spacing w:val="0"/>
                <w:kern w:val="0"/>
                <w:sz w:val="21"/>
                <w:highlight w:val="none"/>
              </w:rPr>
              <w:t>办公地址：</w:t>
            </w:r>
            <w:r>
              <w:rPr>
                <w:rFonts w:hint="eastAsia" w:ascii="宋体" w:hAnsi="宋体" w:eastAsia="宋体" w:cs="宋体"/>
                <w:snapToGrid w:val="0"/>
                <w:color w:val="auto"/>
                <w:spacing w:val="0"/>
                <w:kern w:val="0"/>
                <w:sz w:val="21"/>
                <w:highlight w:val="none"/>
                <w:lang w:val="en-US" w:eastAsia="zh-CN"/>
              </w:rPr>
              <w:t>广东省韶关市沙湖路12号</w:t>
            </w:r>
          </w:p>
          <w:p w14:paraId="1188E8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eastAsia="zh-CN"/>
              </w:rPr>
            </w:pPr>
            <w:r>
              <w:rPr>
                <w:rFonts w:hint="eastAsia" w:ascii="宋体" w:hAnsi="宋体" w:eastAsia="宋体" w:cs="宋体"/>
                <w:snapToGrid w:val="0"/>
                <w:color w:val="auto"/>
                <w:spacing w:val="0"/>
                <w:kern w:val="0"/>
                <w:sz w:val="21"/>
                <w:highlight w:val="none"/>
              </w:rPr>
              <w:t>联系人（部门）：</w:t>
            </w:r>
            <w:r>
              <w:rPr>
                <w:rFonts w:hint="eastAsia" w:ascii="宋体" w:hAnsi="宋体" w:eastAsia="宋体" w:cs="宋体"/>
                <w:snapToGrid w:val="0"/>
                <w:color w:val="auto"/>
                <w:spacing w:val="0"/>
                <w:kern w:val="0"/>
                <w:sz w:val="21"/>
                <w:highlight w:val="none"/>
                <w:lang w:val="en-US" w:eastAsia="zh-CN"/>
              </w:rPr>
              <w:t>李</w:t>
            </w:r>
            <w:r>
              <w:rPr>
                <w:rFonts w:hint="eastAsia" w:ascii="宋体" w:hAnsi="宋体" w:eastAsia="宋体" w:cs="宋体"/>
                <w:snapToGrid w:val="0"/>
                <w:color w:val="auto"/>
                <w:spacing w:val="0"/>
                <w:kern w:val="0"/>
                <w:sz w:val="21"/>
                <w:highlight w:val="none"/>
                <w:lang w:eastAsia="zh-CN"/>
              </w:rPr>
              <w:t>工</w:t>
            </w:r>
          </w:p>
          <w:p w14:paraId="55413C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eastAsia="宋体" w:asciiTheme="minorEastAsia" w:hAnsiTheme="minorEastAsia" w:cstheme="minorEastAsia"/>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highlight w:val="none"/>
              </w:rPr>
              <w:t>联系电话：</w:t>
            </w:r>
            <w:r>
              <w:rPr>
                <w:rFonts w:hint="eastAsia" w:ascii="宋体" w:hAnsi="宋体" w:eastAsia="宋体" w:cs="宋体"/>
                <w:snapToGrid w:val="0"/>
                <w:color w:val="auto"/>
                <w:spacing w:val="0"/>
                <w:kern w:val="0"/>
                <w:sz w:val="21"/>
                <w:szCs w:val="21"/>
                <w:highlight w:val="none"/>
                <w:lang w:val="en-US" w:eastAsia="zh-CN"/>
              </w:rPr>
              <w:t>0751-8738623</w:t>
            </w:r>
          </w:p>
        </w:tc>
      </w:tr>
      <w:tr w14:paraId="0863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74FCC8C3">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7</w:t>
            </w:r>
          </w:p>
        </w:tc>
        <w:tc>
          <w:tcPr>
            <w:tcW w:w="1942" w:type="dxa"/>
            <w:vAlign w:val="center"/>
          </w:tcPr>
          <w:p w14:paraId="4671EC7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招标代理机构</w:t>
            </w:r>
          </w:p>
          <w:p w14:paraId="41FE93A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044C377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单位名称：韶关成果项目管理有限公司</w:t>
            </w:r>
          </w:p>
          <w:p w14:paraId="5074C51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办公地址：韶关市仁化县城建设路52号原检察院办公楼三楼</w:t>
            </w:r>
          </w:p>
          <w:p w14:paraId="468E379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联 系 人：杨工</w:t>
            </w:r>
          </w:p>
          <w:p w14:paraId="047C8A6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highlight w:val="none"/>
                <w:lang w:val="en-US" w:eastAsia="zh-CN"/>
              </w:rPr>
              <w:t>电    话：</w:t>
            </w:r>
            <w:r>
              <w:rPr>
                <w:rFonts w:hint="eastAsia" w:ascii="宋体" w:hAnsi="宋体" w:eastAsia="宋体" w:cs="宋体"/>
                <w:snapToGrid w:val="0"/>
                <w:color w:val="auto"/>
                <w:spacing w:val="0"/>
                <w:kern w:val="0"/>
                <w:sz w:val="21"/>
                <w:highlight w:val="none"/>
                <w:lang w:eastAsia="zh-CN"/>
              </w:rPr>
              <w:t>0751-6911338</w:t>
            </w:r>
          </w:p>
        </w:tc>
      </w:tr>
      <w:tr w14:paraId="7AB4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5B24D42F">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8</w:t>
            </w:r>
          </w:p>
        </w:tc>
        <w:tc>
          <w:tcPr>
            <w:tcW w:w="1942" w:type="dxa"/>
            <w:vAlign w:val="center"/>
          </w:tcPr>
          <w:p w14:paraId="7CA477E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交易场所联系方式</w:t>
            </w:r>
          </w:p>
        </w:tc>
        <w:tc>
          <w:tcPr>
            <w:tcW w:w="7574" w:type="dxa"/>
            <w:vAlign w:val="center"/>
          </w:tcPr>
          <w:p w14:paraId="184E32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单位名称：韶关市公共资源交易中心</w:t>
            </w:r>
          </w:p>
          <w:p w14:paraId="2938F21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 xml:space="preserve">办公地址：广东省韶关市武江区西联镇 </w:t>
            </w:r>
          </w:p>
          <w:p w14:paraId="6DD0E32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联系人（部门）：工程交易股</w:t>
            </w:r>
          </w:p>
          <w:p w14:paraId="47C8F51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lang w:val="en-US" w:eastAsia="zh-CN"/>
              </w:rPr>
              <w:t>联系电话：0751-8633071、8633211</w:t>
            </w:r>
          </w:p>
        </w:tc>
      </w:tr>
      <w:tr w14:paraId="29F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76D80BEF">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9</w:t>
            </w:r>
          </w:p>
        </w:tc>
        <w:tc>
          <w:tcPr>
            <w:tcW w:w="1942" w:type="dxa"/>
            <w:vAlign w:val="center"/>
          </w:tcPr>
          <w:p w14:paraId="49F150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行政监督部</w:t>
            </w:r>
          </w:p>
          <w:p w14:paraId="78B01F1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门联系方式</w:t>
            </w:r>
          </w:p>
        </w:tc>
        <w:tc>
          <w:tcPr>
            <w:tcW w:w="7574" w:type="dxa"/>
            <w:vAlign w:val="center"/>
          </w:tcPr>
          <w:p w14:paraId="4F5DA3DF">
            <w:pPr>
              <w:spacing w:line="400" w:lineRule="exact"/>
              <w:ind w:left="105" w:leftChars="50" w:right="105" w:rightChars="50"/>
              <w:rPr>
                <w:rFonts w:hint="default" w:hAnsi="宋体" w:cs="宋体"/>
                <w:snapToGrid w:val="0"/>
                <w:color w:val="auto"/>
                <w:kern w:val="0"/>
                <w:szCs w:val="24"/>
                <w:highlight w:val="none"/>
                <w:u w:val="none"/>
              </w:rPr>
            </w:pPr>
            <w:r>
              <w:rPr>
                <w:rFonts w:hAnsi="宋体" w:cs="宋体"/>
                <w:snapToGrid w:val="0"/>
                <w:color w:val="auto"/>
                <w:kern w:val="0"/>
                <w:szCs w:val="24"/>
                <w:highlight w:val="none"/>
                <w:u w:val="none"/>
              </w:rPr>
              <w:t>单位名称：韶关市住房和城乡建设</w:t>
            </w:r>
            <w:r>
              <w:rPr>
                <w:rFonts w:hint="eastAsia" w:hAnsi="宋体" w:eastAsia="宋体" w:cs="宋体"/>
                <w:snapToGrid w:val="0"/>
                <w:color w:val="auto"/>
                <w:kern w:val="0"/>
                <w:szCs w:val="24"/>
                <w:highlight w:val="none"/>
                <w:u w:val="none"/>
                <w:lang w:val="en-US" w:eastAsia="zh-CN"/>
              </w:rPr>
              <w:t>管理</w:t>
            </w:r>
            <w:r>
              <w:rPr>
                <w:rFonts w:hAnsi="宋体" w:cs="宋体"/>
                <w:snapToGrid w:val="0"/>
                <w:color w:val="auto"/>
                <w:kern w:val="0"/>
                <w:szCs w:val="24"/>
                <w:highlight w:val="none"/>
                <w:u w:val="none"/>
              </w:rPr>
              <w:t>局</w:t>
            </w:r>
          </w:p>
          <w:p w14:paraId="7830577E">
            <w:pPr>
              <w:spacing w:line="400" w:lineRule="exact"/>
              <w:ind w:left="105" w:leftChars="50" w:right="105" w:rightChars="50"/>
              <w:rPr>
                <w:rFonts w:hAnsi="宋体" w:cs="宋体"/>
                <w:snapToGrid w:val="0"/>
                <w:color w:val="auto"/>
                <w:kern w:val="0"/>
                <w:szCs w:val="24"/>
                <w:highlight w:val="none"/>
                <w:u w:val="none"/>
              </w:rPr>
            </w:pPr>
            <w:r>
              <w:rPr>
                <w:rFonts w:hAnsi="宋体" w:cs="宋体"/>
                <w:snapToGrid w:val="0"/>
                <w:color w:val="auto"/>
                <w:kern w:val="0"/>
                <w:szCs w:val="24"/>
                <w:highlight w:val="none"/>
                <w:u w:val="none"/>
              </w:rPr>
              <w:t>办公地址：韶关市武江区芙蓉东路5号</w:t>
            </w:r>
          </w:p>
          <w:p w14:paraId="64969067">
            <w:pPr>
              <w:spacing w:line="400" w:lineRule="exact"/>
              <w:ind w:left="105" w:leftChars="50" w:right="105" w:rightChars="50"/>
              <w:rPr>
                <w:rFonts w:hint="eastAsia" w:hAnsi="宋体" w:cs="宋体"/>
                <w:snapToGrid w:val="0"/>
                <w:color w:val="auto"/>
                <w:kern w:val="0"/>
                <w:szCs w:val="24"/>
                <w:highlight w:val="none"/>
                <w:u w:val="none"/>
                <w:lang w:eastAsia="zh-CN"/>
              </w:rPr>
            </w:pPr>
            <w:r>
              <w:rPr>
                <w:rFonts w:hAnsi="宋体" w:cs="宋体"/>
                <w:snapToGrid w:val="0"/>
                <w:color w:val="auto"/>
                <w:kern w:val="0"/>
                <w:szCs w:val="24"/>
                <w:highlight w:val="none"/>
                <w:u w:val="none"/>
              </w:rPr>
              <w:t>联系人（部门）：</w:t>
            </w:r>
            <w:r>
              <w:rPr>
                <w:rFonts w:hint="eastAsia" w:hAnsi="宋体" w:cs="宋体"/>
                <w:snapToGrid w:val="0"/>
                <w:color w:val="auto"/>
                <w:kern w:val="0"/>
                <w:szCs w:val="24"/>
                <w:highlight w:val="none"/>
                <w:u w:val="none"/>
                <w:lang w:val="en-US" w:eastAsia="zh-CN"/>
              </w:rPr>
              <w:t>建筑业与市场科</w:t>
            </w:r>
          </w:p>
          <w:p w14:paraId="3EF522E1">
            <w:pPr>
              <w:spacing w:line="400" w:lineRule="exact"/>
              <w:ind w:left="105" w:leftChars="50" w:right="105" w:rightChars="50"/>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Ansi="宋体" w:cs="宋体"/>
                <w:snapToGrid w:val="0"/>
                <w:color w:val="auto"/>
                <w:kern w:val="0"/>
                <w:szCs w:val="24"/>
                <w:highlight w:val="none"/>
                <w:u w:val="none"/>
              </w:rPr>
              <w:t>联系电话：</w:t>
            </w:r>
            <w:r>
              <w:rPr>
                <w:rFonts w:hint="eastAsia" w:hAnsi="宋体" w:cs="宋体"/>
                <w:snapToGrid w:val="0"/>
                <w:color w:val="auto"/>
                <w:kern w:val="0"/>
                <w:szCs w:val="24"/>
                <w:highlight w:val="none"/>
                <w:u w:val="none"/>
                <w:lang w:val="en-US" w:eastAsia="zh-CN"/>
              </w:rPr>
              <w:t>0751-8255019</w:t>
            </w:r>
          </w:p>
        </w:tc>
      </w:tr>
    </w:tbl>
    <w:p w14:paraId="23810BEB">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5" w:name="bookmark115"/>
      <w:bookmarkEnd w:id="5"/>
    </w:p>
    <w:p w14:paraId="724FDEFB">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1883E5E">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auto"/>
          <w:spacing w:val="0"/>
          <w:highlight w:val="none"/>
        </w:rPr>
      </w:pPr>
      <w:bookmarkStart w:id="6" w:name="_Toc20130"/>
      <w:r>
        <w:rPr>
          <w:rFonts w:hint="eastAsia" w:ascii="宋体" w:hAnsi="宋体" w:eastAsia="宋体" w:cs="宋体"/>
          <w:b/>
          <w:bCs/>
          <w:color w:val="auto"/>
          <w:spacing w:val="0"/>
          <w:sz w:val="24"/>
          <w:szCs w:val="24"/>
          <w:highlight w:val="none"/>
        </w:rPr>
        <w:t>第二节 重要事项时间地点一览表</w:t>
      </w:r>
      <w:bookmarkEnd w:id="6"/>
    </w:p>
    <w:p w14:paraId="22FDFC17">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tbl>
      <w:tblPr>
        <w:tblStyle w:val="15"/>
        <w:tblW w:w="905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1"/>
        <w:gridCol w:w="1300"/>
        <w:gridCol w:w="7338"/>
      </w:tblGrid>
      <w:tr w14:paraId="7527E6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64368E62">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0921FD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招标公告</w:t>
            </w:r>
          </w:p>
          <w:p w14:paraId="3BBFD34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发布时间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C3DCC19">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18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76E3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881C250">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2</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54C967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获取招标文件截止时间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0223F80">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40EC17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4F5448C1">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3</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1500AF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网上提问</w:t>
            </w:r>
          </w:p>
          <w:p w14:paraId="613A410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F302D1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14</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E494C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3"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9DD0DB5">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4</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D1381A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网上答疑</w:t>
            </w:r>
          </w:p>
          <w:p w14:paraId="6D1C14C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279010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14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17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3FA5D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210D221">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5</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6BC12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投标保证缴</w:t>
            </w:r>
          </w:p>
          <w:p w14:paraId="3116ABE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纳截止时间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A64E5A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投标保证金到账截止时间：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3E6FFFBE">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投标保证担保上传截止时间：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2A60742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投标保证保险投保截止时间：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23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205F9D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69E9DC16">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6</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0B78F2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电子投标</w:t>
            </w:r>
          </w:p>
          <w:p w14:paraId="4D6B4BD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7503A7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793969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96D5BFB">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7</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7ECFCCB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6A3E1C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1A2A4F5">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08781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87E6EBC">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8</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C1C57A0">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0C806EA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递交地点</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4554D36">
            <w:pPr>
              <w:adjustRightInd w:val="0"/>
              <w:snapToGrid w:val="0"/>
              <w:spacing w:line="400" w:lineRule="exact"/>
              <w:rPr>
                <w:rFonts w:hAnsi="宋体"/>
                <w:snapToGrid w:val="0"/>
                <w:color w:val="auto"/>
                <w:kern w:val="0"/>
                <w:highlight w:val="none"/>
              </w:rPr>
            </w:pPr>
            <w:r>
              <w:rPr>
                <w:rFonts w:hAnsi="宋体"/>
                <w:snapToGrid w:val="0"/>
                <w:color w:val="auto"/>
                <w:kern w:val="0"/>
                <w:highlight w:val="none"/>
              </w:rPr>
              <w:t>递交场所：</w:t>
            </w:r>
            <w:r>
              <w:rPr>
                <w:rFonts w:hAnsi="宋体" w:cs="宋体"/>
                <w:color w:val="auto"/>
                <w:kern w:val="0"/>
                <w:highlight w:val="none"/>
              </w:rPr>
              <w:t>韶关市公共资源交易中心</w:t>
            </w:r>
            <w:r>
              <w:rPr>
                <w:rFonts w:hAnsi="宋体"/>
                <w:snapToGrid w:val="0"/>
                <w:color w:val="auto"/>
                <w:kern w:val="0"/>
                <w:highlight w:val="none"/>
              </w:rPr>
              <w:t>，</w:t>
            </w:r>
          </w:p>
          <w:p w14:paraId="6FF5E46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right="0"/>
              <w:jc w:val="left"/>
              <w:rPr>
                <w:rFonts w:hint="eastAsia" w:eastAsia="宋体" w:asciiTheme="minorEastAsia" w:hAnsiTheme="minorEastAsia" w:cstheme="minorEastAsia"/>
                <w:color w:val="auto"/>
                <w:spacing w:val="0"/>
                <w:sz w:val="22"/>
                <w:szCs w:val="18"/>
                <w:highlight w:val="none"/>
                <w:lang w:eastAsia="zh-CN"/>
              </w:rPr>
            </w:pPr>
            <w:r>
              <w:rPr>
                <w:rFonts w:hAnsi="宋体" w:cs="宋体"/>
                <w:snapToGrid w:val="0"/>
                <w:color w:val="auto"/>
                <w:kern w:val="0"/>
                <w:szCs w:val="24"/>
                <w:highlight w:val="none"/>
              </w:rPr>
              <w:t>地址：</w:t>
            </w:r>
            <w:r>
              <w:rPr>
                <w:rFonts w:hAnsi="宋体" w:cs="宋体"/>
                <w:color w:val="auto"/>
                <w:kern w:val="0"/>
                <w:highlight w:val="none"/>
              </w:rPr>
              <w:t>广东省韶关市武江区西联镇，具体递交场所以当日现场通知为准</w:t>
            </w:r>
            <w:r>
              <w:rPr>
                <w:rFonts w:hint="eastAsia" w:hAnsi="宋体" w:eastAsia="宋体" w:cs="宋体"/>
                <w:color w:val="auto"/>
                <w:kern w:val="0"/>
                <w:highlight w:val="none"/>
                <w:lang w:eastAsia="zh-CN"/>
              </w:rPr>
              <w:t>。</w:t>
            </w:r>
          </w:p>
        </w:tc>
      </w:tr>
      <w:tr w14:paraId="67D68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7A492F83">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9</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47E60E9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C4759C4">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 xml:space="preserve"> </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20C8AC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5162EF3C">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10</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0F22FDE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开标地点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0E80F70">
            <w:pPr>
              <w:pStyle w:val="13"/>
              <w:spacing w:before="0" w:beforeAutospacing="0" w:after="150" w:afterAutospacing="0" w:line="360" w:lineRule="atLeast"/>
              <w:ind w:firstLine="210" w:firstLineChars="100"/>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 xml:space="preserve">开标场所：韶关市公共资源交易中心 </w:t>
            </w:r>
          </w:p>
          <w:p w14:paraId="2C0BEC9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地址：广东省韶关市武江区西联镇，具体房间号以当日现场通知为准。</w:t>
            </w:r>
          </w:p>
        </w:tc>
      </w:tr>
      <w:tr w14:paraId="1FD2AC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1721" w:type="dxa"/>
            <w:gridSpan w:val="2"/>
            <w:tcBorders>
              <w:top w:val="single" w:color="080000" w:sz="4" w:space="0"/>
              <w:left w:val="single" w:color="080000" w:sz="4" w:space="0"/>
              <w:bottom w:val="single" w:color="080000" w:sz="4" w:space="0"/>
              <w:right w:val="single" w:color="080000" w:sz="4" w:space="0"/>
            </w:tcBorders>
            <w:noWrap w:val="0"/>
            <w:vAlign w:val="center"/>
          </w:tcPr>
          <w:p w14:paraId="5F4E94EC">
            <w:pPr>
              <w:pStyle w:val="30"/>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lang w:val="en-US" w:eastAsia="zh-CN"/>
              </w:rPr>
              <w:t>备注</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19EF49D">
            <w:pPr>
              <w:pStyle w:val="30"/>
              <w:keepNext w:val="0"/>
              <w:keepLines w:val="0"/>
              <w:pageBreakBefore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auto"/>
                <w:spacing w:val="0"/>
                <w:sz w:val="20"/>
                <w:szCs w:val="22"/>
                <w:highlight w:val="none"/>
              </w:rPr>
            </w:pPr>
            <w:r>
              <w:rPr>
                <w:rFonts w:hint="eastAsia" w:asciiTheme="minorEastAsia" w:hAnsiTheme="minorEastAsia" w:eastAsiaTheme="minorEastAsia" w:cstheme="minorEastAsia"/>
                <w:snapToGrid w:val="0"/>
                <w:color w:val="auto"/>
                <w:spacing w:val="0"/>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1DB7A25C">
      <w:pPr>
        <w:keepNext w:val="0"/>
        <w:keepLines w:val="0"/>
        <w:pageBreakBefore w:val="0"/>
        <w:tabs>
          <w:tab w:val="left" w:pos="8820"/>
        </w:tabs>
        <w:wordWrap w:val="0"/>
        <w:overflowPunct/>
        <w:topLinePunct w:val="0"/>
        <w:bidi w:val="0"/>
        <w:rPr>
          <w:rFonts w:hint="eastAsia" w:ascii="宋体" w:hAnsi="宋体" w:eastAsia="宋体" w:cs="宋体"/>
          <w:b w:val="0"/>
          <w:bCs w:val="0"/>
          <w:color w:val="auto"/>
          <w:spacing w:val="0"/>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6676F686">
      <w:pPr>
        <w:keepNext w:val="0"/>
        <w:keepLines w:val="0"/>
        <w:pageBreakBefore w:val="0"/>
        <w:wordWrap w:val="0"/>
        <w:overflowPunct/>
        <w:topLinePunct w:val="0"/>
        <w:bidi w:val="0"/>
        <w:jc w:val="center"/>
        <w:outlineLvl w:val="1"/>
        <w:rPr>
          <w:rFonts w:hint="eastAsia" w:ascii="宋体" w:hAnsi="宋体" w:eastAsia="宋体" w:cs="宋体"/>
          <w:color w:val="auto"/>
          <w:spacing w:val="0"/>
          <w:sz w:val="24"/>
          <w:szCs w:val="24"/>
          <w:highlight w:val="none"/>
        </w:rPr>
      </w:pPr>
      <w:bookmarkStart w:id="7" w:name="_Toc670"/>
      <w:r>
        <w:rPr>
          <w:rFonts w:hint="eastAsia" w:ascii="宋体" w:hAnsi="宋体" w:eastAsia="宋体" w:cs="宋体"/>
          <w:b/>
          <w:bCs/>
          <w:color w:val="auto"/>
          <w:spacing w:val="0"/>
          <w:sz w:val="24"/>
          <w:szCs w:val="24"/>
          <w:highlight w:val="none"/>
        </w:rPr>
        <w:t>第三节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投标人须知正文</w:t>
      </w:r>
      <w:bookmarkEnd w:id="7"/>
    </w:p>
    <w:p w14:paraId="02FC90BF">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7EBC5C91">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B96231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lang w:val="en-US" w:eastAsia="zh-CN"/>
        </w:rPr>
        <w:t>韶关市风采桥桥面人行道修缮工程</w:t>
      </w:r>
      <w:r>
        <w:rPr>
          <w:rFonts w:hint="eastAsia" w:ascii="宋体" w:hAnsi="宋体" w:eastAsia="宋体" w:cs="宋体"/>
          <w:snapToGrid w:val="0"/>
          <w:color w:val="auto"/>
          <w:spacing w:val="0"/>
          <w:kern w:val="0"/>
          <w:sz w:val="24"/>
          <w:szCs w:val="24"/>
          <w:highlight w:val="none"/>
        </w:rPr>
        <w:t>经</w:t>
      </w:r>
      <w:r>
        <w:rPr>
          <w:rFonts w:hint="eastAsia" w:ascii="宋体" w:hAnsi="宋体" w:eastAsia="宋体" w:cs="宋体"/>
          <w:snapToGrid w:val="0"/>
          <w:color w:val="auto"/>
          <w:spacing w:val="0"/>
          <w:kern w:val="0"/>
          <w:sz w:val="24"/>
          <w:szCs w:val="24"/>
          <w:highlight w:val="none"/>
          <w:u w:val="single"/>
          <w:lang w:val="en-US" w:eastAsia="zh-CN"/>
        </w:rPr>
        <w:t>韶关市</w:t>
      </w:r>
      <w:r>
        <w:rPr>
          <w:rFonts w:hint="eastAsia" w:ascii="宋体" w:hAnsi="宋体" w:eastAsia="宋体" w:cs="宋体"/>
          <w:color w:val="auto"/>
          <w:spacing w:val="0"/>
          <w:sz w:val="24"/>
          <w:szCs w:val="24"/>
          <w:highlight w:val="none"/>
          <w:u w:val="single"/>
          <w:lang w:val="en-US" w:eastAsia="zh-CN"/>
        </w:rPr>
        <w:t>发展和改革局</w:t>
      </w:r>
      <w:r>
        <w:rPr>
          <w:rFonts w:hint="eastAsia" w:ascii="宋体" w:hAnsi="宋体" w:eastAsia="宋体" w:cs="宋体"/>
          <w:snapToGrid w:val="0"/>
          <w:color w:val="auto"/>
          <w:spacing w:val="0"/>
          <w:kern w:val="0"/>
          <w:sz w:val="24"/>
          <w:szCs w:val="24"/>
          <w:highlight w:val="none"/>
        </w:rPr>
        <w:t>以</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color w:val="auto"/>
          <w:spacing w:val="0"/>
          <w:sz w:val="24"/>
          <w:szCs w:val="24"/>
          <w:highlight w:val="none"/>
          <w:u w:val="single"/>
          <w:lang w:val="en-US" w:eastAsia="zh-CN"/>
        </w:rPr>
        <w:t xml:space="preserve">韶关市发展和改革局关于韶关市风采桥桥面 </w:t>
      </w:r>
      <w:r>
        <w:rPr>
          <w:rFonts w:hint="default" w:ascii="宋体" w:hAnsi="宋体" w:eastAsia="宋体" w:cs="宋体"/>
          <w:color w:val="auto"/>
          <w:spacing w:val="0"/>
          <w:sz w:val="24"/>
          <w:szCs w:val="24"/>
          <w:highlight w:val="none"/>
          <w:u w:val="single"/>
          <w:lang w:val="en-US" w:eastAsia="zh-CN"/>
        </w:rPr>
        <w:t>人行道修缮工程项目的批复</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韶发改投审〔2025〕34号</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rPr>
        <w:t>批准建设，项目代码为</w:t>
      </w:r>
      <w:r>
        <w:rPr>
          <w:rFonts w:hint="eastAsia" w:ascii="宋体" w:hAnsi="宋体" w:eastAsia="宋体" w:cs="宋体"/>
          <w:snapToGrid w:val="0"/>
          <w:color w:val="auto"/>
          <w:spacing w:val="0"/>
          <w:kern w:val="0"/>
          <w:sz w:val="24"/>
          <w:szCs w:val="24"/>
          <w:highlight w:val="none"/>
          <w:u w:val="single"/>
          <w:lang w:val="en-US" w:eastAsia="zh-CN"/>
        </w:rPr>
        <w:t>2508-440200-04-01-131387</w:t>
      </w:r>
      <w:r>
        <w:rPr>
          <w:rFonts w:hint="eastAsia" w:ascii="宋体" w:hAnsi="宋体" w:eastAsia="宋体" w:cs="宋体"/>
          <w:snapToGrid w:val="0"/>
          <w:color w:val="auto"/>
          <w:spacing w:val="0"/>
          <w:kern w:val="0"/>
          <w:sz w:val="24"/>
          <w:szCs w:val="24"/>
          <w:highlight w:val="none"/>
        </w:rPr>
        <w:t>。本项目业主为</w:t>
      </w:r>
      <w:r>
        <w:rPr>
          <w:rFonts w:hint="eastAsia" w:ascii="宋体" w:hAnsi="宋体" w:eastAsia="宋体" w:cs="宋体"/>
          <w:snapToGrid w:val="0"/>
          <w:color w:val="auto"/>
          <w:spacing w:val="0"/>
          <w:kern w:val="0"/>
          <w:sz w:val="24"/>
          <w:szCs w:val="24"/>
          <w:highlight w:val="none"/>
          <w:u w:val="single"/>
          <w:lang w:eastAsia="zh-CN"/>
        </w:rPr>
        <w:t>韶关市市政管理中心</w:t>
      </w:r>
      <w:r>
        <w:rPr>
          <w:rFonts w:hint="eastAsia" w:ascii="宋体" w:hAnsi="宋体" w:eastAsia="宋体" w:cs="宋体"/>
          <w:snapToGrid w:val="0"/>
          <w:color w:val="auto"/>
          <w:spacing w:val="0"/>
          <w:kern w:val="0"/>
          <w:sz w:val="24"/>
          <w:szCs w:val="24"/>
          <w:highlight w:val="none"/>
        </w:rPr>
        <w:t>，建设资金</w:t>
      </w:r>
      <w:r>
        <w:rPr>
          <w:rFonts w:hint="eastAsia" w:ascii="宋体" w:hAnsi="宋体" w:eastAsia="宋体" w:cs="宋体"/>
          <w:snapToGrid w:val="0"/>
          <w:color w:val="auto"/>
          <w:spacing w:val="0"/>
          <w:kern w:val="0"/>
          <w:sz w:val="24"/>
          <w:szCs w:val="24"/>
          <w:highlight w:val="none"/>
          <w:u w:val="single"/>
          <w:lang w:val="en-US" w:eastAsia="zh-CN"/>
        </w:rPr>
        <w:t>由政府一般债予以支持，其余部分由财政统筹解决</w:t>
      </w:r>
      <w:r>
        <w:rPr>
          <w:rFonts w:hint="eastAsia" w:ascii="宋体" w:hAnsi="宋体" w:eastAsia="宋体" w:cs="宋体"/>
          <w:snapToGrid w:val="0"/>
          <w:color w:val="auto"/>
          <w:spacing w:val="0"/>
          <w:kern w:val="0"/>
          <w:sz w:val="24"/>
          <w:szCs w:val="24"/>
          <w:highlight w:val="none"/>
          <w:u w:val="none"/>
          <w:lang w:eastAsia="zh-CN"/>
        </w:rPr>
        <w:t>，</w:t>
      </w:r>
      <w:r>
        <w:rPr>
          <w:rFonts w:hint="eastAsia" w:ascii="宋体" w:hAnsi="宋体" w:eastAsia="宋体" w:cs="宋体"/>
          <w:snapToGrid w:val="0"/>
          <w:color w:val="auto"/>
          <w:spacing w:val="0"/>
          <w:kern w:val="0"/>
          <w:sz w:val="24"/>
          <w:szCs w:val="24"/>
          <w:highlight w:val="none"/>
        </w:rPr>
        <w:t>出资比例为</w:t>
      </w:r>
      <w:r>
        <w:rPr>
          <w:rFonts w:hint="eastAsia" w:ascii="宋体" w:hAnsi="宋体" w:eastAsia="宋体" w:cs="宋体"/>
          <w:snapToGrid w:val="0"/>
          <w:color w:val="auto"/>
          <w:spacing w:val="0"/>
          <w:kern w:val="0"/>
          <w:sz w:val="24"/>
          <w:szCs w:val="24"/>
          <w:highlight w:val="none"/>
          <w:u w:val="single"/>
        </w:rPr>
        <w:t>100%</w:t>
      </w:r>
      <w:r>
        <w:rPr>
          <w:rFonts w:hint="eastAsia" w:ascii="宋体" w:hAnsi="宋体" w:eastAsia="宋体" w:cs="宋体"/>
          <w:snapToGrid w:val="0"/>
          <w:color w:val="auto"/>
          <w:spacing w:val="0"/>
          <w:kern w:val="0"/>
          <w:sz w:val="24"/>
          <w:szCs w:val="24"/>
          <w:highlight w:val="none"/>
          <w:lang w:eastAsia="zh-CN"/>
        </w:rPr>
        <w:t>。</w:t>
      </w:r>
      <w:r>
        <w:rPr>
          <w:rFonts w:hint="eastAsia" w:ascii="宋体" w:hAnsi="宋体" w:eastAsia="宋体" w:cs="宋体"/>
          <w:snapToGrid w:val="0"/>
          <w:color w:val="auto"/>
          <w:spacing w:val="0"/>
          <w:kern w:val="0"/>
          <w:sz w:val="24"/>
          <w:szCs w:val="24"/>
          <w:highlight w:val="none"/>
        </w:rPr>
        <w:t>招标人为</w:t>
      </w:r>
      <w:r>
        <w:rPr>
          <w:rFonts w:hint="eastAsia" w:ascii="宋体" w:hAnsi="宋体" w:eastAsia="宋体" w:cs="宋体"/>
          <w:snapToGrid w:val="0"/>
          <w:color w:val="auto"/>
          <w:spacing w:val="0"/>
          <w:kern w:val="0"/>
          <w:sz w:val="24"/>
          <w:szCs w:val="24"/>
          <w:highlight w:val="none"/>
          <w:u w:val="single"/>
          <w:lang w:eastAsia="zh-CN"/>
        </w:rPr>
        <w:t>韶关市市政管理中心</w:t>
      </w:r>
      <w:r>
        <w:rPr>
          <w:rFonts w:hint="eastAsia" w:ascii="宋体" w:hAnsi="宋体" w:eastAsia="宋体" w:cs="宋体"/>
          <w:snapToGrid w:val="0"/>
          <w:color w:val="auto"/>
          <w:spacing w:val="0"/>
          <w:kern w:val="0"/>
          <w:sz w:val="24"/>
          <w:szCs w:val="24"/>
          <w:highlight w:val="none"/>
        </w:rPr>
        <w:t>，招标代理机构为</w:t>
      </w:r>
      <w:r>
        <w:rPr>
          <w:rFonts w:hint="eastAsia" w:ascii="宋体" w:hAnsi="宋体" w:eastAsia="宋体" w:cs="宋体"/>
          <w:color w:val="auto"/>
          <w:spacing w:val="0"/>
          <w:sz w:val="24"/>
          <w:szCs w:val="24"/>
          <w:highlight w:val="none"/>
          <w:u w:val="single"/>
          <w:lang w:eastAsia="zh-CN"/>
        </w:rPr>
        <w:t>韶关成果项目管理有限公司</w:t>
      </w:r>
      <w:r>
        <w:rPr>
          <w:rFonts w:hint="eastAsia" w:ascii="宋体" w:hAnsi="宋体" w:eastAsia="宋体" w:cs="宋体"/>
          <w:snapToGrid w:val="0"/>
          <w:color w:val="auto"/>
          <w:spacing w:val="0"/>
          <w:kern w:val="0"/>
          <w:sz w:val="24"/>
          <w:szCs w:val="24"/>
          <w:highlight w:val="none"/>
        </w:rPr>
        <w:t>。项目已具备招标条件，现对该项目的</w:t>
      </w:r>
      <w:r>
        <w:rPr>
          <w:rFonts w:hint="eastAsia" w:ascii="宋体" w:hAnsi="宋体" w:eastAsia="宋体" w:cs="宋体"/>
          <w:snapToGrid w:val="0"/>
          <w:color w:val="auto"/>
          <w:spacing w:val="0"/>
          <w:kern w:val="0"/>
          <w:sz w:val="24"/>
          <w:szCs w:val="24"/>
          <w:highlight w:val="none"/>
          <w:u w:val="single"/>
        </w:rPr>
        <w:t>施工</w:t>
      </w:r>
      <w:r>
        <w:rPr>
          <w:rFonts w:hint="eastAsia" w:ascii="宋体" w:hAnsi="宋体" w:eastAsia="宋体" w:cs="宋体"/>
          <w:snapToGrid w:val="0"/>
          <w:color w:val="auto"/>
          <w:spacing w:val="0"/>
          <w:kern w:val="0"/>
          <w:sz w:val="24"/>
          <w:szCs w:val="24"/>
          <w:highlight w:val="none"/>
        </w:rPr>
        <w:t>进行公开招标。</w:t>
      </w:r>
    </w:p>
    <w:p w14:paraId="4A255F0A">
      <w:pPr>
        <w:keepNext w:val="0"/>
        <w:keepLines w:val="0"/>
        <w:pageBreakBefore w:val="0"/>
        <w:wordWrap w:val="0"/>
        <w:overflowPunct/>
        <w:topLinePunct w:val="0"/>
        <w:bidi w:val="0"/>
        <w:spacing w:before="79" w:line="220" w:lineRule="auto"/>
        <w:ind w:firstLine="482" w:firstLineChars="200"/>
        <w:outlineLvl w:val="2"/>
        <w:rPr>
          <w:rFonts w:hint="eastAsia" w:ascii="宋体" w:hAnsi="宋体" w:eastAsia="宋体" w:cs="宋体"/>
          <w:b/>
          <w:bCs/>
          <w:color w:val="auto"/>
          <w:spacing w:val="0"/>
          <w:sz w:val="24"/>
          <w:szCs w:val="24"/>
          <w:highlight w:val="none"/>
        </w:rPr>
      </w:pPr>
      <w:bookmarkStart w:id="8" w:name="bookmark59"/>
      <w:bookmarkEnd w:id="8"/>
      <w:bookmarkStart w:id="9" w:name="bookmark73"/>
      <w:bookmarkEnd w:id="9"/>
      <w:bookmarkStart w:id="10" w:name="bookmark52"/>
      <w:bookmarkEnd w:id="10"/>
      <w:bookmarkStart w:id="11" w:name="_Toc15993"/>
      <w:bookmarkStart w:id="12" w:name="_Toc23346"/>
      <w:r>
        <w:rPr>
          <w:rFonts w:hint="eastAsia" w:ascii="宋体" w:hAnsi="宋体" w:eastAsia="宋体" w:cs="宋体"/>
          <w:b/>
          <w:bCs/>
          <w:color w:val="auto"/>
          <w:spacing w:val="0"/>
          <w:sz w:val="24"/>
          <w:szCs w:val="24"/>
          <w:highlight w:val="none"/>
        </w:rPr>
        <w:t>1 ．项目概况、招标范围和标段划分、投标费用等</w:t>
      </w:r>
      <w:bookmarkEnd w:id="11"/>
      <w:bookmarkEnd w:id="12"/>
    </w:p>
    <w:p w14:paraId="5D044C5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项目概况</w:t>
      </w:r>
    </w:p>
    <w:p w14:paraId="77754DC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建设地点：</w:t>
      </w:r>
      <w:r>
        <w:rPr>
          <w:rFonts w:hint="eastAsia" w:ascii="宋体" w:hAnsi="宋体" w:eastAsia="宋体" w:cs="宋体"/>
          <w:color w:val="auto"/>
          <w:spacing w:val="0"/>
          <w:sz w:val="24"/>
          <w:szCs w:val="24"/>
          <w:highlight w:val="none"/>
          <w:u w:val="single"/>
          <w:lang w:val="en-US" w:eastAsia="zh-CN"/>
        </w:rPr>
        <w:t>韶关市风采桥。</w:t>
      </w:r>
    </w:p>
    <w:p w14:paraId="1F6C769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建设内容和规模：</w:t>
      </w:r>
    </w:p>
    <w:p w14:paraId="050506C0">
      <w:pPr>
        <w:keepNext w:val="0"/>
        <w:keepLines w:val="0"/>
        <w:pageBreakBefore w:val="0"/>
        <w:widowControl/>
        <w:kinsoku w:val="0"/>
        <w:wordWrap w:val="0"/>
        <w:overflowPunct/>
        <w:topLinePunct w:val="0"/>
        <w:autoSpaceDE w:val="0"/>
        <w:autoSpaceDN w:val="0"/>
        <w:bidi w:val="0"/>
        <w:adjustRightInd w:val="0"/>
        <w:snapToGrid w:val="0"/>
        <w:spacing w:line="360" w:lineRule="auto"/>
        <w:ind w:left="479" w:leftChars="228" w:right="0" w:firstLine="720" w:firstLineChars="300"/>
        <w:textAlignment w:val="baseline"/>
        <w:outlineLvl w:val="9"/>
        <w:rPr>
          <w:rFonts w:hint="default"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u w:val="single"/>
          <w:lang w:val="en-US" w:eastAsia="zh-CN"/>
        </w:rPr>
        <w:t>对风采桥主桥、引桥进行修缮，桥</w:t>
      </w:r>
      <w:r>
        <w:rPr>
          <w:rFonts w:hint="default" w:ascii="宋体" w:hAnsi="宋体" w:eastAsia="宋体" w:cs="宋体"/>
          <w:color w:val="auto"/>
          <w:spacing w:val="0"/>
          <w:sz w:val="24"/>
          <w:szCs w:val="24"/>
          <w:highlight w:val="none"/>
          <w:u w:val="single"/>
          <w:lang w:val="en-US" w:eastAsia="zh-CN"/>
        </w:rPr>
        <w:t>梁全长约482米，桥宽12米，建筑面积5784平方米。</w:t>
      </w:r>
    </w:p>
    <w:p w14:paraId="42C3FBA4">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项目总投资</w:t>
      </w:r>
      <w:r>
        <w:rPr>
          <w:rStyle w:val="28"/>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sz w:val="24"/>
          <w:szCs w:val="24"/>
          <w:highlight w:val="none"/>
          <w:u w:val="single"/>
          <w:lang w:val="en-US" w:eastAsia="zh-CN"/>
        </w:rPr>
        <w:t>项目概算总投资462.44万元，其中工程费用353.87万元，工程建设其他费用95.10万元，预备费用13.47万元。</w:t>
      </w:r>
    </w:p>
    <w:p w14:paraId="2C41A4AA">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u w:val="none"/>
          <w:lang w:val="en-US" w:eastAsia="zh-CN"/>
        </w:rPr>
        <w:t xml:space="preserve">1.2 </w:t>
      </w:r>
      <w:r>
        <w:rPr>
          <w:rFonts w:hint="eastAsia" w:ascii="宋体" w:hAnsi="宋体" w:eastAsia="宋体" w:cs="宋体"/>
          <w:color w:val="auto"/>
          <w:spacing w:val="0"/>
          <w:sz w:val="24"/>
          <w:szCs w:val="24"/>
          <w:highlight w:val="none"/>
          <w:u w:val="single"/>
          <w:lang w:val="en-US" w:eastAsia="zh-CN"/>
        </w:rPr>
        <w:t xml:space="preserve"> 招标范围和标段划分</w:t>
      </w:r>
    </w:p>
    <w:p w14:paraId="43D33095">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招标范围：</w:t>
      </w:r>
      <w:r>
        <w:rPr>
          <w:rFonts w:hint="eastAsia" w:ascii="宋体" w:hAnsi="宋体" w:eastAsia="宋体" w:cs="宋体"/>
          <w:color w:val="auto"/>
          <w:spacing w:val="0"/>
          <w:sz w:val="24"/>
          <w:szCs w:val="24"/>
          <w:highlight w:val="none"/>
          <w:lang w:eastAsia="zh-CN"/>
        </w:rPr>
        <w:t>按审查合格的施工图纸及工程量清单内容施工。</w:t>
      </w:r>
    </w:p>
    <w:p w14:paraId="645E2925">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bookmarkStart w:id="13" w:name="_Toc28202"/>
      <w:bookmarkStart w:id="14" w:name="_Toc20855"/>
      <w:bookmarkStart w:id="15" w:name="_Toc24593"/>
      <w:bookmarkStart w:id="16" w:name="_Toc14190"/>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标段划分：本招标项目不划分标段。</w:t>
      </w:r>
      <w:bookmarkEnd w:id="13"/>
      <w:bookmarkEnd w:id="14"/>
      <w:bookmarkEnd w:id="15"/>
      <w:bookmarkEnd w:id="16"/>
    </w:p>
    <w:p w14:paraId="7002A2A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  </w:t>
      </w:r>
      <w:r>
        <w:rPr>
          <w:rFonts w:hint="eastAsia" w:ascii="宋体" w:hAnsi="宋体" w:eastAsia="宋体" w:cs="宋体"/>
          <w:color w:val="auto"/>
          <w:spacing w:val="0"/>
          <w:sz w:val="24"/>
          <w:szCs w:val="24"/>
          <w:highlight w:val="none"/>
        </w:rPr>
        <w:t>投标费用：投标人应承担所有准备和参加投标的相关费用，不论投标结果如何，招标人均无义务和责任承担这些费用。</w:t>
      </w:r>
    </w:p>
    <w:p w14:paraId="529045A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  </w:t>
      </w:r>
      <w:r>
        <w:rPr>
          <w:rFonts w:hint="eastAsia" w:ascii="宋体" w:hAnsi="宋体" w:eastAsia="宋体" w:cs="宋体"/>
          <w:color w:val="auto"/>
          <w:spacing w:val="0"/>
          <w:sz w:val="24"/>
          <w:szCs w:val="24"/>
          <w:highlight w:val="none"/>
        </w:rPr>
        <w:t xml:space="preserve">招标代理费用：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shd w:val="clear" w:color="auto" w:fill="FFFFFF"/>
        </w:rPr>
        <w:t xml:space="preserve"> 由</w:t>
      </w:r>
      <w:r>
        <w:rPr>
          <w:rFonts w:hint="eastAsia" w:ascii="宋体" w:hAnsi="宋体" w:eastAsia="宋体" w:cs="宋体"/>
          <w:color w:val="auto"/>
          <w:spacing w:val="0"/>
          <w:sz w:val="24"/>
          <w:szCs w:val="24"/>
          <w:highlight w:val="none"/>
        </w:rPr>
        <w:t>项目业主</w:t>
      </w:r>
      <w:r>
        <w:rPr>
          <w:rFonts w:hint="eastAsia" w:ascii="宋体" w:hAnsi="宋体" w:eastAsia="宋体" w:cs="宋体"/>
          <w:color w:val="auto"/>
          <w:spacing w:val="0"/>
          <w:sz w:val="24"/>
          <w:szCs w:val="24"/>
          <w:highlight w:val="none"/>
          <w:shd w:val="clear" w:color="auto" w:fill="FFFFFF"/>
        </w:rPr>
        <w:t>支</w:t>
      </w:r>
      <w:r>
        <w:rPr>
          <w:rFonts w:hint="eastAsia" w:ascii="宋体" w:hAnsi="宋体" w:eastAsia="宋体" w:cs="宋体"/>
          <w:color w:val="auto"/>
          <w:spacing w:val="0"/>
          <w:sz w:val="24"/>
          <w:szCs w:val="24"/>
          <w:highlight w:val="none"/>
        </w:rPr>
        <w:t>付</w:t>
      </w:r>
      <w:r>
        <w:rPr>
          <w:rFonts w:hint="eastAsia" w:ascii="宋体" w:hAnsi="宋体" w:eastAsia="宋体" w:cs="宋体"/>
          <w:color w:val="auto"/>
          <w:spacing w:val="0"/>
          <w:position w:val="-6"/>
          <w:sz w:val="24"/>
          <w:szCs w:val="24"/>
          <w:highlight w:val="none"/>
          <w:shd w:val="clear" w:color="auto" w:fill="FFFFFF"/>
          <w:lang w:eastAsia="zh-CN"/>
        </w:rPr>
        <w:t xml:space="preserve"> </w:t>
      </w:r>
      <w:r>
        <w:rPr>
          <w:rFonts w:hint="eastAsia" w:ascii="宋体" w:hAnsi="宋体" w:eastAsia="宋体" w:cs="宋体"/>
          <w:color w:val="auto"/>
          <w:spacing w:val="0"/>
          <w:sz w:val="24"/>
          <w:szCs w:val="24"/>
          <w:highlight w:val="none"/>
          <w:shd w:val="clear" w:color="auto" w:fill="FFFFFF"/>
          <w:lang w:eastAsia="zh-CN"/>
        </w:rPr>
        <w:t>☑</w:t>
      </w:r>
      <w:r>
        <w:rPr>
          <w:rFonts w:hint="eastAsia" w:ascii="宋体" w:hAnsi="宋体" w:eastAsia="宋体" w:cs="宋体"/>
          <w:color w:val="auto"/>
          <w:spacing w:val="0"/>
          <w:sz w:val="24"/>
          <w:szCs w:val="24"/>
          <w:highlight w:val="none"/>
          <w:shd w:val="clear" w:color="auto" w:fill="FFFFFF"/>
        </w:rPr>
        <w:t xml:space="preserve"> 由中标人支付。</w:t>
      </w:r>
    </w:p>
    <w:p w14:paraId="7E20DB6F">
      <w:pPr>
        <w:keepNext w:val="0"/>
        <w:keepLines w:val="0"/>
        <w:pageBreakBefore w:val="0"/>
        <w:wordWrap w:val="0"/>
        <w:overflowPunct/>
        <w:topLinePunct w:val="0"/>
        <w:bidi w:val="0"/>
        <w:spacing w:before="79" w:line="220" w:lineRule="auto"/>
        <w:ind w:firstLine="482" w:firstLineChars="200"/>
        <w:outlineLvl w:val="2"/>
        <w:rPr>
          <w:rFonts w:hint="eastAsia" w:ascii="宋体" w:hAnsi="宋体" w:eastAsia="宋体" w:cs="宋体"/>
          <w:b/>
          <w:bCs/>
          <w:color w:val="auto"/>
          <w:spacing w:val="0"/>
          <w:sz w:val="24"/>
          <w:szCs w:val="24"/>
          <w:highlight w:val="none"/>
        </w:rPr>
      </w:pPr>
      <w:bookmarkStart w:id="17" w:name="_Toc24520"/>
      <w:r>
        <w:rPr>
          <w:rFonts w:hint="eastAsia" w:ascii="宋体" w:hAnsi="宋体" w:eastAsia="宋体" w:cs="宋体"/>
          <w:b/>
          <w:bCs/>
          <w:color w:val="auto"/>
          <w:spacing w:val="0"/>
          <w:sz w:val="24"/>
          <w:szCs w:val="24"/>
          <w:highlight w:val="none"/>
        </w:rPr>
        <w:t>2．</w:t>
      </w:r>
      <w:r>
        <w:rPr>
          <w:rFonts w:hint="eastAsia" w:ascii="宋体" w:hAnsi="宋体" w:eastAsia="宋体" w:cs="宋体"/>
          <w:b/>
          <w:bCs/>
          <w:color w:val="auto"/>
          <w:spacing w:val="0"/>
          <w:sz w:val="24"/>
          <w:szCs w:val="24"/>
          <w:highlight w:val="none"/>
          <w:lang w:eastAsia="zh-CN"/>
        </w:rPr>
        <w:t>投标人</w:t>
      </w:r>
      <w:r>
        <w:rPr>
          <w:rFonts w:hint="eastAsia" w:ascii="宋体" w:hAnsi="宋体" w:eastAsia="宋体" w:cs="宋体"/>
          <w:b/>
          <w:bCs/>
          <w:color w:val="auto"/>
          <w:spacing w:val="0"/>
          <w:sz w:val="24"/>
          <w:szCs w:val="24"/>
          <w:highlight w:val="none"/>
        </w:rPr>
        <w:t>资质要求</w:t>
      </w:r>
      <w:bookmarkEnd w:id="17"/>
      <w:bookmarkStart w:id="18" w:name="_Hlt74496495"/>
      <w:bookmarkEnd w:id="18"/>
    </w:p>
    <w:p w14:paraId="285DF7BD">
      <w:pPr>
        <w:pStyle w:val="30"/>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eastAsia="宋体" w:cs="宋体"/>
          <w:b/>
          <w:bCs/>
          <w:color w:val="auto"/>
          <w:kern w:val="0"/>
          <w:sz w:val="24"/>
          <w:highlight w:val="none"/>
        </w:rPr>
        <w:t>.1</w:t>
      </w:r>
      <w:r>
        <w:rPr>
          <w:rFonts w:hint="eastAsia" w:ascii="宋体" w:hAnsi="宋体" w:eastAsia="宋体" w:cs="宋体"/>
          <w:color w:val="auto"/>
          <w:kern w:val="0"/>
          <w:sz w:val="24"/>
          <w:highlight w:val="none"/>
        </w:rPr>
        <w:t>本次招标</w:t>
      </w:r>
      <w:r>
        <w:rPr>
          <w:rFonts w:hint="eastAsia" w:ascii="宋体" w:hAnsi="宋体" w:eastAsia="宋体" w:cs="宋体"/>
          <w:b/>
          <w:bCs/>
          <w:color w:val="auto"/>
          <w:kern w:val="0"/>
          <w:sz w:val="24"/>
          <w:highlight w:val="none"/>
          <w:u w:val="single"/>
        </w:rPr>
        <w:t>接受</w:t>
      </w:r>
      <w:r>
        <w:rPr>
          <w:rFonts w:hint="eastAsia" w:ascii="宋体" w:hAnsi="宋体" w:eastAsia="宋体" w:cs="宋体"/>
          <w:color w:val="auto"/>
          <w:kern w:val="0"/>
          <w:sz w:val="24"/>
          <w:highlight w:val="none"/>
        </w:rPr>
        <w:t>联合体投标，联合体以一个投标人的身份共同投标。</w:t>
      </w:r>
    </w:p>
    <w:p w14:paraId="7969DA2F">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.1.1</w:t>
      </w:r>
      <w:r>
        <w:rPr>
          <w:rFonts w:hint="eastAsia" w:ascii="宋体" w:hAnsi="宋体" w:eastAsia="宋体" w:cs="宋体"/>
          <w:color w:val="auto"/>
          <w:sz w:val="24"/>
          <w:szCs w:val="24"/>
          <w:highlight w:val="none"/>
        </w:rPr>
        <w:t>联合体成员数量不超过</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个。</w:t>
      </w:r>
    </w:p>
    <w:p w14:paraId="4E8B38C0">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 xml:space="preserve">.1.2 </w:t>
      </w:r>
      <w:r>
        <w:rPr>
          <w:rFonts w:hint="eastAsia" w:ascii="宋体" w:hAnsi="宋体" w:eastAsia="宋体" w:cs="宋体"/>
          <w:color w:val="auto"/>
          <w:sz w:val="24"/>
          <w:szCs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06249A5C">
      <w:pPr>
        <w:pStyle w:val="30"/>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B8BE263">
      <w:pPr>
        <w:pStyle w:val="30"/>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.1.</w:t>
      </w:r>
      <w:r>
        <w:rPr>
          <w:rFonts w:hint="eastAsia" w:ascii="宋体" w:hAnsi="宋体" w:cs="宋体"/>
          <w:b/>
          <w:bCs/>
          <w:color w:val="auto"/>
          <w:kern w:val="0"/>
          <w:sz w:val="24"/>
          <w:highlight w:val="none"/>
          <w:lang w:val="en-US" w:eastAsia="zh-CN"/>
        </w:rPr>
        <w:t>4</w:t>
      </w:r>
      <w:r>
        <w:rPr>
          <w:rFonts w:hint="eastAsia" w:ascii="宋体" w:hAnsi="宋体" w:eastAsia="宋体" w:cs="宋体"/>
          <w:color w:val="auto"/>
          <w:sz w:val="24"/>
          <w:szCs w:val="24"/>
          <w:highlight w:val="none"/>
        </w:rPr>
        <w:t>联合体各方不得再以自己名义单独或参加其他联合体在本招标项目中投标，否则各相关投标均无效。</w:t>
      </w:r>
    </w:p>
    <w:p w14:paraId="5F440A81">
      <w:pPr>
        <w:pStyle w:val="30"/>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.2 </w:t>
      </w:r>
      <w:r>
        <w:rPr>
          <w:rFonts w:hint="eastAsia" w:ascii="宋体" w:hAnsi="宋体" w:eastAsia="宋体" w:cs="宋体"/>
          <w:color w:val="auto"/>
          <w:sz w:val="24"/>
          <w:szCs w:val="24"/>
          <w:highlight w:val="none"/>
        </w:rPr>
        <w:t>资质要求</w:t>
      </w:r>
    </w:p>
    <w:p w14:paraId="41A63864">
      <w:pPr>
        <w:pStyle w:val="30"/>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.2.1 </w:t>
      </w:r>
      <w:r>
        <w:rPr>
          <w:rFonts w:hint="eastAsia" w:ascii="宋体" w:hAnsi="宋体" w:eastAsia="宋体" w:cs="宋体"/>
          <w:color w:val="auto"/>
          <w:sz w:val="24"/>
          <w:szCs w:val="24"/>
          <w:highlight w:val="none"/>
        </w:rPr>
        <w:t>投标人须具备独立法人资格，按国家法律经营。</w:t>
      </w:r>
    </w:p>
    <w:p w14:paraId="7857AC84">
      <w:pPr>
        <w:pStyle w:val="30"/>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.2.2 </w:t>
      </w:r>
      <w:r>
        <w:rPr>
          <w:rFonts w:hint="eastAsia" w:ascii="宋体" w:hAnsi="宋体" w:eastAsia="宋体" w:cs="宋体"/>
          <w:color w:val="auto"/>
          <w:sz w:val="24"/>
          <w:szCs w:val="24"/>
          <w:highlight w:val="none"/>
        </w:rPr>
        <w:t>投标人须持有行政主管部门颁发的企业资质证书。</w:t>
      </w:r>
    </w:p>
    <w:p w14:paraId="14166167">
      <w:pPr>
        <w:pStyle w:val="30"/>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highlight w:val="yellow"/>
        </w:rPr>
      </w:pPr>
      <w:r>
        <w:rPr>
          <w:rFonts w:hint="eastAsia" w:ascii="宋体" w:hAnsi="宋体" w:cs="宋体"/>
          <w:b/>
          <w:bCs/>
          <w:color w:val="auto"/>
          <w:kern w:val="0"/>
          <w:sz w:val="24"/>
          <w:szCs w:val="24"/>
          <w:highlight w:val="yellow"/>
          <w:lang w:val="en-US" w:eastAsia="zh-CN" w:bidi="ar-SA"/>
        </w:rPr>
        <w:t>2</w:t>
      </w:r>
      <w:r>
        <w:rPr>
          <w:rFonts w:hint="eastAsia" w:ascii="宋体" w:hAnsi="宋体" w:eastAsia="宋体" w:cs="宋体"/>
          <w:b/>
          <w:bCs/>
          <w:color w:val="auto"/>
          <w:kern w:val="0"/>
          <w:sz w:val="24"/>
          <w:szCs w:val="24"/>
          <w:highlight w:val="yellow"/>
          <w:lang w:val="en-US" w:eastAsia="zh-CN" w:bidi="ar-SA"/>
        </w:rPr>
        <w:t xml:space="preserve">.2.3 </w:t>
      </w:r>
      <w:r>
        <w:rPr>
          <w:rFonts w:hint="eastAsia" w:ascii="宋体" w:hAnsi="宋体" w:eastAsia="宋体" w:cs="宋体"/>
          <w:color w:val="auto"/>
          <w:sz w:val="24"/>
          <w:szCs w:val="24"/>
          <w:highlight w:val="yellow"/>
        </w:rPr>
        <w:t>参加投标的投标人可以是单</w:t>
      </w:r>
      <w:r>
        <w:rPr>
          <w:rFonts w:hint="eastAsia" w:ascii="宋体" w:hAnsi="宋体" w:eastAsia="宋体" w:cs="宋体"/>
          <w:color w:val="auto"/>
          <w:sz w:val="24"/>
          <w:szCs w:val="24"/>
          <w:highlight w:val="yellow"/>
          <w:lang w:val="en-US" w:eastAsia="zh-CN"/>
        </w:rPr>
        <w:t>1</w:t>
      </w:r>
      <w:r>
        <w:rPr>
          <w:rFonts w:hint="eastAsia" w:ascii="宋体" w:hAnsi="宋体" w:eastAsia="宋体" w:cs="宋体"/>
          <w:color w:val="auto"/>
          <w:sz w:val="24"/>
          <w:szCs w:val="24"/>
          <w:highlight w:val="yellow"/>
        </w:rPr>
        <w:t>独立法人或由不超过</w:t>
      </w:r>
      <w:r>
        <w:rPr>
          <w:rFonts w:hint="eastAsia" w:ascii="宋体" w:hAnsi="宋体" w:cs="宋体"/>
          <w:color w:val="auto"/>
          <w:sz w:val="24"/>
          <w:szCs w:val="24"/>
          <w:highlight w:val="yellow"/>
          <w:u w:val="single"/>
          <w:lang w:val="en-US" w:eastAsia="zh-CN"/>
        </w:rPr>
        <w:t xml:space="preserve"> 2 </w:t>
      </w:r>
      <w:r>
        <w:rPr>
          <w:rFonts w:hint="eastAsia" w:ascii="宋体" w:hAnsi="宋体" w:eastAsia="宋体" w:cs="宋体"/>
          <w:color w:val="auto"/>
          <w:sz w:val="24"/>
          <w:szCs w:val="24"/>
          <w:highlight w:val="yellow"/>
        </w:rPr>
        <w:t>家独立法人组成的联合体（必须注明其中一家为牵头人），联合体各方不得再以自己的名义单独申请，也不得同时参加两个或两个以上的联合体进行本项目的投标。单一独立法人必须至少具备以下①</w:t>
      </w:r>
      <w:r>
        <w:rPr>
          <w:rFonts w:hint="eastAsia" w:ascii="宋体" w:hAnsi="宋体" w:cs="宋体"/>
          <w:color w:val="auto"/>
          <w:sz w:val="24"/>
          <w:szCs w:val="24"/>
          <w:highlight w:val="yellow"/>
          <w:lang w:val="en-US" w:eastAsia="zh-CN"/>
        </w:rPr>
        <w:t>或②~③</w:t>
      </w:r>
      <w:r>
        <w:rPr>
          <w:rFonts w:hint="eastAsia" w:ascii="宋体" w:hAnsi="宋体" w:eastAsia="宋体" w:cs="宋体"/>
          <w:color w:val="auto"/>
          <w:sz w:val="24"/>
          <w:szCs w:val="24"/>
          <w:highlight w:val="yellow"/>
        </w:rPr>
        <w:t>资质，组成联合体投标的，联合后必须至少具备以下①</w:t>
      </w:r>
      <w:r>
        <w:rPr>
          <w:rFonts w:hint="eastAsia" w:ascii="宋体" w:hAnsi="宋体" w:cs="宋体"/>
          <w:color w:val="auto"/>
          <w:sz w:val="24"/>
          <w:szCs w:val="24"/>
          <w:highlight w:val="yellow"/>
          <w:lang w:val="en-US" w:eastAsia="zh-CN"/>
        </w:rPr>
        <w:t>或②~③</w:t>
      </w:r>
      <w:r>
        <w:rPr>
          <w:rFonts w:hint="eastAsia" w:ascii="宋体" w:hAnsi="宋体" w:eastAsia="宋体" w:cs="宋体"/>
          <w:color w:val="auto"/>
          <w:sz w:val="24"/>
          <w:szCs w:val="24"/>
          <w:highlight w:val="yellow"/>
        </w:rPr>
        <w:t>资质，联合体牵头人必须</w:t>
      </w:r>
      <w:r>
        <w:rPr>
          <w:rFonts w:hint="eastAsia" w:ascii="宋体" w:hAnsi="宋体" w:eastAsia="宋体" w:cs="宋体"/>
          <w:color w:val="auto"/>
          <w:sz w:val="24"/>
          <w:szCs w:val="24"/>
          <w:highlight w:val="yellow"/>
          <w:lang w:val="en-US" w:eastAsia="zh-CN"/>
        </w:rPr>
        <w:t>为</w:t>
      </w:r>
      <w:r>
        <w:rPr>
          <w:rFonts w:hint="eastAsia" w:ascii="宋体" w:hAnsi="宋体" w:eastAsia="宋体" w:cs="宋体"/>
          <w:color w:val="auto"/>
          <w:sz w:val="24"/>
          <w:szCs w:val="24"/>
          <w:highlight w:val="yellow"/>
          <w:u w:val="single"/>
          <w:lang w:val="en-US" w:eastAsia="zh-CN"/>
        </w:rPr>
        <w:t>施工单位</w:t>
      </w:r>
      <w:r>
        <w:rPr>
          <w:rFonts w:hint="eastAsia" w:ascii="宋体" w:hAnsi="宋体" w:eastAsia="宋体" w:cs="宋体"/>
          <w:color w:val="auto"/>
          <w:sz w:val="24"/>
          <w:szCs w:val="24"/>
          <w:highlight w:val="yellow"/>
        </w:rPr>
        <w:t>，由同一专业的单位组成的联合体，按照资质等级较低的单位确定资质等级：</w:t>
      </w:r>
    </w:p>
    <w:p w14:paraId="556D20E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hAnsi="宋体" w:eastAsia="宋体" w:cs="宋体"/>
          <w:b/>
          <w:bCs/>
          <w:color w:val="000000"/>
          <w:sz w:val="24"/>
          <w:szCs w:val="24"/>
          <w:highlight w:val="yellow"/>
          <w:u w:val="single"/>
          <w:lang w:eastAsia="zh-CN"/>
        </w:rPr>
      </w:pPr>
      <w:r>
        <w:rPr>
          <w:rFonts w:hint="eastAsia" w:ascii="宋体" w:hAnsi="宋体" w:eastAsia="宋体" w:cs="宋体"/>
          <w:color w:val="auto"/>
          <w:sz w:val="24"/>
          <w:szCs w:val="24"/>
          <w:highlight w:val="yellow"/>
          <w:lang w:val="zh-CN"/>
        </w:rPr>
        <w:t>①施工资质：</w:t>
      </w:r>
      <w:r>
        <w:rPr>
          <w:rFonts w:hint="eastAsia" w:ascii="宋体" w:hAnsi="宋体" w:eastAsia="宋体" w:cs="宋体"/>
          <w:b/>
          <w:bCs/>
          <w:color w:val="000000"/>
          <w:sz w:val="24"/>
          <w:szCs w:val="24"/>
          <w:highlight w:val="yellow"/>
          <w:u w:val="single"/>
        </w:rPr>
        <w:t>市政公用工程施工总承包</w:t>
      </w:r>
      <w:r>
        <w:rPr>
          <w:rFonts w:hint="eastAsia" w:ascii="宋体" w:hAnsi="宋体" w:eastAsia="宋体" w:cs="宋体"/>
          <w:b/>
          <w:bCs/>
          <w:color w:val="000000"/>
          <w:sz w:val="24"/>
          <w:szCs w:val="24"/>
          <w:highlight w:val="yellow"/>
          <w:u w:val="single"/>
          <w:lang w:val="en-US" w:eastAsia="zh-CN"/>
        </w:rPr>
        <w:t>壹</w:t>
      </w:r>
      <w:r>
        <w:rPr>
          <w:rFonts w:hint="eastAsia" w:ascii="宋体" w:hAnsi="宋体" w:eastAsia="宋体" w:cs="宋体"/>
          <w:b/>
          <w:bCs/>
          <w:color w:val="000000"/>
          <w:sz w:val="24"/>
          <w:szCs w:val="24"/>
          <w:highlight w:val="yellow"/>
          <w:u w:val="single"/>
        </w:rPr>
        <w:t>级以上（含</w:t>
      </w:r>
      <w:r>
        <w:rPr>
          <w:rFonts w:hint="eastAsia" w:ascii="宋体" w:hAnsi="宋体" w:eastAsia="宋体" w:cs="宋体"/>
          <w:b/>
          <w:bCs/>
          <w:color w:val="000000"/>
          <w:sz w:val="24"/>
          <w:szCs w:val="24"/>
          <w:highlight w:val="yellow"/>
          <w:u w:val="single"/>
          <w:lang w:val="en-US" w:eastAsia="zh-CN"/>
        </w:rPr>
        <w:t>壹</w:t>
      </w:r>
      <w:r>
        <w:rPr>
          <w:rFonts w:hint="eastAsia" w:ascii="宋体" w:hAnsi="宋体" w:eastAsia="宋体" w:cs="宋体"/>
          <w:b/>
          <w:bCs/>
          <w:color w:val="000000"/>
          <w:sz w:val="24"/>
          <w:szCs w:val="24"/>
          <w:highlight w:val="yellow"/>
          <w:u w:val="single"/>
        </w:rPr>
        <w:t>级）</w:t>
      </w:r>
      <w:r>
        <w:rPr>
          <w:rFonts w:hint="eastAsia" w:hAnsi="宋体" w:eastAsia="宋体" w:cs="宋体"/>
          <w:b/>
          <w:bCs/>
          <w:color w:val="000000"/>
          <w:sz w:val="24"/>
          <w:szCs w:val="24"/>
          <w:highlight w:val="yellow"/>
          <w:u w:val="single"/>
          <w:lang w:eastAsia="zh-CN"/>
        </w:rPr>
        <w:t>。</w:t>
      </w:r>
    </w:p>
    <w:p w14:paraId="007FFA1F">
      <w:pPr>
        <w:keepNext w:val="0"/>
        <w:keepLines w:val="0"/>
        <w:pageBreakBefore w:val="0"/>
        <w:kinsoku/>
        <w:wordWrap/>
        <w:overflowPunct/>
        <w:topLinePunct w:val="0"/>
        <w:autoSpaceDE/>
        <w:autoSpaceDN/>
        <w:bidi w:val="0"/>
        <w:adjustRightInd/>
        <w:snapToGrid w:val="0"/>
        <w:spacing w:line="360" w:lineRule="auto"/>
        <w:ind w:left="525" w:leftChars="250" w:firstLine="0" w:firstLineChars="0"/>
        <w:textAlignment w:val="auto"/>
        <w:rPr>
          <w:rFonts w:hint="eastAsia" w:ascii="宋体" w:hAnsi="宋体" w:eastAsia="宋体" w:cs="宋体"/>
          <w:snapToGrid w:val="0"/>
          <w:kern w:val="0"/>
          <w:sz w:val="24"/>
          <w:szCs w:val="24"/>
          <w:highlight w:val="yellow"/>
        </w:rPr>
      </w:pPr>
      <w:r>
        <w:rPr>
          <w:rFonts w:hint="eastAsia" w:ascii="宋体" w:hAnsi="宋体" w:eastAsia="宋体" w:cs="宋体"/>
          <w:color w:val="auto"/>
          <w:sz w:val="24"/>
          <w:szCs w:val="24"/>
          <w:highlight w:val="yellow"/>
          <w:lang w:val="zh-CN"/>
        </w:rPr>
        <w:t>②施工资质：</w:t>
      </w:r>
      <w:r>
        <w:rPr>
          <w:rFonts w:hint="eastAsia" w:ascii="宋体" w:hAnsi="宋体" w:eastAsia="宋体" w:cs="宋体"/>
          <w:b/>
          <w:bCs/>
          <w:color w:val="000000"/>
          <w:sz w:val="24"/>
          <w:szCs w:val="24"/>
          <w:highlight w:val="yellow"/>
          <w:u w:val="single"/>
          <w:lang w:val="en-US" w:eastAsia="zh-CN"/>
        </w:rPr>
        <w:t>桥梁工程专业承包资质贰级以上（含贰级）</w:t>
      </w:r>
      <w:r>
        <w:rPr>
          <w:rFonts w:hint="eastAsia" w:ascii="宋体" w:hAnsi="宋体" w:eastAsia="宋体" w:cs="宋体"/>
          <w:snapToGrid w:val="0"/>
          <w:kern w:val="0"/>
          <w:sz w:val="24"/>
          <w:szCs w:val="24"/>
          <w:highlight w:val="yellow"/>
        </w:rPr>
        <w:t>。</w:t>
      </w:r>
      <w:r>
        <w:rPr>
          <w:rFonts w:hint="eastAsia" w:ascii="宋体" w:hAnsi="宋体" w:eastAsia="宋体" w:cs="宋体"/>
          <w:snapToGrid w:val="0"/>
          <w:kern w:val="0"/>
          <w:sz w:val="24"/>
          <w:szCs w:val="24"/>
          <w:highlight w:val="yellow"/>
        </w:rPr>
        <w:br w:type="textWrapping"/>
      </w:r>
      <w:r>
        <w:rPr>
          <w:rFonts w:hint="eastAsia" w:ascii="宋体" w:hAnsi="宋体" w:eastAsia="宋体" w:cs="宋体"/>
          <w:color w:val="auto"/>
          <w:sz w:val="24"/>
          <w:szCs w:val="24"/>
          <w:highlight w:val="yellow"/>
          <w:lang w:val="en-US" w:eastAsia="zh-CN"/>
        </w:rPr>
        <w:t>③</w:t>
      </w:r>
      <w:r>
        <w:rPr>
          <w:rFonts w:hint="eastAsia" w:ascii="宋体" w:hAnsi="宋体" w:eastAsia="宋体" w:cs="宋体"/>
          <w:color w:val="auto"/>
          <w:sz w:val="24"/>
          <w:szCs w:val="24"/>
          <w:highlight w:val="yellow"/>
          <w:lang w:val="zh-CN"/>
        </w:rPr>
        <w:t>施工资质：</w:t>
      </w:r>
      <w:r>
        <w:rPr>
          <w:rFonts w:hint="eastAsia" w:ascii="宋体" w:hAnsi="宋体" w:eastAsia="宋体" w:cs="宋体"/>
          <w:b/>
          <w:bCs/>
          <w:color w:val="000000"/>
          <w:sz w:val="24"/>
          <w:szCs w:val="24"/>
          <w:highlight w:val="yellow"/>
          <w:u w:val="single"/>
          <w:lang w:val="en-US" w:eastAsia="zh-CN"/>
        </w:rPr>
        <w:t>钢结构专业承包资质</w:t>
      </w:r>
      <w:r>
        <w:rPr>
          <w:rFonts w:hint="eastAsia" w:ascii="宋体" w:hAnsi="宋体" w:eastAsia="宋体" w:cs="宋体"/>
          <w:b/>
          <w:bCs/>
          <w:color w:val="000000"/>
          <w:sz w:val="21"/>
          <w:szCs w:val="21"/>
          <w:highlight w:val="yellow"/>
          <w:u w:val="single"/>
          <w:lang w:val="en-US" w:eastAsia="zh-CN"/>
        </w:rPr>
        <w:t>叁</w:t>
      </w:r>
      <w:r>
        <w:rPr>
          <w:rFonts w:hint="eastAsia" w:ascii="宋体" w:hAnsi="宋体" w:eastAsia="宋体" w:cs="宋体"/>
          <w:b/>
          <w:bCs/>
          <w:color w:val="000000"/>
          <w:sz w:val="24"/>
          <w:szCs w:val="24"/>
          <w:highlight w:val="yellow"/>
          <w:u w:val="single"/>
          <w:lang w:val="en-US" w:eastAsia="zh-CN"/>
        </w:rPr>
        <w:t>级以上（含</w:t>
      </w:r>
      <w:r>
        <w:rPr>
          <w:rFonts w:hint="eastAsia" w:ascii="宋体" w:hAnsi="宋体" w:eastAsia="宋体" w:cs="宋体"/>
          <w:b/>
          <w:bCs/>
          <w:color w:val="000000"/>
          <w:sz w:val="21"/>
          <w:szCs w:val="21"/>
          <w:highlight w:val="yellow"/>
          <w:u w:val="single"/>
          <w:lang w:val="en-US" w:eastAsia="zh-CN"/>
        </w:rPr>
        <w:t>叁</w:t>
      </w:r>
      <w:r>
        <w:rPr>
          <w:rFonts w:hint="eastAsia" w:ascii="宋体" w:hAnsi="宋体" w:eastAsia="宋体" w:cs="宋体"/>
          <w:b/>
          <w:bCs/>
          <w:color w:val="000000"/>
          <w:sz w:val="24"/>
          <w:szCs w:val="24"/>
          <w:highlight w:val="yellow"/>
          <w:u w:val="single"/>
          <w:lang w:val="en-US" w:eastAsia="zh-CN"/>
        </w:rPr>
        <w:t>级）</w:t>
      </w:r>
      <w:r>
        <w:rPr>
          <w:rFonts w:hint="eastAsia" w:ascii="宋体" w:hAnsi="宋体" w:eastAsia="宋体" w:cs="宋体"/>
          <w:snapToGrid w:val="0"/>
          <w:kern w:val="0"/>
          <w:sz w:val="24"/>
          <w:szCs w:val="24"/>
          <w:highlight w:val="yellow"/>
        </w:rPr>
        <w:t>。</w:t>
      </w:r>
      <w:bookmarkStart w:id="269" w:name="_GoBack"/>
      <w:bookmarkEnd w:id="269"/>
    </w:p>
    <w:p w14:paraId="6FAB2E91">
      <w:pPr>
        <w:pStyle w:val="30"/>
        <w:keepNext w:val="0"/>
        <w:keepLines w:val="0"/>
        <w:pageBreakBefore w:val="0"/>
        <w:widowControl w:val="0"/>
        <w:kinsoku/>
        <w:wordWrap w:val="0"/>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.3 </w:t>
      </w:r>
      <w:r>
        <w:rPr>
          <w:rFonts w:hint="eastAsia" w:ascii="宋体" w:hAnsi="宋体" w:eastAsia="宋体" w:cs="宋体"/>
          <w:color w:val="auto"/>
          <w:sz w:val="24"/>
          <w:szCs w:val="24"/>
          <w:highlight w:val="none"/>
        </w:rPr>
        <w:t>相关人员要求</w:t>
      </w:r>
    </w:p>
    <w:p w14:paraId="1DC48070">
      <w:pPr>
        <w:keepNext w:val="0"/>
        <w:keepLines w:val="0"/>
        <w:pageBreakBefore w:val="0"/>
        <w:kinsoku/>
        <w:wordWrap/>
        <w:overflowPunct/>
        <w:topLinePunct w:val="0"/>
        <w:autoSpaceDE/>
        <w:autoSpaceDN/>
        <w:bidi w:val="0"/>
        <w:adjustRightInd/>
        <w:snapToGrid w:val="0"/>
        <w:spacing w:line="360" w:lineRule="auto"/>
        <w:ind w:left="105" w:leftChars="50" w:firstLine="482" w:firstLineChars="200"/>
        <w:textAlignment w:val="auto"/>
        <w:rPr>
          <w:rFonts w:hint="eastAsia" w:ascii="宋体" w:hAnsi="宋体" w:eastAsia="宋体" w:cs="宋体"/>
          <w:color w:val="auto"/>
          <w:sz w:val="24"/>
          <w:szCs w:val="24"/>
          <w:highlight w:val="none"/>
          <w:lang w:val="zh-CN"/>
        </w:rPr>
      </w:pPr>
      <w:r>
        <w:rPr>
          <w:rFonts w:hint="eastAsia"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.3.1 </w:t>
      </w:r>
      <w:r>
        <w:rPr>
          <w:rFonts w:hint="eastAsia" w:ascii="宋体" w:hAnsi="宋体" w:eastAsia="宋体" w:cs="宋体"/>
          <w:color w:val="auto"/>
          <w:sz w:val="24"/>
          <w:szCs w:val="24"/>
          <w:highlight w:val="none"/>
          <w:lang w:val="zh-CN"/>
        </w:rPr>
        <w:t>拟派项目经理为具有</w:t>
      </w:r>
      <w:r>
        <w:rPr>
          <w:rFonts w:hint="eastAsia" w:ascii="宋体" w:hAnsi="宋体" w:eastAsia="宋体" w:cs="宋体"/>
          <w:b/>
          <w:bCs/>
          <w:snapToGrid w:val="0"/>
          <w:color w:val="000000"/>
          <w:kern w:val="0"/>
          <w:sz w:val="24"/>
          <w:szCs w:val="24"/>
          <w:highlight w:val="none"/>
          <w:u w:val="single"/>
        </w:rPr>
        <w:t>市政公用工程</w:t>
      </w:r>
      <w:r>
        <w:rPr>
          <w:rFonts w:hint="eastAsia" w:hAnsi="宋体" w:eastAsia="宋体" w:cs="宋体"/>
          <w:b/>
          <w:bCs/>
          <w:snapToGrid w:val="0"/>
          <w:color w:val="000000"/>
          <w:kern w:val="0"/>
          <w:sz w:val="24"/>
          <w:szCs w:val="24"/>
          <w:highlight w:val="none"/>
          <w:u w:val="single"/>
          <w:lang w:val="en-US" w:eastAsia="zh-CN"/>
        </w:rPr>
        <w:t>或公路工程</w:t>
      </w:r>
      <w:r>
        <w:rPr>
          <w:rFonts w:hint="eastAsia" w:ascii="宋体" w:hAnsi="宋体" w:eastAsia="宋体" w:cs="宋体"/>
          <w:color w:val="auto"/>
          <w:sz w:val="24"/>
          <w:szCs w:val="24"/>
          <w:highlight w:val="none"/>
          <w:lang w:val="zh-CN"/>
        </w:rPr>
        <w:t>专业一级注册建造师，应持有住建部门印发的在使用有效期内的有效电子注册证书。同时均须具备有效安全生产考核合格证明（B证，安全生产考核合格证书或“建筑施工企业管理人员安全生产考核信息系统”考核合格信息截图），且未担任其他在施（包括已中标未开工、已开工未竣工）建设工程项目的项目经理。</w:t>
      </w:r>
    </w:p>
    <w:p w14:paraId="2C6718F1">
      <w:pPr>
        <w:pStyle w:val="30"/>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p w14:paraId="08E5C607">
      <w:pPr>
        <w:pStyle w:val="30"/>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拟派项目技术负责人须具备</w:t>
      </w:r>
      <w:r>
        <w:rPr>
          <w:rFonts w:hint="eastAsia" w:ascii="宋体" w:hAnsi="宋体" w:eastAsia="宋体" w:cs="宋体"/>
          <w:color w:val="auto"/>
          <w:sz w:val="24"/>
          <w:szCs w:val="24"/>
          <w:highlight w:val="none"/>
          <w:u w:val="single"/>
        </w:rPr>
        <w:t>市政公用工程或</w:t>
      </w:r>
      <w:r>
        <w:rPr>
          <w:rFonts w:hint="eastAsia" w:ascii="宋体" w:hAnsi="宋体" w:cs="宋体"/>
          <w:color w:val="auto"/>
          <w:sz w:val="24"/>
          <w:szCs w:val="24"/>
          <w:highlight w:val="none"/>
          <w:u w:val="single"/>
          <w:lang w:val="en-US" w:eastAsia="zh-CN"/>
        </w:rPr>
        <w:t>路桥</w:t>
      </w:r>
      <w:r>
        <w:rPr>
          <w:rFonts w:hint="eastAsia" w:ascii="宋体" w:hAnsi="宋体" w:eastAsia="宋体" w:cs="宋体"/>
          <w:color w:val="auto"/>
          <w:sz w:val="24"/>
          <w:szCs w:val="24"/>
          <w:highlight w:val="none"/>
          <w:u w:val="single"/>
        </w:rPr>
        <w:t>工程</w:t>
      </w:r>
      <w:r>
        <w:rPr>
          <w:rFonts w:hint="eastAsia" w:ascii="宋体" w:hAnsi="宋体" w:eastAsia="宋体" w:cs="宋体"/>
          <w:color w:val="auto"/>
          <w:sz w:val="24"/>
          <w:szCs w:val="24"/>
          <w:highlight w:val="none"/>
        </w:rPr>
        <w:t>专业类</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级或以上技术职称。</w:t>
      </w:r>
    </w:p>
    <w:p w14:paraId="47566BF8">
      <w:pPr>
        <w:pStyle w:val="30"/>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 xml:space="preserve">.3.3 </w:t>
      </w:r>
      <w:r>
        <w:rPr>
          <w:rFonts w:hint="eastAsia" w:ascii="宋体" w:hAnsi="宋体" w:eastAsia="宋体" w:cs="宋体"/>
          <w:color w:val="auto"/>
          <w:sz w:val="24"/>
          <w:szCs w:val="24"/>
          <w:highlight w:val="none"/>
        </w:rPr>
        <w:t>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人。</w:t>
      </w:r>
    </w:p>
    <w:p w14:paraId="1367C325">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 w:val="0"/>
          <w:bCs w:val="0"/>
          <w:color w:val="auto"/>
          <w:spacing w:val="0"/>
          <w:sz w:val="24"/>
          <w:szCs w:val="24"/>
          <w:highlight w:val="none"/>
        </w:rPr>
      </w:pPr>
    </w:p>
    <w:p w14:paraId="3E564E2A">
      <w:pPr>
        <w:keepNext w:val="0"/>
        <w:keepLines w:val="0"/>
        <w:pageBreakBefore w:val="0"/>
        <w:wordWrap w:val="0"/>
        <w:overflowPunct/>
        <w:topLinePunct w:val="0"/>
        <w:bidi w:val="0"/>
        <w:spacing w:before="78"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禁止投标条款</w:t>
      </w:r>
    </w:p>
    <w:p w14:paraId="3A8C3AAA">
      <w:pPr>
        <w:keepNext w:val="0"/>
        <w:keepLines w:val="0"/>
        <w:pageBreakBefore w:val="0"/>
        <w:wordWrap w:val="0"/>
        <w:overflowPunct/>
        <w:topLinePunct w:val="0"/>
        <w:bidi w:val="0"/>
        <w:spacing w:before="153"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2.4.1  </w:t>
      </w:r>
      <w:r>
        <w:rPr>
          <w:rFonts w:hint="eastAsia" w:ascii="宋体" w:hAnsi="宋体" w:eastAsia="宋体" w:cs="宋体"/>
          <w:color w:val="auto"/>
          <w:spacing w:val="0"/>
          <w:sz w:val="24"/>
          <w:szCs w:val="24"/>
          <w:highlight w:val="none"/>
        </w:rPr>
        <w:t>投标人不得存在下列情形之一：</w:t>
      </w:r>
    </w:p>
    <w:p w14:paraId="719B3EF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（1）为招标人不具有独立法人资格的附属机构（单位）；</w:t>
      </w:r>
    </w:p>
    <w:p w14:paraId="7412C72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（2）为本招标项目前期准备提供设计或咨询服务的；</w:t>
      </w:r>
    </w:p>
    <w:p w14:paraId="6E29F103">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（3）与本招标项目的其他投标人为同一个单位负责人；</w:t>
      </w:r>
    </w:p>
    <w:p w14:paraId="1E47D27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（4）与本招标项目的其他投标人存在控股、管理关系；</w:t>
      </w:r>
    </w:p>
    <w:p w14:paraId="6CECC839">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（5）为本招标项目的监理人；</w:t>
      </w:r>
    </w:p>
    <w:p w14:paraId="4795CBC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（6）为本招标项目的代建人；</w:t>
      </w:r>
    </w:p>
    <w:p w14:paraId="1A97DCE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（7）为本招标项目的招标代理机构；</w:t>
      </w:r>
    </w:p>
    <w:p w14:paraId="56058DDD">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（8）与本招标项目的监理人或代建人或招标代理机构同为一个 法定代表人；</w:t>
      </w:r>
    </w:p>
    <w:p w14:paraId="60FD7A1D">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（9）与本招标项目的监理人或代建人或招标代理机构存在控股或参股关系；</w:t>
      </w:r>
    </w:p>
    <w:p w14:paraId="5A71E24A">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（10）与本招标项目的监理人或代建人或招标代理机构存在相互任职或工作关系；</w:t>
      </w:r>
    </w:p>
    <w:p w14:paraId="66C2467D">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（11）被依法暂停或者取消投标资格；</w:t>
      </w:r>
    </w:p>
    <w:p w14:paraId="42610FD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（12）被责令停产停业、暂扣或者吊销许可证、暂扣或者吊销执照；</w:t>
      </w:r>
    </w:p>
    <w:p w14:paraId="7F58BCE6">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（13）进入清算程序，或被宣告破产，或其他丧失履约能力的情形；</w:t>
      </w:r>
    </w:p>
    <w:p w14:paraId="352E1B2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（14）在最近三年内发生重大工程质量或安全问题（以相关行业主管部门的行政处罚决定或司法机关出具的有关法律文书为准）；</w:t>
      </w:r>
    </w:p>
    <w:p w14:paraId="5BD97EEA">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（15）被“信用中国 ”网站（https://www.creditchina.gov.cn）发布的《法人和非法人组织公共信用信息报告》列为严重失信主体名单的。</w:t>
      </w:r>
    </w:p>
    <w:p w14:paraId="58D8A3B4">
      <w:pPr>
        <w:keepNext w:val="0"/>
        <w:keepLines w:val="0"/>
        <w:pageBreakBefore w:val="0"/>
        <w:wordWrap w:val="0"/>
        <w:overflowPunct/>
        <w:topLinePunct w:val="0"/>
        <w:bidi w:val="0"/>
        <w:spacing w:before="155" w:line="219"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2.4.2  </w:t>
      </w:r>
      <w:r>
        <w:rPr>
          <w:rFonts w:hint="eastAsia" w:ascii="宋体" w:hAnsi="宋体" w:eastAsia="宋体" w:cs="宋体"/>
          <w:color w:val="auto"/>
          <w:spacing w:val="0"/>
          <w:sz w:val="24"/>
          <w:szCs w:val="24"/>
          <w:highlight w:val="none"/>
        </w:rPr>
        <w:t>招标人拒绝以下名单中的单位参加本次投标：</w:t>
      </w:r>
    </w:p>
    <w:tbl>
      <w:tblPr>
        <w:tblStyle w:val="1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72"/>
        <w:gridCol w:w="5338"/>
      </w:tblGrid>
      <w:tr w14:paraId="4E80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8" w:type="dxa"/>
            <w:vAlign w:val="center"/>
          </w:tcPr>
          <w:p w14:paraId="3696CD3B">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772" w:type="dxa"/>
            <w:vAlign w:val="center"/>
          </w:tcPr>
          <w:p w14:paraId="628060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5338" w:type="dxa"/>
            <w:vAlign w:val="center"/>
          </w:tcPr>
          <w:p w14:paraId="5AAAF9E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4530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8" w:type="dxa"/>
            <w:vAlign w:val="center"/>
          </w:tcPr>
          <w:p w14:paraId="23409B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772" w:type="dxa"/>
            <w:vAlign w:val="center"/>
          </w:tcPr>
          <w:p w14:paraId="245CE3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韶关市市政管理中心</w:t>
            </w:r>
          </w:p>
        </w:tc>
        <w:tc>
          <w:tcPr>
            <w:tcW w:w="5338" w:type="dxa"/>
            <w:vAlign w:val="center"/>
          </w:tcPr>
          <w:p w14:paraId="00EC36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2F0E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128F6A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772" w:type="dxa"/>
            <w:vAlign w:val="center"/>
          </w:tcPr>
          <w:p w14:paraId="2FCCE6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韶关成果项目管理有限公司</w:t>
            </w:r>
          </w:p>
        </w:tc>
        <w:tc>
          <w:tcPr>
            <w:tcW w:w="5338" w:type="dxa"/>
            <w:vAlign w:val="center"/>
          </w:tcPr>
          <w:p w14:paraId="719151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r w14:paraId="5F2A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7A0101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3</w:t>
            </w:r>
          </w:p>
        </w:tc>
        <w:tc>
          <w:tcPr>
            <w:tcW w:w="3772" w:type="dxa"/>
            <w:vAlign w:val="center"/>
          </w:tcPr>
          <w:p w14:paraId="74BCB97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中都工程设计有限公司</w:t>
            </w:r>
          </w:p>
        </w:tc>
        <w:tc>
          <w:tcPr>
            <w:tcW w:w="5338" w:type="dxa"/>
            <w:vAlign w:val="center"/>
          </w:tcPr>
          <w:p w14:paraId="36FB3F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为本招标项目的施工图设计单位</w:t>
            </w:r>
          </w:p>
        </w:tc>
      </w:tr>
      <w:tr w14:paraId="34BC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727D1F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4</w:t>
            </w:r>
          </w:p>
        </w:tc>
        <w:tc>
          <w:tcPr>
            <w:tcW w:w="3772" w:type="dxa"/>
            <w:vAlign w:val="center"/>
          </w:tcPr>
          <w:p w14:paraId="32BFD6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广东建科施工图审查有限公司</w:t>
            </w:r>
          </w:p>
        </w:tc>
        <w:tc>
          <w:tcPr>
            <w:tcW w:w="5338" w:type="dxa"/>
            <w:vAlign w:val="center"/>
          </w:tcPr>
          <w:p w14:paraId="195493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为本招标项目的施工图审查单位</w:t>
            </w:r>
          </w:p>
        </w:tc>
      </w:tr>
      <w:tr w14:paraId="5F37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88" w:type="dxa"/>
            <w:vAlign w:val="center"/>
          </w:tcPr>
          <w:p w14:paraId="1BF81CE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5</w:t>
            </w:r>
          </w:p>
        </w:tc>
        <w:tc>
          <w:tcPr>
            <w:tcW w:w="3772" w:type="dxa"/>
            <w:vAlign w:val="center"/>
          </w:tcPr>
          <w:p w14:paraId="31AD17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广东人信工程咨询有限公司</w:t>
            </w:r>
          </w:p>
        </w:tc>
        <w:tc>
          <w:tcPr>
            <w:tcW w:w="5338" w:type="dxa"/>
            <w:vAlign w:val="center"/>
          </w:tcPr>
          <w:p w14:paraId="1B6AD5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为本招标项目的造价咨询单位</w:t>
            </w:r>
          </w:p>
        </w:tc>
      </w:tr>
      <w:tr w14:paraId="722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8" w:type="dxa"/>
            <w:vAlign w:val="center"/>
          </w:tcPr>
          <w:p w14:paraId="47AE87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6</w:t>
            </w:r>
          </w:p>
        </w:tc>
        <w:tc>
          <w:tcPr>
            <w:tcW w:w="3772" w:type="dxa"/>
            <w:vAlign w:val="center"/>
          </w:tcPr>
          <w:p w14:paraId="76F90E4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深圳华粤城市建设工程设计有限公司</w:t>
            </w:r>
          </w:p>
        </w:tc>
        <w:tc>
          <w:tcPr>
            <w:tcW w:w="5338" w:type="dxa"/>
            <w:vAlign w:val="center"/>
          </w:tcPr>
          <w:p w14:paraId="0AB453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为本招标项目的监理单位</w:t>
            </w:r>
          </w:p>
        </w:tc>
      </w:tr>
      <w:tr w14:paraId="1207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8" w:type="dxa"/>
            <w:vAlign w:val="center"/>
          </w:tcPr>
          <w:p w14:paraId="39E8D5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7</w:t>
            </w:r>
          </w:p>
        </w:tc>
        <w:tc>
          <w:tcPr>
            <w:tcW w:w="3772" w:type="dxa"/>
            <w:vAlign w:val="center"/>
          </w:tcPr>
          <w:p w14:paraId="7AF2129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广州市华大金力工程技术检测有限公司</w:t>
            </w:r>
          </w:p>
        </w:tc>
        <w:tc>
          <w:tcPr>
            <w:tcW w:w="5338" w:type="dxa"/>
            <w:vAlign w:val="center"/>
          </w:tcPr>
          <w:p w14:paraId="736303D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为本招标项目的检测单位</w:t>
            </w:r>
          </w:p>
        </w:tc>
      </w:tr>
    </w:tbl>
    <w:p w14:paraId="725C8E44">
      <w:pPr>
        <w:keepNext w:val="0"/>
        <w:keepLines w:val="0"/>
        <w:pageBreakBefore w:val="0"/>
        <w:wordWrap w:val="0"/>
        <w:overflowPunct/>
        <w:topLinePunct w:val="0"/>
        <w:bidi w:val="0"/>
        <w:spacing w:line="93" w:lineRule="auto"/>
        <w:rPr>
          <w:rFonts w:hint="eastAsia" w:ascii="宋体" w:hAnsi="宋体" w:eastAsia="宋体" w:cs="宋体"/>
          <w:color w:val="auto"/>
          <w:spacing w:val="0"/>
          <w:sz w:val="2"/>
          <w:highlight w:val="none"/>
        </w:rPr>
      </w:pPr>
    </w:p>
    <w:p w14:paraId="76A14150">
      <w:pPr>
        <w:keepNext w:val="0"/>
        <w:keepLines w:val="0"/>
        <w:pageBreakBefore w:val="0"/>
        <w:wordWrap w:val="0"/>
        <w:overflowPunct/>
        <w:topLinePunct w:val="0"/>
        <w:bidi w:val="0"/>
        <w:spacing w:before="153" w:line="221"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其他要求</w:t>
      </w:r>
    </w:p>
    <w:p w14:paraId="11BBDBCC">
      <w:pPr>
        <w:keepNext w:val="0"/>
        <w:keepLines w:val="0"/>
        <w:pageBreakBefore w:val="0"/>
        <w:wordWrap w:val="0"/>
        <w:overflowPunct/>
        <w:topLinePunct w:val="0"/>
        <w:bidi w:val="0"/>
        <w:spacing w:before="150" w:line="334" w:lineRule="auto"/>
        <w:ind w:left="232" w:right="99" w:firstLine="48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p w14:paraId="15D1F416">
      <w:pPr>
        <w:keepNext w:val="0"/>
        <w:keepLines w:val="0"/>
        <w:pageBreakBefore w:val="0"/>
        <w:wordWrap w:val="0"/>
        <w:overflowPunct/>
        <w:topLinePunct w:val="0"/>
        <w:bidi w:val="0"/>
        <w:spacing w:before="79" w:line="220" w:lineRule="auto"/>
        <w:ind w:left="715"/>
        <w:outlineLvl w:val="2"/>
        <w:rPr>
          <w:rFonts w:hint="eastAsia" w:ascii="宋体" w:hAnsi="宋体" w:eastAsia="宋体" w:cs="宋体"/>
          <w:color w:val="auto"/>
          <w:spacing w:val="0"/>
          <w:sz w:val="24"/>
          <w:szCs w:val="24"/>
          <w:highlight w:val="none"/>
        </w:rPr>
      </w:pPr>
      <w:bookmarkStart w:id="19" w:name="_Toc23243"/>
      <w:bookmarkStart w:id="20" w:name="_Toc9027"/>
      <w:r>
        <w:rPr>
          <w:rFonts w:hint="eastAsia" w:ascii="宋体" w:hAnsi="宋体" w:eastAsia="宋体" w:cs="宋体"/>
          <w:b/>
          <w:bCs/>
          <w:color w:val="auto"/>
          <w:spacing w:val="0"/>
          <w:sz w:val="24"/>
          <w:szCs w:val="24"/>
          <w:highlight w:val="none"/>
        </w:rPr>
        <w:t>3．招标文件的获取</w:t>
      </w:r>
      <w:bookmarkEnd w:id="19"/>
      <w:bookmarkEnd w:id="20"/>
    </w:p>
    <w:p w14:paraId="062171A6">
      <w:pPr>
        <w:keepNext w:val="0"/>
        <w:keepLines w:val="0"/>
        <w:pageBreakBefore w:val="0"/>
        <w:wordWrap w:val="0"/>
        <w:overflowPunct/>
        <w:topLinePunct w:val="0"/>
        <w:bidi w:val="0"/>
        <w:spacing w:before="182" w:line="219" w:lineRule="auto"/>
        <w:ind w:left="70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本次招标实行电子投标。</w:t>
      </w:r>
    </w:p>
    <w:p w14:paraId="1D01F43D">
      <w:pPr>
        <w:keepNext w:val="0"/>
        <w:keepLines w:val="0"/>
        <w:pageBreakBefore w:val="0"/>
        <w:wordWrap w:val="0"/>
        <w:overflowPunct/>
        <w:topLinePunct w:val="0"/>
        <w:bidi w:val="0"/>
        <w:spacing w:before="178" w:line="355" w:lineRule="auto"/>
        <w:ind w:left="0" w:leftChars="0" w:firstLine="481"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2202A6B7">
      <w:pPr>
        <w:keepNext w:val="0"/>
        <w:keepLines w:val="0"/>
        <w:pageBreakBefore w:val="0"/>
        <w:wordWrap w:val="0"/>
        <w:overflowPunct/>
        <w:topLinePunct w:val="0"/>
        <w:bidi w:val="0"/>
        <w:spacing w:before="142" w:line="330" w:lineRule="auto"/>
        <w:ind w:left="11" w:right="105" w:firstLine="473"/>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3.2  </w:t>
      </w:r>
      <w:r>
        <w:rPr>
          <w:rFonts w:hint="eastAsia" w:ascii="宋体" w:hAnsi="宋体" w:eastAsia="宋体" w:cs="宋体"/>
          <w:color w:val="auto"/>
          <w:spacing w:val="0"/>
          <w:sz w:val="24"/>
          <w:szCs w:val="24"/>
          <w:highlight w:val="none"/>
        </w:rPr>
        <w:t>只有申领了数字证书（CA）、“粤企签 ”或 GDCA/SZCA/NETCA 等符合法律法规规定的电子印章，并在交易系统中完成企业信息数据入库的投标人，方可使用建设工程交易系统进行招标文件及附件获取和电子投标。</w:t>
      </w:r>
    </w:p>
    <w:p w14:paraId="4D07D799">
      <w:pPr>
        <w:keepNext w:val="0"/>
        <w:keepLines w:val="0"/>
        <w:pageBreakBefore w:val="0"/>
        <w:wordWrap w:val="0"/>
        <w:overflowPunct/>
        <w:topLinePunct w:val="0"/>
        <w:bidi w:val="0"/>
        <w:spacing w:before="32" w:line="332" w:lineRule="auto"/>
        <w:ind w:left="10" w:right="90"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首次在韶关市参与建设工程招标投标活动的投标人，必须在平台系统上传企业相关资料办理企业入库事宜。投标人可登录全国公共资源交易平台（广东省 ·韶关市）（</w:t>
      </w: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"https://ygp.gdzwfw.gov.cn/ggzy-portal/#/440200/index" </w:instrText>
      </w:r>
      <w:r>
        <w:rPr>
          <w:rFonts w:hint="eastAsia" w:ascii="宋体" w:hAnsi="宋体" w:eastAsia="宋体" w:cs="宋体"/>
          <w:color w:val="auto"/>
          <w:spacing w:val="0"/>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）办理企业入库、数字证书及电子印章事宜，具体请在平台查阅相应的交易指引。</w:t>
      </w:r>
    </w:p>
    <w:p w14:paraId="7D8C8C64">
      <w:pPr>
        <w:keepNext w:val="0"/>
        <w:keepLines w:val="0"/>
        <w:pageBreakBefore w:val="0"/>
        <w:wordWrap w:val="0"/>
        <w:overflowPunct/>
        <w:topLinePunct w:val="0"/>
        <w:bidi w:val="0"/>
        <w:spacing w:before="37" w:line="329" w:lineRule="auto"/>
        <w:ind w:left="9" w:right="105"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已入库企业有关信息（如单位名称、基本账号、资质、人员等）发生变化的，须及时在交易系统进行相应变更。投标人未及时变更信息而造成的损失和后果，由投标人自行承担。</w:t>
      </w:r>
    </w:p>
    <w:p w14:paraId="3E500E91">
      <w:pPr>
        <w:keepNext w:val="0"/>
        <w:keepLines w:val="0"/>
        <w:pageBreakBefore w:val="0"/>
        <w:wordWrap w:val="0"/>
        <w:overflowPunct/>
        <w:topLinePunct w:val="0"/>
        <w:bidi w:val="0"/>
        <w:spacing w:before="33" w:line="335" w:lineRule="auto"/>
        <w:ind w:left="10" w:right="105" w:firstLine="508"/>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25D91D7D">
      <w:pPr>
        <w:keepNext w:val="0"/>
        <w:keepLines w:val="0"/>
        <w:pageBreakBefore w:val="0"/>
        <w:wordWrap w:val="0"/>
        <w:overflowPunct/>
        <w:topLinePunct w:val="0"/>
        <w:bidi w:val="0"/>
        <w:spacing w:before="33" w:line="221"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投标保证</w:t>
      </w:r>
    </w:p>
    <w:p w14:paraId="28B6DFAD">
      <w:pPr>
        <w:keepNext w:val="0"/>
        <w:keepLines w:val="0"/>
        <w:pageBreakBefore w:val="0"/>
        <w:wordWrap w:val="0"/>
        <w:overflowPunct/>
        <w:topLinePunct w:val="0"/>
        <w:bidi w:val="0"/>
        <w:spacing w:before="152" w:line="280" w:lineRule="auto"/>
        <w:ind w:left="8" w:right="105"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3.3.1  </w:t>
      </w:r>
      <w:r>
        <w:rPr>
          <w:rFonts w:hint="eastAsia" w:ascii="宋体" w:hAnsi="宋体" w:eastAsia="宋体" w:cs="宋体"/>
          <w:color w:val="auto"/>
          <w:spacing w:val="0"/>
          <w:sz w:val="24"/>
          <w:szCs w:val="24"/>
          <w:highlight w:val="none"/>
        </w:rPr>
        <w:t>投标人须缴纳金额为</w:t>
      </w:r>
      <w:r>
        <w:rPr>
          <w:rFonts w:hint="eastAsia" w:ascii="宋体" w:hAnsi="宋体" w:eastAsia="宋体" w:cs="宋体"/>
          <w:color w:val="auto"/>
          <w:spacing w:val="0"/>
          <w:sz w:val="24"/>
          <w:szCs w:val="24"/>
          <w:highlight w:val="none"/>
          <w:u w:val="single"/>
          <w:lang w:val="en-US" w:eastAsia="zh-CN"/>
        </w:rPr>
        <w:t>30000.00</w:t>
      </w:r>
      <w:r>
        <w:rPr>
          <w:rFonts w:hint="eastAsia" w:ascii="宋体" w:hAnsi="宋体" w:eastAsia="宋体" w:cs="宋体"/>
          <w:color w:val="auto"/>
          <w:spacing w:val="0"/>
          <w:sz w:val="24"/>
          <w:szCs w:val="24"/>
          <w:highlight w:val="none"/>
          <w:u w:val="none"/>
          <w:lang w:val="en-US" w:eastAsia="zh-CN"/>
        </w:rPr>
        <w:t>元</w:t>
      </w:r>
      <w:r>
        <w:rPr>
          <w:rFonts w:hint="eastAsia" w:ascii="宋体" w:hAnsi="宋体" w:eastAsia="宋体" w:cs="宋体"/>
          <w:color w:val="auto"/>
          <w:spacing w:val="0"/>
          <w:sz w:val="24"/>
          <w:szCs w:val="24"/>
          <w:highlight w:val="none"/>
        </w:rPr>
        <w:t>人民币的投标保证。联合体投标的，由联合体牵头人缴纳。</w:t>
      </w:r>
    </w:p>
    <w:p w14:paraId="45B9E994">
      <w:pPr>
        <w:keepNext w:val="0"/>
        <w:keepLines w:val="0"/>
        <w:pageBreakBefore w:val="0"/>
        <w:wordWrap w:val="0"/>
        <w:overflowPunct/>
        <w:topLinePunct w:val="0"/>
        <w:bidi w:val="0"/>
        <w:spacing w:before="35" w:line="325" w:lineRule="auto"/>
        <w:ind w:left="12" w:right="108" w:firstLine="471"/>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3.3.2  </w:t>
      </w:r>
      <w:r>
        <w:rPr>
          <w:rFonts w:hint="eastAsia" w:ascii="宋体" w:hAnsi="宋体" w:eastAsia="宋体" w:cs="宋体"/>
          <w:color w:val="auto"/>
          <w:spacing w:val="0"/>
          <w:sz w:val="24"/>
          <w:szCs w:val="24"/>
          <w:highlight w:val="none"/>
        </w:rPr>
        <w:t>投标保证的形式包括投标保证金、投标保证担保、投标保证保险三种，由投标人自主选择。</w:t>
      </w:r>
    </w:p>
    <w:p w14:paraId="025DD3A8">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bookmarkStart w:id="21" w:name="bookmark117"/>
      <w:bookmarkEnd w:id="21"/>
      <w:r>
        <w:rPr>
          <w:rFonts w:hint="eastAsia" w:ascii="宋体" w:hAnsi="宋体" w:eastAsia="宋体" w:cs="宋体"/>
          <w:color w:val="auto"/>
          <w:spacing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43708345">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3C81C690">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"https://ygp.gdzwfw.gov.cn/ggzy-portal/#/440200/index"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），在【服务指南】栏目中下载《建设工程网上交易系统保险保证金缴纳操作指南》，了解网上投保具体操作流程。逾期投保的，其投标无效。</w:t>
      </w:r>
    </w:p>
    <w:p w14:paraId="1E1D4FB8">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57AA98E3">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 xml:space="preserve"> 若投标人因自身原因未能正确完成获取招标文件、电子投标、缴纳投标保证的，其投标无效。</w:t>
      </w:r>
    </w:p>
    <w:p w14:paraId="4DEB049B">
      <w:pPr>
        <w:keepNext w:val="0"/>
        <w:keepLines w:val="0"/>
        <w:pageBreakBefore w:val="0"/>
        <w:wordWrap w:val="0"/>
        <w:overflowPunct/>
        <w:topLinePunct w:val="0"/>
        <w:bidi w:val="0"/>
        <w:spacing w:before="79" w:line="221" w:lineRule="auto"/>
        <w:ind w:left="487"/>
        <w:outlineLvl w:val="2"/>
        <w:rPr>
          <w:rFonts w:hint="eastAsia" w:ascii="宋体" w:hAnsi="宋体" w:eastAsia="宋体" w:cs="宋体"/>
          <w:color w:val="auto"/>
          <w:spacing w:val="0"/>
          <w:sz w:val="24"/>
          <w:szCs w:val="24"/>
          <w:highlight w:val="none"/>
        </w:rPr>
      </w:pPr>
      <w:bookmarkStart w:id="22" w:name="bookmark78"/>
      <w:bookmarkEnd w:id="22"/>
      <w:bookmarkStart w:id="23" w:name="bookmark64"/>
      <w:bookmarkEnd w:id="23"/>
      <w:bookmarkStart w:id="24" w:name="_Toc12428"/>
      <w:bookmarkStart w:id="25" w:name="_Toc15498"/>
      <w:r>
        <w:rPr>
          <w:rFonts w:hint="eastAsia" w:ascii="宋体" w:hAnsi="宋体" w:eastAsia="宋体" w:cs="宋体"/>
          <w:b/>
          <w:bCs/>
          <w:color w:val="auto"/>
          <w:spacing w:val="0"/>
          <w:sz w:val="24"/>
          <w:szCs w:val="24"/>
          <w:highlight w:val="none"/>
        </w:rPr>
        <w:t>4</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．工期要求</w:t>
      </w:r>
      <w:bookmarkEnd w:id="24"/>
      <w:bookmarkEnd w:id="25"/>
    </w:p>
    <w:p w14:paraId="03461DC3">
      <w:pPr>
        <w:keepNext w:val="0"/>
        <w:keepLines w:val="0"/>
        <w:pageBreakBefore w:val="0"/>
        <w:wordWrap w:val="0"/>
        <w:overflowPunct/>
        <w:topLinePunct w:val="0"/>
        <w:bidi w:val="0"/>
        <w:spacing w:before="153" w:line="324" w:lineRule="auto"/>
        <w:ind w:left="30" w:right="65" w:firstLine="4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本招标项目招标工期为</w:t>
      </w:r>
      <w:r>
        <w:rPr>
          <w:rFonts w:hint="eastAsia" w:ascii="宋体" w:hAnsi="宋体" w:eastAsia="宋体" w:cs="宋体"/>
          <w:color w:val="auto"/>
          <w:spacing w:val="0"/>
          <w:sz w:val="24"/>
          <w:szCs w:val="24"/>
          <w:highlight w:val="none"/>
          <w:u w:val="single"/>
          <w:lang w:val="en-US" w:eastAsia="zh-CN"/>
        </w:rPr>
        <w:t>180个日历天</w:t>
      </w:r>
      <w:r>
        <w:rPr>
          <w:rFonts w:hint="eastAsia" w:ascii="宋体" w:hAnsi="宋体" w:eastAsia="宋体" w:cs="宋体"/>
          <w:color w:val="auto"/>
          <w:spacing w:val="0"/>
          <w:sz w:val="24"/>
          <w:szCs w:val="24"/>
          <w:highlight w:val="none"/>
        </w:rPr>
        <w:t>，中标人必须在招标工期内完成招标范围内的全部内容。</w:t>
      </w:r>
    </w:p>
    <w:p w14:paraId="474BA81B">
      <w:pPr>
        <w:keepNext w:val="0"/>
        <w:keepLines w:val="0"/>
        <w:pageBreakBefore w:val="0"/>
        <w:wordWrap w:val="0"/>
        <w:overflowPunct/>
        <w:topLinePunct w:val="0"/>
        <w:bidi w:val="0"/>
        <w:spacing w:before="78" w:line="219" w:lineRule="auto"/>
        <w:ind w:left="488"/>
        <w:outlineLvl w:val="2"/>
        <w:rPr>
          <w:rFonts w:hint="eastAsia" w:ascii="宋体" w:hAnsi="宋体" w:eastAsia="宋体" w:cs="宋体"/>
          <w:color w:val="auto"/>
          <w:spacing w:val="0"/>
          <w:sz w:val="24"/>
          <w:szCs w:val="24"/>
          <w:highlight w:val="none"/>
        </w:rPr>
      </w:pPr>
      <w:bookmarkStart w:id="26" w:name="_Toc4154"/>
      <w:bookmarkStart w:id="27" w:name="_Toc24366"/>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．质量标准和材料、机械要求</w:t>
      </w:r>
      <w:bookmarkEnd w:id="26"/>
      <w:bookmarkEnd w:id="27"/>
    </w:p>
    <w:p w14:paraId="1002D977">
      <w:pPr>
        <w:keepNext w:val="0"/>
        <w:keepLines w:val="0"/>
        <w:pageBreakBefore w:val="0"/>
        <w:wordWrap w:val="0"/>
        <w:overflowPunct/>
        <w:topLinePunct w:val="0"/>
        <w:bidi w:val="0"/>
        <w:spacing w:before="154" w:line="279" w:lineRule="auto"/>
        <w:ind w:left="11" w:right="9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5.1  </w:t>
      </w:r>
      <w:r>
        <w:rPr>
          <w:rFonts w:hint="eastAsia" w:ascii="宋体" w:hAnsi="宋体" w:eastAsia="宋体" w:cs="宋体"/>
          <w:color w:val="auto"/>
          <w:spacing w:val="0"/>
          <w:sz w:val="24"/>
          <w:szCs w:val="24"/>
          <w:highlight w:val="none"/>
        </w:rPr>
        <w:t>施工工艺严格按照国家和广东省的有关现行施工技术规范及标准执行，工程质量标准</w:t>
      </w:r>
      <w:r>
        <w:rPr>
          <w:rFonts w:hint="eastAsia" w:ascii="宋体" w:hAnsi="宋体" w:eastAsia="宋体" w:cs="宋体"/>
          <w:color w:val="auto"/>
          <w:spacing w:val="0"/>
          <w:sz w:val="24"/>
          <w:szCs w:val="24"/>
          <w:highlight w:val="none"/>
          <w:u w:val="single"/>
          <w:lang w:val="en-US" w:eastAsia="zh-CN"/>
        </w:rPr>
        <w:t>符合现行国家有关工程施工质量验收规范和标准的要求，达到验收合格标准</w:t>
      </w:r>
      <w:r>
        <w:rPr>
          <w:rFonts w:hint="eastAsia" w:ascii="宋体" w:hAnsi="宋体" w:eastAsia="宋体" w:cs="宋体"/>
          <w:color w:val="auto"/>
          <w:spacing w:val="0"/>
          <w:sz w:val="24"/>
          <w:szCs w:val="24"/>
          <w:highlight w:val="none"/>
        </w:rPr>
        <w:t>。</w:t>
      </w:r>
    </w:p>
    <w:p w14:paraId="1D66894B">
      <w:pPr>
        <w:keepNext w:val="0"/>
        <w:keepLines w:val="0"/>
        <w:pageBreakBefore w:val="0"/>
        <w:wordWrap w:val="0"/>
        <w:overflowPunct/>
        <w:topLinePunct w:val="0"/>
        <w:bidi w:val="0"/>
        <w:spacing w:before="154" w:line="279" w:lineRule="auto"/>
        <w:ind w:left="10" w:right="99"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中标人在施工中如果工程质量不符合设计要求和有关规定，招标人或监理单位要求停工和返工的必须立即执行，并承担由此产生的各种费用，工期不予顺延。</w:t>
      </w:r>
    </w:p>
    <w:p w14:paraId="63F93060">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5.3  </w:t>
      </w:r>
      <w:r>
        <w:rPr>
          <w:rFonts w:hint="eastAsia" w:ascii="宋体" w:hAnsi="宋体" w:eastAsia="宋体" w:cs="宋体"/>
          <w:color w:val="auto"/>
          <w:spacing w:val="0"/>
          <w:sz w:val="24"/>
          <w:szCs w:val="24"/>
          <w:highlight w:val="none"/>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594490DA">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5.4</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0"/>
          <w:sz w:val="24"/>
          <w:szCs w:val="24"/>
          <w:highlight w:val="none"/>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rPr>
        <w:t>纳入绿色建设实施范围</w:t>
      </w:r>
      <w:r>
        <w:rPr>
          <w:rFonts w:hint="eastAsia" w:ascii="宋体" w:hAnsi="宋体" w:eastAsia="宋体" w:cs="宋体"/>
          <w:color w:val="auto"/>
          <w:spacing w:val="0"/>
          <w:sz w:val="24"/>
          <w:szCs w:val="24"/>
          <w:highlight w:val="none"/>
          <w:lang w:eastAsia="zh-CN"/>
        </w:rPr>
        <w:t>。</w:t>
      </w:r>
    </w:p>
    <w:p w14:paraId="0BEB46EA">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5.5</w:t>
      </w:r>
      <w:r>
        <w:rPr>
          <w:rFonts w:hint="eastAsia" w:ascii="宋体" w:hAnsi="宋体" w:eastAsia="宋体" w:cs="宋体"/>
          <w:color w:val="auto"/>
          <w:spacing w:val="0"/>
          <w:sz w:val="24"/>
          <w:szCs w:val="24"/>
          <w:highlight w:val="none"/>
        </w:rPr>
        <w:t xml:space="preserve">  其它：</w:t>
      </w:r>
      <w:r>
        <w:rPr>
          <w:rFonts w:hint="eastAsia" w:ascii="宋体" w:hAnsi="宋体" w:eastAsia="宋体" w:cs="宋体"/>
          <w:color w:val="auto"/>
          <w:spacing w:val="0"/>
          <w:sz w:val="24"/>
          <w:szCs w:val="24"/>
          <w:highlight w:val="none"/>
          <w:lang w:eastAsia="zh-CN"/>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lang w:eastAsia="zh-CN"/>
        </w:rPr>
        <w:t>纳入装配式建造建设实施范围。</w:t>
      </w:r>
    </w:p>
    <w:p w14:paraId="5EC9E7C7">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5.6</w:t>
      </w:r>
      <w:r>
        <w:rPr>
          <w:rFonts w:hint="eastAsia" w:ascii="宋体" w:hAnsi="宋体" w:eastAsia="宋体" w:cs="宋体"/>
          <w:color w:val="auto"/>
          <w:spacing w:val="0"/>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则中标人必须使用合格材料或设备。</w:t>
      </w:r>
    </w:p>
    <w:p w14:paraId="5A1434AF">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eastAsia="zh-CN"/>
        </w:rPr>
        <w:t>7</w:t>
      </w:r>
      <w:r>
        <w:rPr>
          <w:rFonts w:hint="eastAsia" w:ascii="宋体" w:hAnsi="宋体" w:eastAsia="宋体" w:cs="宋体"/>
          <w:color w:val="auto"/>
          <w:spacing w:val="0"/>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6B9F7067">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28" w:name="_Toc7763"/>
      <w:bookmarkStart w:id="29" w:name="_Toc30402"/>
      <w:r>
        <w:rPr>
          <w:rFonts w:hint="eastAsia" w:ascii="宋体" w:hAnsi="宋体" w:eastAsia="宋体" w:cs="宋体"/>
          <w:b/>
          <w:bCs/>
          <w:color w:val="auto"/>
          <w:spacing w:val="0"/>
          <w:sz w:val="24"/>
          <w:szCs w:val="24"/>
          <w:highlight w:val="none"/>
        </w:rPr>
        <w:t>6 ．施工条件及现场踏勘</w:t>
      </w:r>
      <w:bookmarkEnd w:id="28"/>
      <w:bookmarkEnd w:id="29"/>
    </w:p>
    <w:p w14:paraId="20BA5CA5">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6.1  </w:t>
      </w:r>
      <w:r>
        <w:rPr>
          <w:rFonts w:hint="eastAsia" w:ascii="宋体" w:hAnsi="宋体" w:eastAsia="宋体" w:cs="宋体"/>
          <w:color w:val="auto"/>
          <w:spacing w:val="0"/>
          <w:sz w:val="24"/>
          <w:szCs w:val="24"/>
          <w:highlight w:val="none"/>
        </w:rPr>
        <w:t>招标人仅在本招标项目征地红线范围内提供场地，其他一切场地费用由中标人自行负责（含临时道路</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临时道路需要招标人要求保证但不限于保留至少一条足够行人通行的临时道路</w:t>
      </w:r>
      <w:r>
        <w:rPr>
          <w:rFonts w:hint="eastAsia" w:ascii="宋体" w:hAnsi="宋体" w:eastAsia="宋体" w:cs="宋体"/>
          <w:color w:val="auto"/>
          <w:spacing w:val="0"/>
          <w:sz w:val="24"/>
          <w:szCs w:val="24"/>
          <w:highlight w:val="none"/>
        </w:rPr>
        <w:t>）。</w:t>
      </w:r>
    </w:p>
    <w:p w14:paraId="5103988C">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bookmarkStart w:id="30" w:name="bookmark118"/>
      <w:bookmarkEnd w:id="30"/>
      <w:r>
        <w:rPr>
          <w:rFonts w:hint="eastAsia" w:ascii="宋体" w:hAnsi="宋体" w:eastAsia="宋体" w:cs="宋体"/>
          <w:b/>
          <w:bCs/>
          <w:color w:val="auto"/>
          <w:spacing w:val="0"/>
          <w:sz w:val="24"/>
          <w:szCs w:val="24"/>
          <w:highlight w:val="none"/>
        </w:rPr>
        <w:t>6.2</w:t>
      </w:r>
      <w:r>
        <w:rPr>
          <w:rFonts w:hint="eastAsia" w:ascii="宋体" w:hAnsi="宋体" w:eastAsia="宋体" w:cs="宋体"/>
          <w:color w:val="auto"/>
          <w:spacing w:val="0"/>
          <w:sz w:val="24"/>
          <w:szCs w:val="24"/>
          <w:highlight w:val="none"/>
        </w:rPr>
        <w:t xml:space="preserve">  施工用水：</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733D2F92">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6.3</w:t>
      </w:r>
      <w:r>
        <w:rPr>
          <w:rFonts w:hint="eastAsia" w:ascii="宋体" w:hAnsi="宋体" w:eastAsia="宋体" w:cs="宋体"/>
          <w:color w:val="auto"/>
          <w:spacing w:val="0"/>
          <w:sz w:val="24"/>
          <w:szCs w:val="24"/>
          <w:highlight w:val="none"/>
        </w:rPr>
        <w:t xml:space="preserve">  施工用电：</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44DCDA93">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6.4</w:t>
      </w:r>
      <w:r>
        <w:rPr>
          <w:rFonts w:hint="eastAsia" w:ascii="宋体" w:hAnsi="宋体" w:eastAsia="宋体" w:cs="宋体"/>
          <w:color w:val="auto"/>
          <w:spacing w:val="0"/>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0"/>
          <w:sz w:val="24"/>
          <w:szCs w:val="24"/>
          <w:highlight w:val="none"/>
          <w:u w:val="single"/>
          <w:lang w:val="en-US" w:eastAsia="zh-CN"/>
        </w:rPr>
        <w:t>韶关市</w:t>
      </w:r>
      <w:r>
        <w:rPr>
          <w:rFonts w:hint="eastAsia" w:ascii="宋体" w:hAnsi="宋体" w:eastAsia="宋体" w:cs="宋体"/>
          <w:color w:val="auto"/>
          <w:spacing w:val="0"/>
          <w:sz w:val="24"/>
          <w:szCs w:val="24"/>
          <w:highlight w:val="none"/>
        </w:rPr>
        <w:t>基建工程水、电计费标准计算并由中标人缴纳。</w:t>
      </w:r>
    </w:p>
    <w:p w14:paraId="52ABD7ED">
      <w:pPr>
        <w:keepNext w:val="0"/>
        <w:keepLines w:val="0"/>
        <w:pageBreakBefore w:val="0"/>
        <w:wordWrap w:val="0"/>
        <w:overflowPunct/>
        <w:topLinePunct w:val="0"/>
        <w:bidi w:val="0"/>
        <w:spacing w:before="154" w:line="29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6.5  </w:t>
      </w:r>
      <w:r>
        <w:rPr>
          <w:rFonts w:hint="eastAsia" w:ascii="宋体" w:hAnsi="宋体" w:eastAsia="宋体" w:cs="宋体"/>
          <w:color w:val="auto"/>
          <w:spacing w:val="0"/>
          <w:sz w:val="24"/>
          <w:szCs w:val="24"/>
          <w:highlight w:val="none"/>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可自行进行现场踏勘。</w:t>
      </w:r>
    </w:p>
    <w:p w14:paraId="635FDD63">
      <w:pPr>
        <w:keepNext w:val="0"/>
        <w:keepLines w:val="0"/>
        <w:pageBreakBefore w:val="0"/>
        <w:wordWrap w:val="0"/>
        <w:overflowPunct/>
        <w:topLinePunct w:val="0"/>
        <w:bidi w:val="0"/>
        <w:spacing w:before="153" w:line="280"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6.6  </w:t>
      </w:r>
      <w:r>
        <w:rPr>
          <w:rFonts w:hint="eastAsia" w:ascii="宋体" w:hAnsi="宋体" w:eastAsia="宋体" w:cs="宋体"/>
          <w:color w:val="auto"/>
          <w:spacing w:val="0"/>
          <w:sz w:val="24"/>
          <w:szCs w:val="24"/>
          <w:highlight w:val="none"/>
        </w:rPr>
        <w:t>在现场踏勘过程中，投标人应确保自身安全，投标人如果发生人身伤亡、财物或其他损失，法律法规有规定的按有关规定处理，没有规定的由投标人自行负责。</w:t>
      </w:r>
    </w:p>
    <w:p w14:paraId="6D263223">
      <w:pPr>
        <w:keepNext w:val="0"/>
        <w:keepLines w:val="0"/>
        <w:pageBreakBefore w:val="0"/>
        <w:wordWrap w:val="0"/>
        <w:overflowPunct/>
        <w:topLinePunct w:val="0"/>
        <w:bidi w:val="0"/>
        <w:spacing w:before="153" w:line="220" w:lineRule="auto"/>
        <w:ind w:left="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6.7  </w:t>
      </w:r>
      <w:r>
        <w:rPr>
          <w:rFonts w:hint="eastAsia" w:ascii="宋体" w:hAnsi="宋体" w:eastAsia="宋体" w:cs="宋体"/>
          <w:color w:val="auto"/>
          <w:spacing w:val="0"/>
          <w:sz w:val="24"/>
          <w:szCs w:val="24"/>
          <w:highlight w:val="none"/>
        </w:rPr>
        <w:t>现场踏勘期间的交通、食宿由投标人自行安排，费用自理。</w:t>
      </w:r>
    </w:p>
    <w:p w14:paraId="1C338073">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31" w:name="bookmark67"/>
      <w:bookmarkEnd w:id="31"/>
      <w:bookmarkStart w:id="32" w:name="bookmark81"/>
      <w:bookmarkEnd w:id="32"/>
      <w:bookmarkStart w:id="33" w:name="bookmark69"/>
      <w:bookmarkEnd w:id="33"/>
      <w:bookmarkStart w:id="34" w:name="_Toc15543"/>
      <w:bookmarkStart w:id="35" w:name="_Toc4298"/>
      <w:r>
        <w:rPr>
          <w:rFonts w:hint="eastAsia" w:ascii="宋体" w:hAnsi="宋体" w:eastAsia="宋体" w:cs="宋体"/>
          <w:b/>
          <w:bCs/>
          <w:color w:val="auto"/>
          <w:spacing w:val="0"/>
          <w:sz w:val="24"/>
          <w:szCs w:val="24"/>
          <w:highlight w:val="none"/>
        </w:rPr>
        <w:t>7 ．招标文件的提问和答疑</w:t>
      </w:r>
      <w:bookmarkEnd w:id="34"/>
      <w:bookmarkEnd w:id="35"/>
    </w:p>
    <w:p w14:paraId="6AF83406">
      <w:pPr>
        <w:keepNext w:val="0"/>
        <w:keepLines w:val="0"/>
        <w:pageBreakBefore w:val="0"/>
        <w:wordWrap w:val="0"/>
        <w:overflowPunct/>
        <w:topLinePunct w:val="0"/>
        <w:bidi w:val="0"/>
        <w:spacing w:before="153" w:line="299" w:lineRule="auto"/>
        <w:ind w:left="9" w:right="16" w:firstLine="47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7.1  </w:t>
      </w:r>
      <w:r>
        <w:rPr>
          <w:rFonts w:hint="eastAsia" w:ascii="宋体" w:hAnsi="宋体" w:eastAsia="宋体" w:cs="宋体"/>
          <w:color w:val="auto"/>
          <w:spacing w:val="0"/>
          <w:sz w:val="24"/>
          <w:szCs w:val="24"/>
          <w:highlight w:val="none"/>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6DA114B8">
      <w:pPr>
        <w:keepNext w:val="0"/>
        <w:keepLines w:val="0"/>
        <w:pageBreakBefore w:val="0"/>
        <w:wordWrap w:val="0"/>
        <w:overflowPunct/>
        <w:topLinePunct w:val="0"/>
        <w:bidi w:val="0"/>
        <w:spacing w:before="154" w:line="30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7.2  </w:t>
      </w:r>
      <w:r>
        <w:rPr>
          <w:rFonts w:hint="eastAsia" w:ascii="宋体" w:hAnsi="宋体" w:eastAsia="宋体" w:cs="宋体"/>
          <w:color w:val="auto"/>
          <w:spacing w:val="0"/>
          <w:sz w:val="24"/>
          <w:szCs w:val="24"/>
          <w:highlight w:val="none"/>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8B4B7A2">
      <w:pPr>
        <w:keepNext w:val="0"/>
        <w:keepLines w:val="0"/>
        <w:pageBreakBefore w:val="0"/>
        <w:wordWrap w:val="0"/>
        <w:overflowPunct/>
        <w:topLinePunct w:val="0"/>
        <w:bidi w:val="0"/>
        <w:spacing w:before="152" w:line="219" w:lineRule="auto"/>
        <w:ind w:firstLine="482" w:firstLineChars="20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7.3  </w:t>
      </w:r>
      <w:r>
        <w:rPr>
          <w:rFonts w:hint="eastAsia" w:ascii="宋体" w:hAnsi="宋体" w:eastAsia="宋体" w:cs="宋体"/>
          <w:color w:val="auto"/>
          <w:spacing w:val="0"/>
          <w:sz w:val="24"/>
          <w:szCs w:val="24"/>
          <w:highlight w:val="none"/>
        </w:rPr>
        <w:t>招标人对招标文件所作的答疑（或修改）公告，构成招标文件的组成部分。</w:t>
      </w:r>
    </w:p>
    <w:p w14:paraId="7D0F7DC9">
      <w:pPr>
        <w:keepNext w:val="0"/>
        <w:keepLines w:val="0"/>
        <w:pageBreakBefore w:val="0"/>
        <w:wordWrap w:val="0"/>
        <w:overflowPunct/>
        <w:topLinePunct w:val="0"/>
        <w:bidi w:val="0"/>
        <w:spacing w:before="79" w:line="219" w:lineRule="auto"/>
        <w:ind w:left="488"/>
        <w:outlineLvl w:val="2"/>
        <w:rPr>
          <w:rFonts w:hint="eastAsia" w:ascii="宋体" w:hAnsi="宋体" w:eastAsia="宋体" w:cs="宋体"/>
          <w:color w:val="auto"/>
          <w:spacing w:val="0"/>
          <w:sz w:val="24"/>
          <w:szCs w:val="24"/>
          <w:highlight w:val="none"/>
        </w:rPr>
      </w:pPr>
      <w:bookmarkStart w:id="36" w:name="_Toc6897"/>
      <w:bookmarkStart w:id="37" w:name="_Toc32468"/>
      <w:r>
        <w:rPr>
          <w:rFonts w:hint="eastAsia" w:ascii="宋体" w:hAnsi="宋体" w:eastAsia="宋体" w:cs="宋体"/>
          <w:b/>
          <w:bCs/>
          <w:color w:val="auto"/>
          <w:spacing w:val="0"/>
          <w:sz w:val="24"/>
          <w:szCs w:val="24"/>
          <w:highlight w:val="none"/>
        </w:rPr>
        <w:t>8 ．</w:t>
      </w:r>
      <w:bookmarkEnd w:id="36"/>
      <w:r>
        <w:rPr>
          <w:rFonts w:hint="eastAsia" w:ascii="宋体" w:hAnsi="宋体" w:eastAsia="宋体" w:cs="宋体"/>
          <w:b/>
          <w:bCs/>
          <w:color w:val="auto"/>
          <w:spacing w:val="0"/>
          <w:sz w:val="24"/>
          <w:szCs w:val="24"/>
          <w:highlight w:val="none"/>
          <w:lang w:val="en-US" w:eastAsia="zh-CN"/>
        </w:rPr>
        <w:t>最高投标限价</w:t>
      </w:r>
      <w:bookmarkEnd w:id="37"/>
    </w:p>
    <w:p w14:paraId="3576ADAD">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8.1  </w:t>
      </w:r>
      <w:r>
        <w:rPr>
          <w:rFonts w:hint="eastAsia" w:ascii="宋体" w:hAnsi="宋体" w:eastAsia="宋体" w:cs="宋体"/>
          <w:color w:val="auto"/>
          <w:spacing w:val="0"/>
          <w:sz w:val="24"/>
          <w:szCs w:val="24"/>
          <w:highlight w:val="none"/>
        </w:rPr>
        <w:t>本招标项目按照以下依据编制</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p>
    <w:p w14:paraId="65116B5F">
      <w:pPr>
        <w:keepNext w:val="0"/>
        <w:keepLines w:val="0"/>
        <w:pageBreakBefore w:val="0"/>
        <w:wordWrap w:val="0"/>
        <w:overflowPunct/>
        <w:topLinePunct w:val="0"/>
        <w:bidi w:val="0"/>
        <w:spacing w:before="157"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E6079EC">
      <w:pPr>
        <w:keepNext w:val="0"/>
        <w:keepLines w:val="0"/>
        <w:pageBreakBefore w:val="0"/>
        <w:wordWrap w:val="0"/>
        <w:overflowPunct/>
        <w:topLinePunct w:val="0"/>
        <w:bidi w:val="0"/>
        <w:spacing w:before="153" w:line="309" w:lineRule="auto"/>
        <w:ind w:left="9" w:right="1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4FF3A8F">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（3）施工图及相关资料；</w:t>
      </w:r>
    </w:p>
    <w:p w14:paraId="3458AB67">
      <w:pPr>
        <w:keepNext w:val="0"/>
        <w:keepLines w:val="0"/>
        <w:pageBreakBefore w:val="0"/>
        <w:wordWrap w:val="0"/>
        <w:overflowPunct/>
        <w:topLinePunct w:val="0"/>
        <w:bidi w:val="0"/>
        <w:spacing w:before="78" w:line="220" w:lineRule="auto"/>
        <w:ind w:left="502"/>
        <w:rPr>
          <w:rFonts w:hint="eastAsia" w:ascii="宋体" w:hAnsi="宋体" w:eastAsia="宋体" w:cs="宋体"/>
          <w:color w:val="auto"/>
          <w:spacing w:val="0"/>
          <w:sz w:val="24"/>
          <w:szCs w:val="24"/>
          <w:highlight w:val="none"/>
        </w:rPr>
      </w:pPr>
      <w:bookmarkStart w:id="38" w:name="bookmark119"/>
      <w:bookmarkEnd w:id="38"/>
      <w:r>
        <w:rPr>
          <w:rFonts w:hint="eastAsia" w:ascii="宋体" w:hAnsi="宋体" w:eastAsia="宋体" w:cs="宋体"/>
          <w:color w:val="auto"/>
          <w:spacing w:val="0"/>
          <w:sz w:val="24"/>
          <w:szCs w:val="24"/>
          <w:highlight w:val="none"/>
        </w:rPr>
        <w:t>（4）招标文件及招标工程量清单；</w:t>
      </w:r>
    </w:p>
    <w:p w14:paraId="3CD70E63">
      <w:pPr>
        <w:keepNext w:val="0"/>
        <w:keepLines w:val="0"/>
        <w:pageBreakBefore w:val="0"/>
        <w:wordWrap w:val="0"/>
        <w:overflowPunct/>
        <w:topLinePunct w:val="0"/>
        <w:bidi w:val="0"/>
        <w:spacing w:before="155"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（5）施工现场情况、工程特点及常规施工方案；</w:t>
      </w:r>
    </w:p>
    <w:p w14:paraId="64AAE475">
      <w:pPr>
        <w:keepNext w:val="0"/>
        <w:keepLines w:val="0"/>
        <w:pageBreakBefore w:val="0"/>
        <w:wordWrap w:val="0"/>
        <w:overflowPunct/>
        <w:topLinePunct w:val="0"/>
        <w:bidi w:val="0"/>
        <w:spacing w:before="153" w:line="278" w:lineRule="auto"/>
        <w:ind w:left="12" w:right="136"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（6）项目所在地工程造价管理机构发布的工程造价信息，工程造价信息缺项的，参照市场价格；</w:t>
      </w:r>
    </w:p>
    <w:p w14:paraId="7D623C2E">
      <w:pPr>
        <w:keepNext w:val="0"/>
        <w:keepLines w:val="0"/>
        <w:pageBreakBefore w:val="0"/>
        <w:wordWrap w:val="0"/>
        <w:overflowPunct/>
        <w:topLinePunct w:val="0"/>
        <w:bidi w:val="0"/>
        <w:spacing w:before="157"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（7）与建设项目相关的标准、规范、技术资料。</w:t>
      </w:r>
    </w:p>
    <w:p w14:paraId="5CD93710">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8.2</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lang w:eastAsia="zh-CN"/>
        </w:rPr>
        <w:t>本招标项目的</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、工程量清单、</w:t>
      </w:r>
      <w:r>
        <w:rPr>
          <w:rFonts w:hint="eastAsia" w:ascii="宋体" w:hAnsi="宋体" w:eastAsia="宋体" w:cs="宋体"/>
          <w:b/>
          <w:bCs/>
          <w:color w:val="auto"/>
          <w:spacing w:val="0"/>
          <w:sz w:val="24"/>
          <w:szCs w:val="24"/>
          <w:highlight w:val="none"/>
          <w:lang w:val="en-US" w:eastAsia="zh-CN"/>
        </w:rPr>
        <w:t>施工图纸</w:t>
      </w:r>
      <w:r>
        <w:rPr>
          <w:rFonts w:hint="eastAsia" w:ascii="宋体" w:hAnsi="宋体" w:eastAsia="宋体" w:cs="宋体"/>
          <w:b/>
          <w:bCs/>
          <w:color w:val="auto"/>
          <w:spacing w:val="0"/>
          <w:sz w:val="24"/>
          <w:szCs w:val="24"/>
          <w:highlight w:val="none"/>
          <w:lang w:eastAsia="zh-CN"/>
        </w:rPr>
        <w:t>在投标截止时间15天前以补充公告的形式在广东省招标投标监管网（http://zbtb.gd.gov.cn）、全国公共资源交易平台（广东省·韶关市）（https://ygp.gdzwfw.gov.cn/ggzy-portal/#/440200/index）网站公布。</w:t>
      </w:r>
    </w:p>
    <w:p w14:paraId="2686864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3</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45538B3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本招标项目以暂估价形式列入招标工程量清单中的材料、工程设备、专业工程（以下统称“暂估价项目”）包括：（详见招标工程量清单）具体以财政评审中心出具的《工程招标控制价审查意见》及《招标工程量清单》为准，在投标截止时间 15 天前以补充通知的形式在全国公共资源交易平台（广东省•韶关市）（https://ygp. gdzwfw.gov.cn/ggzy-portal/#/440200/index）公布。以上为招标人在工程量清单中 提供的用于支付必然发生但暂时不能确定价格的材料、工程设备的单价以及专业工程的金额。投标人必须按招标工程量清单中列出的单价、金额统一报价，其结算原则按 本招标文件相关条款执行。</w:t>
      </w:r>
    </w:p>
    <w:p w14:paraId="2E669A27">
      <w:pPr>
        <w:keepNext w:val="0"/>
        <w:keepLines w:val="0"/>
        <w:pageBreakBefore w:val="0"/>
        <w:wordWrap w:val="0"/>
        <w:overflowPunct/>
        <w:topLinePunct w:val="0"/>
        <w:bidi w:val="0"/>
        <w:spacing w:before="154" w:line="280" w:lineRule="auto"/>
        <w:ind w:left="12" w:right="200"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当暂估价项目的内容、标准、要求在项目实施过程中得以深化、明确、固定后，按以下原则发包：</w:t>
      </w:r>
    </w:p>
    <w:p w14:paraId="07F7FE9F">
      <w:pPr>
        <w:keepNext w:val="0"/>
        <w:keepLines w:val="0"/>
        <w:pageBreakBefore w:val="0"/>
        <w:wordWrap w:val="0"/>
        <w:overflowPunct/>
        <w:topLinePunct w:val="0"/>
        <w:bidi w:val="0"/>
        <w:spacing w:before="153" w:line="219" w:lineRule="auto"/>
        <w:ind w:left="-3" w:leftChars="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（1）暂估价项目按工程、货物（指材料或工程设备，下同）的类别分类汇总的金额，达到必须招标规模标准的，由</w:t>
      </w:r>
      <w:r>
        <w:rPr>
          <w:rFonts w:hint="eastAsia" w:ascii="宋体" w:hAnsi="宋体" w:eastAsia="宋体" w:cs="宋体"/>
          <w:b/>
          <w:bCs/>
          <w:color w:val="auto"/>
          <w:spacing w:val="0"/>
          <w:sz w:val="24"/>
          <w:szCs w:val="24"/>
          <w:highlight w:val="none"/>
          <w:u w:val="single"/>
        </w:rPr>
        <w:t xml:space="preserve"> </w:t>
      </w:r>
      <w:r>
        <w:rPr>
          <w:rFonts w:hint="eastAsia" w:ascii="宋体" w:hAnsi="宋体" w:eastAsia="宋体" w:cs="宋体"/>
          <w:bCs/>
          <w:color w:val="auto"/>
          <w:spacing w:val="0"/>
          <w:sz w:val="24"/>
          <w:szCs w:val="24"/>
          <w:highlight w:val="none"/>
          <w:u w:val="single"/>
        </w:rPr>
        <w:t xml:space="preserve">中标人招标，招标人参与管理 </w:t>
      </w:r>
      <w:r>
        <w:rPr>
          <w:rFonts w:hint="eastAsia" w:ascii="宋体" w:hAnsi="宋体" w:eastAsia="宋体" w:cs="宋体"/>
          <w:bCs/>
          <w:color w:val="auto"/>
          <w:spacing w:val="0"/>
          <w:sz w:val="24"/>
          <w:szCs w:val="24"/>
          <w:highlight w:val="none"/>
        </w:rPr>
        <w:t>，</w:t>
      </w:r>
      <w:r>
        <w:rPr>
          <w:rFonts w:hint="eastAsia" w:ascii="宋体" w:hAnsi="宋体" w:eastAsia="宋体" w:cs="宋体"/>
          <w:color w:val="auto"/>
          <w:spacing w:val="0"/>
          <w:sz w:val="24"/>
          <w:szCs w:val="24"/>
          <w:highlight w:val="none"/>
        </w:rPr>
        <w:t>确定专业工程承包人（或材料、工程 设备供应商）和合同价格。</w:t>
      </w:r>
    </w:p>
    <w:p w14:paraId="1579A611">
      <w:pPr>
        <w:keepNext w:val="0"/>
        <w:keepLines w:val="0"/>
        <w:pageBreakBefore w:val="0"/>
        <w:wordWrap w:val="0"/>
        <w:overflowPunct/>
        <w:topLinePunct w:val="0"/>
        <w:bidi w:val="0"/>
        <w:spacing w:before="30"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（2）暂估价项目按工程、货物的类别分类汇总的金额，未达到必须招标规模标准但适用政府采购规定的，按照政府采购规定确定专业工程承包人（或材料、工程设备供应商）和合同价格。</w:t>
      </w:r>
    </w:p>
    <w:p w14:paraId="4095D7CC">
      <w:pPr>
        <w:keepNext w:val="0"/>
        <w:keepLines w:val="0"/>
        <w:pageBreakBefore w:val="0"/>
        <w:wordWrap w:val="0"/>
        <w:overflowPunct/>
        <w:topLinePunct w:val="0"/>
        <w:bidi w:val="0"/>
        <w:spacing w:before="154" w:line="30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6DAEE971">
      <w:pPr>
        <w:keepNext w:val="0"/>
        <w:keepLines w:val="0"/>
        <w:pageBreakBefore w:val="0"/>
        <w:wordWrap w:val="0"/>
        <w:overflowPunct/>
        <w:topLinePunct w:val="0"/>
        <w:bidi w:val="0"/>
        <w:spacing w:before="154"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（4）暂估价项目按工程、货物的类别分类汇总的金额，未达到必须招标规模标准也不适用政府采购规定，中标人既不具备相应资格条件又不具备分包权的，由招标人另行发包。</w:t>
      </w:r>
    </w:p>
    <w:p w14:paraId="3B33A9BC">
      <w:pPr>
        <w:keepNext w:val="0"/>
        <w:keepLines w:val="0"/>
        <w:pageBreakBefore w:val="0"/>
        <w:wordWrap w:val="0"/>
        <w:overflowPunct/>
        <w:topLinePunct w:val="0"/>
        <w:bidi w:val="0"/>
        <w:spacing w:before="155" w:line="279" w:lineRule="auto"/>
        <w:ind w:left="9" w:right="6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（5）暂估价项目由其他承包人承包的，纳入中标人的管理和协调范围，由其他承包人向中标人承担质量、安全、文明施工、工期责任，中标人向招标人承担责任。</w:t>
      </w:r>
    </w:p>
    <w:p w14:paraId="5DA2571A">
      <w:pPr>
        <w:keepNext w:val="0"/>
        <w:keepLines w:val="0"/>
        <w:pageBreakBefore w:val="0"/>
        <w:wordWrap w:val="0"/>
        <w:overflowPunct/>
        <w:topLinePunct w:val="0"/>
        <w:bidi w:val="0"/>
        <w:spacing w:before="155" w:line="333" w:lineRule="auto"/>
        <w:ind w:left="10" w:right="65" w:firstLine="478"/>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本招标项目以暂列金额形式列入招标工程量清单中的所需货物和服务的采购（以下统称“暂列金额项目 ”）若有发生，按照本节第 </w:t>
      </w:r>
      <w:r>
        <w:rPr>
          <w:rFonts w:hint="eastAsia" w:ascii="宋体" w:hAnsi="宋体" w:eastAsia="宋体" w:cs="宋体"/>
          <w:b/>
          <w:bCs/>
          <w:color w:val="auto"/>
          <w:spacing w:val="0"/>
          <w:sz w:val="24"/>
          <w:szCs w:val="24"/>
          <w:highlight w:val="none"/>
        </w:rPr>
        <w:t xml:space="preserve">8.5 </w:t>
      </w:r>
      <w:r>
        <w:rPr>
          <w:rFonts w:hint="eastAsia" w:ascii="宋体" w:hAnsi="宋体" w:eastAsia="宋体" w:cs="宋体"/>
          <w:color w:val="auto"/>
          <w:spacing w:val="0"/>
          <w:sz w:val="24"/>
          <w:szCs w:val="24"/>
          <w:highlight w:val="none"/>
        </w:rPr>
        <w:t>条的规定确定货物（或服务）供应商和合同价格。暂列金额项目由其他承包人承包的，纳入中标人的管理和协调范围</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由其他承包人向中标人承担质量、安全、文明施工、工期责任，中标人向招标人承担责任。</w:t>
      </w:r>
    </w:p>
    <w:p w14:paraId="01AB75DC">
      <w:pPr>
        <w:keepNext w:val="0"/>
        <w:keepLines w:val="0"/>
        <w:pageBreakBefore w:val="0"/>
        <w:wordWrap w:val="0"/>
        <w:overflowPunct/>
        <w:topLinePunct w:val="0"/>
        <w:bidi w:val="0"/>
        <w:spacing w:before="79" w:line="219" w:lineRule="auto"/>
        <w:ind w:left="487"/>
        <w:outlineLvl w:val="2"/>
        <w:rPr>
          <w:rFonts w:hint="eastAsia" w:ascii="宋体" w:hAnsi="宋体" w:eastAsia="宋体" w:cs="宋体"/>
          <w:color w:val="auto"/>
          <w:spacing w:val="0"/>
          <w:sz w:val="24"/>
          <w:szCs w:val="24"/>
          <w:highlight w:val="none"/>
        </w:rPr>
      </w:pPr>
      <w:bookmarkStart w:id="39" w:name="_Toc22978"/>
      <w:bookmarkStart w:id="40" w:name="_Toc9474"/>
      <w:r>
        <w:rPr>
          <w:rFonts w:hint="eastAsia" w:ascii="宋体" w:hAnsi="宋体" w:eastAsia="宋体" w:cs="宋体"/>
          <w:b/>
          <w:bCs/>
          <w:color w:val="auto"/>
          <w:spacing w:val="0"/>
          <w:sz w:val="24"/>
          <w:szCs w:val="24"/>
          <w:highlight w:val="none"/>
        </w:rPr>
        <w:t>9 ．投标报价</w:t>
      </w:r>
      <w:bookmarkEnd w:id="39"/>
      <w:bookmarkEnd w:id="40"/>
    </w:p>
    <w:p w14:paraId="4486FCA3">
      <w:pPr>
        <w:keepNext w:val="0"/>
        <w:keepLines w:val="0"/>
        <w:pageBreakBefore w:val="0"/>
        <w:wordWrap w:val="0"/>
        <w:overflowPunct/>
        <w:topLinePunct w:val="0"/>
        <w:bidi w:val="0"/>
        <w:spacing w:before="157" w:line="219"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9.1  </w:t>
      </w:r>
      <w:r>
        <w:rPr>
          <w:rFonts w:hint="eastAsia" w:ascii="宋体" w:hAnsi="宋体" w:eastAsia="宋体" w:cs="宋体"/>
          <w:color w:val="auto"/>
          <w:spacing w:val="0"/>
          <w:sz w:val="24"/>
          <w:szCs w:val="24"/>
          <w:highlight w:val="none"/>
        </w:rPr>
        <w:t>投标人应按照以下依据编制投标报价：</w:t>
      </w:r>
    </w:p>
    <w:p w14:paraId="24B4853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21850D08">
      <w:pPr>
        <w:keepNext w:val="0"/>
        <w:keepLines w:val="0"/>
        <w:pageBreakBefore w:val="0"/>
        <w:wordWrap w:val="0"/>
        <w:overflowPunct/>
        <w:topLinePunct w:val="0"/>
        <w:bidi w:val="0"/>
        <w:spacing w:before="153" w:line="309" w:lineRule="auto"/>
        <w:ind w:left="9" w:right="65"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6F4FCBC7">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bookmarkStart w:id="41" w:name="bookmark120"/>
      <w:bookmarkEnd w:id="41"/>
      <w:r>
        <w:rPr>
          <w:rFonts w:hint="eastAsia" w:ascii="宋体" w:hAnsi="宋体" w:eastAsia="宋体" w:cs="宋体"/>
          <w:color w:val="auto"/>
          <w:spacing w:val="0"/>
          <w:sz w:val="24"/>
          <w:szCs w:val="24"/>
          <w:highlight w:val="none"/>
        </w:rPr>
        <w:t>（3）企业定额；</w:t>
      </w:r>
    </w:p>
    <w:p w14:paraId="48F400DD">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（4）招标文件及其答疑（或修改）公告、招标工程量清单；</w:t>
      </w:r>
    </w:p>
    <w:p w14:paraId="2500803B">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（5）施工图及相关资料；</w:t>
      </w:r>
    </w:p>
    <w:p w14:paraId="4349D5A0">
      <w:pPr>
        <w:keepNext w:val="0"/>
        <w:keepLines w:val="0"/>
        <w:pageBreakBefore w:val="0"/>
        <w:wordWrap w:val="0"/>
        <w:overflowPunct/>
        <w:topLinePunct w:val="0"/>
        <w:bidi w:val="0"/>
        <w:spacing w:before="152"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（6）施工现场情况、工程特点及投标时拟定的施工组织设计或施工方案；</w:t>
      </w:r>
    </w:p>
    <w:p w14:paraId="15845DDF">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（7）市场价格信息或项目所在地工程造价管理机构发布的工程造价信息；</w:t>
      </w:r>
    </w:p>
    <w:p w14:paraId="6EDB41CD">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（8）与建设项目相关的标准、规范、技术资料。</w:t>
      </w:r>
    </w:p>
    <w:p w14:paraId="1D0C2B8D">
      <w:pPr>
        <w:keepNext w:val="0"/>
        <w:keepLines w:val="0"/>
        <w:pageBreakBefore w:val="0"/>
        <w:wordWrap w:val="0"/>
        <w:overflowPunct/>
        <w:topLinePunct w:val="0"/>
        <w:bidi w:val="0"/>
        <w:spacing w:before="153" w:line="309" w:lineRule="auto"/>
        <w:ind w:left="8" w:right="150"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9.2  </w:t>
      </w:r>
      <w:r>
        <w:rPr>
          <w:rFonts w:hint="eastAsia" w:ascii="宋体" w:hAnsi="宋体" w:eastAsia="宋体" w:cs="宋体"/>
          <w:color w:val="auto"/>
          <w:spacing w:val="0"/>
          <w:sz w:val="24"/>
          <w:szCs w:val="24"/>
          <w:highlight w:val="none"/>
        </w:rPr>
        <w:t>投标人应根据招标工程量清单、工程量清单计价</w:t>
      </w:r>
      <w:r>
        <w:rPr>
          <w:rFonts w:hint="eastAsia" w:ascii="宋体" w:hAnsi="宋体" w:eastAsia="宋体" w:cs="宋体"/>
          <w:color w:val="auto"/>
          <w:spacing w:val="0"/>
          <w:sz w:val="24"/>
          <w:szCs w:val="24"/>
          <w:highlight w:val="none"/>
          <w:lang w:val="en-US" w:eastAsia="zh-CN"/>
        </w:rPr>
        <w:t>标准</w:t>
      </w:r>
      <w:r>
        <w:rPr>
          <w:rFonts w:hint="eastAsia" w:ascii="宋体" w:hAnsi="宋体" w:eastAsia="宋体" w:cs="宋体"/>
          <w:color w:val="auto"/>
          <w:spacing w:val="0"/>
          <w:sz w:val="24"/>
          <w:szCs w:val="24"/>
          <w:highlight w:val="none"/>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0986CD58">
      <w:pPr>
        <w:keepNext w:val="0"/>
        <w:keepLines w:val="0"/>
        <w:pageBreakBefore w:val="0"/>
        <w:wordWrap w:val="0"/>
        <w:overflowPunct/>
        <w:topLinePunct w:val="0"/>
        <w:bidi w:val="0"/>
        <w:spacing w:before="152" w:line="309"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9.3  </w:t>
      </w:r>
      <w:r>
        <w:rPr>
          <w:rFonts w:hint="eastAsia" w:ascii="宋体" w:hAnsi="宋体" w:eastAsia="宋体" w:cs="宋体"/>
          <w:color w:val="auto"/>
          <w:spacing w:val="0"/>
          <w:sz w:val="24"/>
          <w:szCs w:val="24"/>
          <w:highlight w:val="none"/>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0B2C478C">
      <w:pPr>
        <w:keepNext w:val="0"/>
        <w:keepLines w:val="0"/>
        <w:pageBreakBefore w:val="0"/>
        <w:wordWrap w:val="0"/>
        <w:overflowPunct/>
        <w:topLinePunct w:val="0"/>
        <w:bidi w:val="0"/>
        <w:spacing w:before="155" w:line="279" w:lineRule="auto"/>
        <w:ind w:left="10" w:right="150"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9.4  </w:t>
      </w:r>
      <w:r>
        <w:rPr>
          <w:rFonts w:hint="eastAsia" w:ascii="宋体" w:hAnsi="宋体" w:eastAsia="宋体" w:cs="宋体"/>
          <w:color w:val="auto"/>
          <w:spacing w:val="0"/>
          <w:sz w:val="24"/>
          <w:szCs w:val="24"/>
          <w:highlight w:val="none"/>
        </w:rPr>
        <w:t>招标人向投标人提供的有关现场的数据和资料，是招标人现有的能被投标人利用的资料，招标人对投标人做出的任何推论、理解和结论均不负责任。</w:t>
      </w:r>
    </w:p>
    <w:p w14:paraId="6C93460C">
      <w:pPr>
        <w:keepNext w:val="0"/>
        <w:keepLines w:val="0"/>
        <w:pageBreakBefore w:val="0"/>
        <w:wordWrap w:val="0"/>
        <w:overflowPunct/>
        <w:topLinePunct w:val="0"/>
        <w:bidi w:val="0"/>
        <w:spacing w:before="154" w:line="299" w:lineRule="auto"/>
        <w:ind w:left="12" w:firstLine="55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9.5  </w:t>
      </w:r>
      <w:r>
        <w:rPr>
          <w:rFonts w:hint="eastAsia" w:ascii="宋体" w:hAnsi="宋体" w:eastAsia="宋体" w:cs="宋体"/>
          <w:color w:val="auto"/>
          <w:spacing w:val="0"/>
          <w:sz w:val="24"/>
          <w:szCs w:val="24"/>
          <w:highlight w:val="none"/>
        </w:rPr>
        <w:t>投标人必须按照招标工程量清单及表格填报价格。项目编码、项目名称、项目特征、计量单位、工程量必须与招标工程量清单一致。所有报价均以人民币“元 ”为单位，并保留小数点后两位。</w:t>
      </w:r>
    </w:p>
    <w:p w14:paraId="3A622CC8">
      <w:pPr>
        <w:keepNext w:val="0"/>
        <w:keepLines w:val="0"/>
        <w:pageBreakBefore w:val="0"/>
        <w:wordWrap w:val="0"/>
        <w:overflowPunct/>
        <w:topLinePunct w:val="0"/>
        <w:bidi w:val="0"/>
        <w:spacing w:before="158" w:line="314"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9.6  </w:t>
      </w:r>
      <w:r>
        <w:rPr>
          <w:rFonts w:hint="eastAsia" w:ascii="宋体" w:hAnsi="宋体" w:eastAsia="宋体" w:cs="宋体"/>
          <w:color w:val="auto"/>
          <w:spacing w:val="0"/>
          <w:sz w:val="24"/>
          <w:szCs w:val="24"/>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25A1C580">
      <w:pPr>
        <w:keepNext w:val="0"/>
        <w:keepLines w:val="0"/>
        <w:pageBreakBefore w:val="0"/>
        <w:wordWrap w:val="0"/>
        <w:overflowPunct/>
        <w:topLinePunct w:val="0"/>
        <w:bidi w:val="0"/>
        <w:spacing w:before="152" w:line="309" w:lineRule="auto"/>
        <w:ind w:left="7" w:right="120" w:firstLine="48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9.7  </w:t>
      </w:r>
      <w:r>
        <w:rPr>
          <w:rFonts w:hint="eastAsia" w:ascii="宋体" w:hAnsi="宋体" w:eastAsia="宋体" w:cs="宋体"/>
          <w:color w:val="auto"/>
          <w:spacing w:val="0"/>
          <w:sz w:val="24"/>
          <w:szCs w:val="24"/>
          <w:highlight w:val="none"/>
        </w:rPr>
        <w:t>投标人的投标总价不得高于</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，也不得低于工程成本。投标人对投标总价的所有优惠（降价、让利等），均应当反映在具体清单项目或其综合单价的报价上。</w:t>
      </w:r>
      <w:r>
        <w:rPr>
          <w:rFonts w:hint="eastAsia" w:ascii="宋体" w:hAnsi="宋体" w:eastAsia="宋体" w:cs="宋体"/>
          <w:b/>
          <w:bCs/>
          <w:color w:val="auto"/>
          <w:spacing w:val="0"/>
          <w:sz w:val="24"/>
          <w:szCs w:val="24"/>
          <w:highlight w:val="none"/>
        </w:rPr>
        <w:t>如果投标人的投标总价下浮率高于</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15%时，投标人必须在投标文件中专项作出详细合理的书面说明并提供以往类似工程详细成本分析报告供评标委员会审查。</w:t>
      </w:r>
    </w:p>
    <w:p w14:paraId="5057643D">
      <w:pPr>
        <w:keepNext w:val="0"/>
        <w:keepLines w:val="0"/>
        <w:pageBreakBefore w:val="0"/>
        <w:wordWrap w:val="0"/>
        <w:overflowPunct/>
        <w:topLinePunct w:val="0"/>
        <w:bidi w:val="0"/>
        <w:outlineLvl w:val="9"/>
        <w:rPr>
          <w:rFonts w:hint="eastAsia" w:ascii="宋体" w:hAnsi="宋体" w:eastAsia="宋体" w:cs="宋体"/>
          <w:color w:val="auto"/>
          <w:spacing w:val="0"/>
          <w:highlight w:val="none"/>
          <w:lang w:eastAsia="zh-CN"/>
        </w:rPr>
      </w:pPr>
      <w:r>
        <w:rPr>
          <w:rFonts w:hint="eastAsia" w:ascii="宋体" w:hAnsi="宋体" w:eastAsia="宋体" w:cs="宋体"/>
          <w:b/>
          <w:bCs/>
          <w:color w:val="auto"/>
          <w:spacing w:val="0"/>
          <w:sz w:val="24"/>
          <w:szCs w:val="24"/>
          <w:highlight w:val="none"/>
          <w:lang w:eastAsia="zh-CN"/>
        </w:rPr>
        <w:t>投标总价下浮率=（1-投标总价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100%</w:t>
      </w:r>
    </w:p>
    <w:p w14:paraId="26893D44">
      <w:pPr>
        <w:keepNext w:val="0"/>
        <w:keepLines w:val="0"/>
        <w:pageBreakBefore w:val="0"/>
        <w:wordWrap w:val="0"/>
        <w:overflowPunct/>
        <w:topLinePunct w:val="0"/>
        <w:bidi w:val="0"/>
        <w:spacing w:before="146" w:line="325" w:lineRule="auto"/>
        <w:ind w:left="29" w:right="153" w:firstLine="45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9.8  </w:t>
      </w:r>
      <w:r>
        <w:rPr>
          <w:rFonts w:hint="eastAsia" w:ascii="宋体" w:hAnsi="宋体" w:eastAsia="宋体" w:cs="宋体"/>
          <w:color w:val="auto"/>
          <w:spacing w:val="0"/>
          <w:sz w:val="24"/>
          <w:szCs w:val="24"/>
          <w:highlight w:val="none"/>
        </w:rPr>
        <w:t>投标人的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报价必须达到或超过</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中提供的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w:t>
      </w:r>
    </w:p>
    <w:p w14:paraId="53807F55">
      <w:pPr>
        <w:keepNext w:val="0"/>
        <w:keepLines w:val="0"/>
        <w:pageBreakBefore w:val="0"/>
        <w:wordWrap w:val="0"/>
        <w:overflowPunct/>
        <w:topLinePunct w:val="0"/>
        <w:bidi w:val="0"/>
        <w:spacing w:before="78" w:line="309" w:lineRule="auto"/>
        <w:ind w:right="99"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9.9  </w:t>
      </w:r>
      <w:r>
        <w:rPr>
          <w:rFonts w:hint="eastAsia" w:ascii="宋体" w:hAnsi="宋体" w:eastAsia="宋体" w:cs="宋体"/>
          <w:color w:val="auto"/>
          <w:spacing w:val="0"/>
          <w:sz w:val="24"/>
          <w:szCs w:val="24"/>
          <w:highlight w:val="none"/>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2C55C240">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42" w:name="_Toc13188"/>
      <w:bookmarkStart w:id="43" w:name="_Toc16322"/>
      <w:r>
        <w:rPr>
          <w:rFonts w:hint="eastAsia" w:ascii="宋体" w:hAnsi="宋体" w:eastAsia="宋体" w:cs="宋体"/>
          <w:b/>
          <w:bCs/>
          <w:color w:val="auto"/>
          <w:spacing w:val="0"/>
          <w:sz w:val="24"/>
          <w:szCs w:val="24"/>
          <w:highlight w:val="none"/>
        </w:rPr>
        <w:t>10 ．投标文件的编制要求</w:t>
      </w:r>
      <w:bookmarkEnd w:id="42"/>
      <w:bookmarkEnd w:id="43"/>
    </w:p>
    <w:p w14:paraId="1F54BDA4">
      <w:pPr>
        <w:keepNext w:val="0"/>
        <w:keepLines w:val="0"/>
        <w:pageBreakBefore w:val="0"/>
        <w:wordWrap w:val="0"/>
        <w:overflowPunct/>
        <w:topLinePunct w:val="0"/>
        <w:bidi w:val="0"/>
        <w:spacing w:before="152" w:line="222" w:lineRule="auto"/>
        <w:ind w:left="496"/>
        <w:outlineLvl w:val="3"/>
        <w:rPr>
          <w:rFonts w:hint="eastAsia" w:ascii="宋体" w:hAnsi="宋体" w:eastAsia="宋体" w:cs="宋体"/>
          <w:color w:val="auto"/>
          <w:spacing w:val="0"/>
          <w:sz w:val="24"/>
          <w:szCs w:val="24"/>
          <w:highlight w:val="none"/>
        </w:rPr>
      </w:pPr>
      <w:bookmarkStart w:id="44" w:name="_Toc20590"/>
      <w:bookmarkStart w:id="45" w:name="_Toc22937"/>
      <w:r>
        <w:rPr>
          <w:rFonts w:hint="eastAsia" w:ascii="宋体" w:hAnsi="宋体" w:eastAsia="宋体" w:cs="宋体"/>
          <w:b/>
          <w:bCs/>
          <w:color w:val="auto"/>
          <w:spacing w:val="0"/>
          <w:sz w:val="24"/>
          <w:szCs w:val="24"/>
          <w:highlight w:val="none"/>
        </w:rPr>
        <w:t xml:space="preserve">10.1  </w:t>
      </w:r>
      <w:r>
        <w:rPr>
          <w:rFonts w:hint="eastAsia" w:ascii="宋体" w:hAnsi="宋体" w:eastAsia="宋体" w:cs="宋体"/>
          <w:color w:val="auto"/>
          <w:spacing w:val="0"/>
          <w:sz w:val="24"/>
          <w:szCs w:val="24"/>
          <w:highlight w:val="none"/>
        </w:rPr>
        <w:t>一般要求</w:t>
      </w:r>
      <w:bookmarkEnd w:id="44"/>
      <w:bookmarkEnd w:id="45"/>
    </w:p>
    <w:p w14:paraId="02B08D9F">
      <w:pPr>
        <w:keepNext w:val="0"/>
        <w:keepLines w:val="0"/>
        <w:pageBreakBefore w:val="0"/>
        <w:wordWrap w:val="0"/>
        <w:overflowPunct/>
        <w:topLinePunct w:val="0"/>
        <w:bidi w:val="0"/>
        <w:spacing w:before="118" w:line="295" w:lineRule="auto"/>
        <w:ind w:left="11" w:right="99"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投标文件应按第六章投标文件格式规定的内容，投标人提交的投标文件应当使用招标文件所提供的投标文件全部格式。</w:t>
      </w:r>
    </w:p>
    <w:p w14:paraId="6C56DEED">
      <w:pPr>
        <w:keepNext w:val="0"/>
        <w:keepLines w:val="0"/>
        <w:pageBreakBefore w:val="0"/>
        <w:wordWrap w:val="0"/>
        <w:overflowPunct/>
        <w:topLinePunct w:val="0"/>
        <w:bidi w:val="0"/>
        <w:spacing w:before="68" w:line="299" w:lineRule="auto"/>
        <w:ind w:left="11" w:right="99" w:firstLine="56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10.1.1  </w:t>
      </w:r>
      <w:r>
        <w:rPr>
          <w:rFonts w:hint="eastAsia" w:ascii="宋体" w:hAnsi="宋体" w:eastAsia="宋体" w:cs="宋体"/>
          <w:color w:val="auto"/>
          <w:spacing w:val="0"/>
          <w:sz w:val="24"/>
          <w:szCs w:val="24"/>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3FFC15B9">
      <w:pPr>
        <w:keepNext w:val="0"/>
        <w:keepLines w:val="0"/>
        <w:pageBreakBefore w:val="0"/>
        <w:wordWrap w:val="0"/>
        <w:overflowPunct/>
        <w:topLinePunct w:val="0"/>
        <w:bidi w:val="0"/>
        <w:spacing w:before="123" w:line="290" w:lineRule="auto"/>
        <w:ind w:left="8" w:firstLine="56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10.1.2  </w:t>
      </w:r>
      <w:r>
        <w:rPr>
          <w:rFonts w:hint="eastAsia" w:ascii="宋体" w:hAnsi="宋体" w:eastAsia="宋体" w:cs="宋体"/>
          <w:color w:val="auto"/>
          <w:spacing w:val="0"/>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59ADE83A">
      <w:pPr>
        <w:keepNext w:val="0"/>
        <w:keepLines w:val="0"/>
        <w:pageBreakBefore w:val="0"/>
        <w:wordWrap w:val="0"/>
        <w:overflowPunct/>
        <w:topLinePunct w:val="0"/>
        <w:bidi w:val="0"/>
        <w:spacing w:before="1" w:line="219" w:lineRule="auto"/>
        <w:ind w:left="5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10.1.3  </w:t>
      </w:r>
      <w:r>
        <w:rPr>
          <w:rFonts w:hint="eastAsia" w:ascii="宋体" w:hAnsi="宋体" w:eastAsia="宋体" w:cs="宋体"/>
          <w:color w:val="auto"/>
          <w:spacing w:val="0"/>
          <w:sz w:val="24"/>
          <w:szCs w:val="24"/>
          <w:highlight w:val="none"/>
        </w:rPr>
        <w:t>投标文件需按以下要求签字、盖章：电子投标文件：</w:t>
      </w:r>
    </w:p>
    <w:p w14:paraId="428A1CF9">
      <w:pPr>
        <w:keepNext w:val="0"/>
        <w:keepLines w:val="0"/>
        <w:pageBreakBefore w:val="0"/>
        <w:wordWrap w:val="0"/>
        <w:overflowPunct/>
        <w:topLinePunct w:val="0"/>
        <w:bidi w:val="0"/>
        <w:spacing w:before="111" w:line="279" w:lineRule="auto"/>
        <w:ind w:right="133"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投标文件封面、组成内容中凡注明“签字 ”处由要求的人员签字或电子签章；凡注明“签字或盖章 ”处由要求的人员签字或盖其私章（电子印章）；凡注明 “签字并盖执业印章 ”处由要求的人员签字并盖其执业印章。</w:t>
      </w:r>
    </w:p>
    <w:p w14:paraId="70886EB7">
      <w:pPr>
        <w:keepNext w:val="0"/>
        <w:keepLines w:val="0"/>
        <w:pageBreakBefore w:val="0"/>
        <w:wordWrap w:val="0"/>
        <w:overflowPunct/>
        <w:topLinePunct w:val="0"/>
        <w:bidi w:val="0"/>
        <w:spacing w:before="112" w:line="264" w:lineRule="auto"/>
        <w:ind w:left="13" w:right="133" w:firstLine="5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投标文件封套、封面、组成内容中凡要求录入投标人名称且注明“盖单位章 ”处盖单位法人公章（电子印章）。</w:t>
      </w:r>
    </w:p>
    <w:p w14:paraId="1FE02488">
      <w:pPr>
        <w:keepNext w:val="0"/>
        <w:keepLines w:val="0"/>
        <w:pageBreakBefore w:val="0"/>
        <w:wordWrap w:val="0"/>
        <w:overflowPunct/>
        <w:topLinePunct w:val="0"/>
        <w:bidi w:val="0"/>
        <w:spacing w:before="146" w:line="279" w:lineRule="auto"/>
        <w:ind w:left="16" w:right="135"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投标文件的签字均为签字人本人亲笔署名或签章（电子印章），其余部分的复印件无须另行签字、盖章。</w:t>
      </w:r>
    </w:p>
    <w:p w14:paraId="44F21114">
      <w:pPr>
        <w:keepNext w:val="0"/>
        <w:keepLines w:val="0"/>
        <w:pageBreakBefore w:val="0"/>
        <w:wordWrap w:val="0"/>
        <w:overflowPunct/>
        <w:topLinePunct w:val="0"/>
        <w:bidi w:val="0"/>
        <w:spacing w:before="155" w:line="219" w:lineRule="auto"/>
        <w:ind w:left="0" w:leftChars="0" w:firstLine="482" w:firstLineChars="200"/>
        <w:outlineLvl w:val="3"/>
        <w:rPr>
          <w:rFonts w:hint="eastAsia" w:ascii="宋体" w:hAnsi="宋体" w:eastAsia="宋体" w:cs="宋体"/>
          <w:b w:val="0"/>
          <w:bCs w:val="0"/>
          <w:color w:val="auto"/>
          <w:spacing w:val="0"/>
          <w:sz w:val="24"/>
          <w:szCs w:val="24"/>
          <w:highlight w:val="none"/>
        </w:rPr>
      </w:pPr>
      <w:bookmarkStart w:id="46" w:name="_Toc20223"/>
      <w:bookmarkStart w:id="47" w:name="_Toc21271"/>
      <w:r>
        <w:rPr>
          <w:rFonts w:hint="eastAsia" w:ascii="宋体" w:hAnsi="宋体" w:eastAsia="宋体" w:cs="宋体"/>
          <w:b/>
          <w:bCs/>
          <w:color w:val="auto"/>
          <w:spacing w:val="0"/>
          <w:sz w:val="24"/>
          <w:szCs w:val="24"/>
          <w:highlight w:val="none"/>
        </w:rPr>
        <w:t xml:space="preserve">10.1.3.4 </w:t>
      </w:r>
      <w:r>
        <w:rPr>
          <w:rFonts w:hint="eastAsia" w:ascii="宋体" w:hAnsi="宋体" w:eastAsia="宋体" w:cs="宋体"/>
          <w:color w:val="auto"/>
          <w:spacing w:val="0"/>
          <w:sz w:val="24"/>
          <w:szCs w:val="24"/>
          <w:highlight w:val="none"/>
        </w:rPr>
        <w:t>联合体投标的，除《联合体协议书》外，由联合体牵头人按以上要求签亲笔署名或签章（电子印章）即可。</w:t>
      </w:r>
    </w:p>
    <w:p w14:paraId="712CD189">
      <w:pPr>
        <w:keepNext w:val="0"/>
        <w:keepLines w:val="0"/>
        <w:pageBreakBefore w:val="0"/>
        <w:wordWrap w:val="0"/>
        <w:overflowPunct/>
        <w:topLinePunct w:val="0"/>
        <w:bidi w:val="0"/>
        <w:spacing w:before="155" w:line="219" w:lineRule="auto"/>
        <w:ind w:left="500"/>
        <w:outlineLvl w:val="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  </w:t>
      </w:r>
      <w:r>
        <w:rPr>
          <w:rFonts w:hint="eastAsia" w:ascii="宋体" w:hAnsi="宋体" w:eastAsia="宋体" w:cs="宋体"/>
          <w:color w:val="auto"/>
          <w:spacing w:val="0"/>
          <w:sz w:val="24"/>
          <w:szCs w:val="24"/>
          <w:highlight w:val="none"/>
        </w:rPr>
        <w:t>商务标书的编制要求</w:t>
      </w:r>
      <w:bookmarkEnd w:id="46"/>
      <w:bookmarkEnd w:id="47"/>
    </w:p>
    <w:p w14:paraId="019ECCDB">
      <w:pPr>
        <w:keepNext w:val="0"/>
        <w:keepLines w:val="0"/>
        <w:pageBreakBefore w:val="0"/>
        <w:wordWrap w:val="0"/>
        <w:overflowPunct/>
        <w:topLinePunct w:val="0"/>
        <w:bidi w:val="0"/>
        <w:spacing w:before="157" w:line="219" w:lineRule="auto"/>
        <w:ind w:left="58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商务标书包括但不限于以下内容：</w:t>
      </w:r>
    </w:p>
    <w:p w14:paraId="31EB0ABF">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4A190F17">
      <w:pPr>
        <w:keepNext w:val="0"/>
        <w:keepLines w:val="0"/>
        <w:pageBreakBefore w:val="0"/>
        <w:wordWrap w:val="0"/>
        <w:overflowPunct/>
        <w:topLinePunct w:val="0"/>
        <w:bidi w:val="0"/>
        <w:spacing w:before="153" w:line="222"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1F18C31C">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（3）《投标函》（格式二）；</w:t>
      </w:r>
    </w:p>
    <w:p w14:paraId="2E24DC11">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（4）《各项承诺一览表》（格式三）；</w:t>
      </w:r>
    </w:p>
    <w:p w14:paraId="54330406">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（5）《授权委托书》（格式四）；</w:t>
      </w:r>
    </w:p>
    <w:p w14:paraId="05B4FE81">
      <w:pPr>
        <w:keepNext w:val="0"/>
        <w:keepLines w:val="0"/>
        <w:pageBreakBefore w:val="0"/>
        <w:wordWrap w:val="0"/>
        <w:overflowPunct/>
        <w:topLinePunct w:val="0"/>
        <w:bidi w:val="0"/>
        <w:spacing w:before="156"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（6）《法定代表人身份证明》（格式五）；</w:t>
      </w:r>
    </w:p>
    <w:p w14:paraId="49E985F1">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（7）《联合体协议书》</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如有</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（格式六）及所附资料；</w:t>
      </w:r>
    </w:p>
    <w:p w14:paraId="37DFCCB5">
      <w:pPr>
        <w:keepNext w:val="0"/>
        <w:keepLines w:val="0"/>
        <w:pageBreakBefore w:val="0"/>
        <w:wordWrap w:val="0"/>
        <w:overflowPunct/>
        <w:topLinePunct w:val="0"/>
        <w:bidi w:val="0"/>
        <w:spacing w:before="153" w:line="309" w:lineRule="auto"/>
        <w:ind w:left="13" w:right="133"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auto"/>
          <w:spacing w:val="0"/>
          <w:sz w:val="24"/>
          <w:szCs w:val="24"/>
          <w:highlight w:val="none"/>
        </w:rPr>
        <w:t>《韶关市公共资源交易一体化平台保证金缴纳信息》页面截图</w:t>
      </w:r>
      <w:r>
        <w:rPr>
          <w:rFonts w:hint="eastAsia" w:ascii="宋体" w:hAnsi="宋体" w:eastAsia="宋体" w:cs="宋体"/>
          <w:color w:val="auto"/>
          <w:spacing w:val="0"/>
          <w:sz w:val="24"/>
          <w:szCs w:val="24"/>
          <w:highlight w:val="none"/>
        </w:rPr>
        <w:t>）；</w:t>
      </w:r>
    </w:p>
    <w:p w14:paraId="65B9BA93">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（9）《投标人基本情况表》（格式七）及所附资料；</w:t>
      </w:r>
    </w:p>
    <w:p w14:paraId="3BFA4E07">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（10）《项目经理简历表》（格式八）及所附资料；</w:t>
      </w:r>
    </w:p>
    <w:p w14:paraId="6715BECA">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（11）《项目经理任职声明》（格式九）；</w:t>
      </w:r>
    </w:p>
    <w:p w14:paraId="19251316">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（12）《项目技术负责人简历表》（格式十）及所附资料；</w:t>
      </w:r>
    </w:p>
    <w:p w14:paraId="3D769AD2">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（13）《项</w:t>
      </w:r>
      <w:bookmarkStart w:id="48" w:name="OLE_LINK7"/>
      <w:r>
        <w:rPr>
          <w:rFonts w:hint="eastAsia" w:ascii="宋体" w:hAnsi="宋体" w:eastAsia="宋体" w:cs="宋体"/>
          <w:color w:val="auto"/>
          <w:spacing w:val="0"/>
          <w:sz w:val="24"/>
          <w:szCs w:val="24"/>
          <w:highlight w:val="none"/>
        </w:rPr>
        <w:t>目管理机构组成表》（格式十一）及</w:t>
      </w:r>
      <w:bookmarkEnd w:id="48"/>
      <w:r>
        <w:rPr>
          <w:rFonts w:hint="eastAsia" w:ascii="宋体" w:hAnsi="宋体" w:eastAsia="宋体" w:cs="宋体"/>
          <w:color w:val="auto"/>
          <w:spacing w:val="0"/>
          <w:sz w:val="24"/>
          <w:szCs w:val="24"/>
          <w:highlight w:val="none"/>
        </w:rPr>
        <w:t>所附资料；</w:t>
      </w:r>
    </w:p>
    <w:p w14:paraId="72296F36">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（14）本节第 </w:t>
      </w:r>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目“评标方法 ”要求提供的评审资料；</w:t>
      </w:r>
    </w:p>
    <w:p w14:paraId="09FFCDE8">
      <w:pPr>
        <w:keepNext w:val="0"/>
        <w:keepLines w:val="0"/>
        <w:pageBreakBefore w:val="0"/>
        <w:wordWrap w:val="0"/>
        <w:overflowPunct/>
        <w:topLinePunct w:val="0"/>
        <w:bidi w:val="0"/>
        <w:spacing w:before="78" w:line="299" w:lineRule="auto"/>
        <w:ind w:left="8" w:right="61"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（15）投标人认为有必要补充的其他资料。（例如投标人已经工商变更，但其企业资质证书、安全生产许可证或其员工执业资格注册证书上的企业名称未能在投标期间完成变更的书面说明和佐证材料等）</w:t>
      </w:r>
    </w:p>
    <w:p w14:paraId="5690752B">
      <w:pPr>
        <w:keepNext w:val="0"/>
        <w:keepLines w:val="0"/>
        <w:pageBreakBefore w:val="0"/>
        <w:wordWrap w:val="0"/>
        <w:overflowPunct/>
        <w:topLinePunct w:val="0"/>
        <w:bidi w:val="0"/>
        <w:spacing w:before="155" w:line="262" w:lineRule="auto"/>
        <w:ind w:left="9" w:right="61"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目中所列出的商务标书组成内容中，第（1）至第（13）项所有投标人均应提供，</w:t>
      </w:r>
      <w:r>
        <w:rPr>
          <w:rFonts w:hint="eastAsia" w:ascii="宋体" w:hAnsi="宋体" w:eastAsia="宋体" w:cs="宋体"/>
          <w:b/>
          <w:bCs/>
          <w:color w:val="auto"/>
          <w:spacing w:val="0"/>
          <w:sz w:val="24"/>
          <w:szCs w:val="24"/>
          <w:highlight w:val="none"/>
        </w:rPr>
        <w:t>但非联合体投标的，无需提供第（7）项内容。</w:t>
      </w:r>
    </w:p>
    <w:p w14:paraId="7DCE5067">
      <w:pPr>
        <w:keepNext w:val="0"/>
        <w:keepLines w:val="0"/>
        <w:pageBreakBefore w:val="0"/>
        <w:wordWrap w:val="0"/>
        <w:overflowPunct/>
        <w:topLinePunct w:val="0"/>
        <w:bidi w:val="0"/>
        <w:spacing w:before="199" w:line="279" w:lineRule="auto"/>
        <w:ind w:right="6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10.2.3 </w:t>
      </w:r>
      <w:r>
        <w:rPr>
          <w:rFonts w:hint="eastAsia" w:ascii="宋体" w:hAnsi="宋体" w:eastAsia="宋体" w:cs="宋体"/>
          <w:color w:val="auto"/>
          <w:spacing w:val="0"/>
          <w:sz w:val="24"/>
          <w:szCs w:val="24"/>
          <w:highlight w:val="none"/>
        </w:rPr>
        <w:t>商务标书的组成内容按本节第 10.2.1 目规定的顺序整理、编排后，逐页（页码起始从封面开始）连续标记页码。</w:t>
      </w:r>
    </w:p>
    <w:p w14:paraId="2508E257">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1FAC894">
      <w:pPr>
        <w:keepNext w:val="0"/>
        <w:keepLines w:val="0"/>
        <w:pageBreakBefore w:val="0"/>
        <w:wordWrap w:val="0"/>
        <w:overflowPunct/>
        <w:topLinePunct w:val="0"/>
        <w:bidi w:val="0"/>
        <w:spacing w:before="78" w:line="219" w:lineRule="auto"/>
        <w:ind w:left="496"/>
        <w:outlineLvl w:val="3"/>
        <w:rPr>
          <w:rFonts w:hint="eastAsia" w:ascii="宋体" w:hAnsi="宋体" w:eastAsia="宋体" w:cs="宋体"/>
          <w:color w:val="auto"/>
          <w:spacing w:val="0"/>
          <w:sz w:val="24"/>
          <w:szCs w:val="24"/>
          <w:highlight w:val="none"/>
        </w:rPr>
      </w:pPr>
      <w:bookmarkStart w:id="49" w:name="_Toc29370"/>
      <w:bookmarkStart w:id="50" w:name="_Toc10602"/>
      <w:r>
        <w:rPr>
          <w:rFonts w:hint="eastAsia" w:ascii="宋体" w:hAnsi="宋体" w:eastAsia="宋体" w:cs="宋体"/>
          <w:b/>
          <w:bCs/>
          <w:color w:val="auto"/>
          <w:spacing w:val="0"/>
          <w:sz w:val="24"/>
          <w:szCs w:val="24"/>
          <w:highlight w:val="none"/>
        </w:rPr>
        <w:t xml:space="preserve">10.3  </w:t>
      </w:r>
      <w:r>
        <w:rPr>
          <w:rFonts w:hint="eastAsia" w:ascii="宋体" w:hAnsi="宋体" w:eastAsia="宋体" w:cs="宋体"/>
          <w:color w:val="auto"/>
          <w:spacing w:val="0"/>
          <w:sz w:val="24"/>
          <w:szCs w:val="24"/>
          <w:highlight w:val="none"/>
        </w:rPr>
        <w:t>经济标书的编制要求</w:t>
      </w:r>
      <w:bookmarkEnd w:id="49"/>
      <w:bookmarkEnd w:id="50"/>
    </w:p>
    <w:p w14:paraId="58AE3CD4">
      <w:pPr>
        <w:keepNext w:val="0"/>
        <w:keepLines w:val="0"/>
        <w:pageBreakBefore w:val="0"/>
        <w:wordWrap w:val="0"/>
        <w:overflowPunct/>
        <w:topLinePunct w:val="0"/>
        <w:bidi w:val="0"/>
        <w:spacing w:before="154"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经济标书包括以下内容：</w:t>
      </w:r>
    </w:p>
    <w:p w14:paraId="45B78DBA">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4F28CB15">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0B134D18">
      <w:pPr>
        <w:keepNext w:val="0"/>
        <w:keepLines w:val="0"/>
        <w:pageBreakBefore w:val="0"/>
        <w:wordWrap w:val="0"/>
        <w:overflowPunct/>
        <w:topLinePunct w:val="0"/>
        <w:bidi w:val="0"/>
        <w:spacing w:before="150"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（3）《投标总价》；</w:t>
      </w:r>
    </w:p>
    <w:p w14:paraId="470AD640">
      <w:pPr>
        <w:keepNext w:val="0"/>
        <w:keepLines w:val="0"/>
        <w:pageBreakBefore w:val="0"/>
        <w:wordWrap w:val="0"/>
        <w:overflowPunct/>
        <w:topLinePunct w:val="0"/>
        <w:bidi w:val="0"/>
        <w:spacing w:before="155" w:line="220" w:lineRule="auto"/>
        <w:ind w:left="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说明：《投标总价》的格式按照《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》（GB/T50500-2024）执行，并应满足以下要求：</w:t>
      </w:r>
    </w:p>
    <w:p w14:paraId="1DBC1738">
      <w:pPr>
        <w:keepNext w:val="0"/>
        <w:keepLines w:val="0"/>
        <w:pageBreakBefore w:val="0"/>
        <w:wordWrap w:val="0"/>
        <w:overflowPunct/>
        <w:topLinePunct w:val="0"/>
        <w:bidi w:val="0"/>
        <w:spacing w:before="150" w:line="309" w:lineRule="auto"/>
        <w:ind w:left="8"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．《投标总价》后应附编制人的造价工程师注册证书彩色扫描件（须扫描至变更注册栏，</w:t>
      </w:r>
      <w:r>
        <w:rPr>
          <w:rFonts w:hint="eastAsia" w:ascii="宋体" w:hAnsi="宋体" w:eastAsia="宋体" w:cs="宋体"/>
          <w:b/>
          <w:bCs/>
          <w:color w:val="auto"/>
          <w:spacing w:val="0"/>
          <w:sz w:val="24"/>
          <w:szCs w:val="24"/>
          <w:highlight w:val="none"/>
        </w:rPr>
        <w:t>一级造价师或二级造价师均可提供电子证书</w:t>
      </w:r>
      <w:r>
        <w:rPr>
          <w:rFonts w:hint="eastAsia" w:ascii="宋体" w:hAnsi="宋体" w:eastAsia="宋体" w:cs="宋体"/>
          <w:color w:val="auto"/>
          <w:spacing w:val="0"/>
          <w:sz w:val="24"/>
          <w:szCs w:val="24"/>
          <w:highlight w:val="none"/>
        </w:rPr>
        <w:t>）；投标人委托造价咨询单位编制《投标总价》的，在该扉页“投标人”栏目加盖造价咨询人公章，并在该扉页后附造价咨询人的营业执照副本彩色扫描件。</w:t>
      </w:r>
    </w:p>
    <w:p w14:paraId="11E213A5">
      <w:pPr>
        <w:keepNext w:val="0"/>
        <w:keepLines w:val="0"/>
        <w:pageBreakBefore w:val="0"/>
        <w:wordWrap w:val="0"/>
        <w:overflowPunct/>
        <w:topLinePunct w:val="0"/>
        <w:bidi w:val="0"/>
        <w:spacing w:before="119" w:line="314" w:lineRule="auto"/>
        <w:ind w:left="10" w:right="6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投标人认为有必要补充的其他资料（例如关于投标总价下浮率超过 15%的书面说明和佐证材料）。</w:t>
      </w:r>
    </w:p>
    <w:p w14:paraId="18794571">
      <w:pPr>
        <w:keepNext w:val="0"/>
        <w:keepLines w:val="0"/>
        <w:pageBreakBefore w:val="0"/>
        <w:wordWrap w:val="0"/>
        <w:overflowPunct/>
        <w:topLinePunct w:val="0"/>
        <w:bidi w:val="0"/>
        <w:spacing w:before="99" w:line="280" w:lineRule="auto"/>
        <w:ind w:left="10" w:right="63"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目中所列出的经济标书组成内容中，第（1）至第（3）项所有投标人均应提供。</w:t>
      </w:r>
    </w:p>
    <w:p w14:paraId="4A4F5FB9">
      <w:pPr>
        <w:keepNext w:val="0"/>
        <w:keepLines w:val="0"/>
        <w:pageBreakBefore w:val="0"/>
        <w:wordWrap w:val="0"/>
        <w:overflowPunct/>
        <w:topLinePunct w:val="0"/>
        <w:bidi w:val="0"/>
        <w:spacing w:before="155" w:line="279" w:lineRule="auto"/>
        <w:ind w:left="8" w:right="61"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10.3.3 </w:t>
      </w:r>
      <w:r>
        <w:rPr>
          <w:rFonts w:hint="eastAsia" w:ascii="宋体" w:hAnsi="宋体" w:eastAsia="宋体" w:cs="宋体"/>
          <w:color w:val="auto"/>
          <w:spacing w:val="0"/>
          <w:sz w:val="24"/>
          <w:szCs w:val="24"/>
          <w:highlight w:val="none"/>
        </w:rPr>
        <w:t>经济标书的组成内容按本节第 10.3.1 目规定的顺序整理、编排后，逐页（页码起始从封面开始）连续标记页码。</w:t>
      </w:r>
    </w:p>
    <w:p w14:paraId="264838D4">
      <w:pPr>
        <w:keepNext w:val="0"/>
        <w:keepLines w:val="0"/>
        <w:pageBreakBefore w:val="0"/>
        <w:wordWrap w:val="0"/>
        <w:overflowPunct/>
        <w:topLinePunct w:val="0"/>
        <w:bidi w:val="0"/>
        <w:spacing w:before="82" w:line="213" w:lineRule="auto"/>
        <w:ind w:left="496"/>
        <w:outlineLvl w:val="3"/>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10.4  </w:t>
      </w:r>
      <w:r>
        <w:rPr>
          <w:rFonts w:hint="eastAsia" w:ascii="宋体" w:hAnsi="宋体" w:eastAsia="宋体" w:cs="宋体"/>
          <w:color w:val="auto"/>
          <w:spacing w:val="0"/>
          <w:sz w:val="24"/>
          <w:szCs w:val="24"/>
          <w:highlight w:val="none"/>
        </w:rPr>
        <w:t>施工组织设计的编制要求</w:t>
      </w:r>
    </w:p>
    <w:p w14:paraId="32650AA7">
      <w:pPr>
        <w:keepNext w:val="0"/>
        <w:keepLines w:val="0"/>
        <w:pageBreakBefore w:val="0"/>
        <w:wordWrap w:val="0"/>
        <w:overflowPunct/>
        <w:topLinePunct w:val="0"/>
        <w:bidi w:val="0"/>
        <w:spacing w:before="151"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10.4.1 </w:t>
      </w:r>
      <w:r>
        <w:rPr>
          <w:rFonts w:hint="eastAsia" w:ascii="宋体" w:hAnsi="宋体" w:eastAsia="宋体" w:cs="宋体"/>
          <w:color w:val="auto"/>
          <w:spacing w:val="0"/>
          <w:sz w:val="24"/>
          <w:szCs w:val="24"/>
          <w:highlight w:val="none"/>
        </w:rPr>
        <w:t>施工组织设计的编制依据包括且不限于：</w:t>
      </w:r>
    </w:p>
    <w:p w14:paraId="2CC53D1B">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（1）招标文件及其答疑（或修改）公告；</w:t>
      </w:r>
    </w:p>
    <w:p w14:paraId="3CBC08F9">
      <w:pPr>
        <w:keepNext w:val="0"/>
        <w:keepLines w:val="0"/>
        <w:pageBreakBefore w:val="0"/>
        <w:wordWrap w:val="0"/>
        <w:overflowPunct/>
        <w:topLinePunct w:val="0"/>
        <w:bidi w:val="0"/>
        <w:spacing w:before="155"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（2）施工图及相关资料；</w:t>
      </w:r>
    </w:p>
    <w:p w14:paraId="1FF9E32E">
      <w:pPr>
        <w:keepNext w:val="0"/>
        <w:keepLines w:val="0"/>
        <w:pageBreakBefore w:val="0"/>
        <w:wordWrap w:val="0"/>
        <w:overflowPunct/>
        <w:topLinePunct w:val="0"/>
        <w:bidi w:val="0"/>
        <w:spacing w:before="152"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（3）施工现场情况、工程特点；</w:t>
      </w:r>
    </w:p>
    <w:p w14:paraId="1F6D01DE">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（4）相关法律、法规、规定；</w:t>
      </w:r>
    </w:p>
    <w:p w14:paraId="67890EFC">
      <w:pPr>
        <w:keepNext w:val="0"/>
        <w:keepLines w:val="0"/>
        <w:pageBreakBefore w:val="0"/>
        <w:wordWrap w:val="0"/>
        <w:overflowPunct/>
        <w:topLinePunct w:val="0"/>
        <w:bidi w:val="0"/>
        <w:spacing w:before="153" w:line="299" w:lineRule="auto"/>
        <w:ind w:left="10" w:right="21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2455FECA">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（6）企业内部标准、工法。</w:t>
      </w:r>
    </w:p>
    <w:p w14:paraId="3E0DE143">
      <w:pPr>
        <w:keepNext w:val="0"/>
        <w:keepLines w:val="0"/>
        <w:pageBreakBefore w:val="0"/>
        <w:wordWrap w:val="0"/>
        <w:overflowPunct/>
        <w:topLinePunct w:val="0"/>
        <w:bidi w:val="0"/>
        <w:spacing w:before="153"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施工组织设计包括但不限于以下内容：</w:t>
      </w:r>
    </w:p>
    <w:p w14:paraId="0A616D39">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781D260F">
      <w:pPr>
        <w:keepNext w:val="0"/>
        <w:keepLines w:val="0"/>
        <w:pageBreakBefore w:val="0"/>
        <w:wordWrap w:val="0"/>
        <w:overflowPunct/>
        <w:topLinePunct w:val="0"/>
        <w:bidi w:val="0"/>
        <w:spacing w:before="156"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（2）目录；</w:t>
      </w:r>
    </w:p>
    <w:p w14:paraId="647BA50A">
      <w:pPr>
        <w:keepNext w:val="0"/>
        <w:keepLines w:val="0"/>
        <w:pageBreakBefore w:val="0"/>
        <w:wordWrap w:val="0"/>
        <w:overflowPunct/>
        <w:topLinePunct w:val="0"/>
        <w:bidi w:val="0"/>
        <w:spacing w:before="150"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（3）总体概述（包括施工程序总体设想及施工段划分等内容）；</w:t>
      </w:r>
    </w:p>
    <w:p w14:paraId="738A6B2B">
      <w:pPr>
        <w:keepNext w:val="0"/>
        <w:keepLines w:val="0"/>
        <w:pageBreakBefore w:val="0"/>
        <w:wordWrap w:val="0"/>
        <w:overflowPunct/>
        <w:topLinePunct w:val="0"/>
        <w:bidi w:val="0"/>
        <w:spacing w:before="154" w:line="299" w:lineRule="auto"/>
        <w:ind w:left="9" w:right="21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（4）施工总进度计划及保证措施（包括进度管理目标；以横道图或标明关键线路的网络进度计划；保障进度计划需要的人、材、机需求计划及保证措施；违约责任承诺等内容）；</w:t>
      </w:r>
    </w:p>
    <w:p w14:paraId="29D24596">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（5）质量保证措施（包括质量管理目标；相应保证措施；违约责任承诺等内容</w:t>
      </w:r>
      <w:r>
        <w:rPr>
          <w:rFonts w:hint="eastAsia" w:ascii="宋体" w:hAnsi="宋体" w:eastAsia="宋体" w:cs="宋体"/>
          <w:color w:val="auto"/>
          <w:spacing w:val="0"/>
          <w:w w:val="97"/>
          <w:sz w:val="24"/>
          <w:szCs w:val="24"/>
          <w:highlight w:val="none"/>
        </w:rPr>
        <w:t>）；</w:t>
      </w:r>
    </w:p>
    <w:p w14:paraId="0C06049B">
      <w:pPr>
        <w:keepNext w:val="0"/>
        <w:keepLines w:val="0"/>
        <w:pageBreakBefore w:val="0"/>
        <w:wordWrap w:val="0"/>
        <w:overflowPunct/>
        <w:topLinePunct w:val="0"/>
        <w:bidi w:val="0"/>
        <w:spacing w:before="156" w:line="279" w:lineRule="auto"/>
        <w:ind w:left="11" w:right="2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（6）施工技术措施（包括关键施工技术、工艺及工程项目实施的重点、难点分析和解决方案；新技术应用与承诺等内容）；</w:t>
      </w:r>
    </w:p>
    <w:p w14:paraId="7DBAE162">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（7）绿色施工、安全防护、文明施工措施计划(应对建设单位组织的勘察设计等单位在施工招标文件中列出的危大工程清单(详见格式十三)进行投标文件回应，如有)；</w:t>
      </w:r>
    </w:p>
    <w:p w14:paraId="5355E3A3">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（8）施工现场总平面布置（</w:t>
      </w:r>
      <w:bookmarkStart w:id="51" w:name="OLE_LINK8"/>
      <w:r>
        <w:rPr>
          <w:rFonts w:hint="eastAsia" w:ascii="宋体" w:hAnsi="宋体" w:eastAsia="宋体" w:cs="宋体"/>
          <w:color w:val="auto"/>
          <w:spacing w:val="0"/>
          <w:sz w:val="24"/>
          <w:szCs w:val="24"/>
          <w:highlight w:val="none"/>
        </w:rPr>
        <w:t>投标人应递交一份施工现场总平面布置图，绘出现场临时设施布置图表并附文字说明，说明临时设施、加工车间、现场办公、设备及仓储、供电、供水、卫生、生活、道路、消防等设施的情况和布置</w:t>
      </w:r>
      <w:bookmarkEnd w:id="51"/>
      <w:r>
        <w:rPr>
          <w:rFonts w:hint="eastAsia" w:ascii="宋体" w:hAnsi="宋体" w:eastAsia="宋体" w:cs="宋体"/>
          <w:color w:val="auto"/>
          <w:spacing w:val="0"/>
          <w:sz w:val="24"/>
          <w:szCs w:val="24"/>
          <w:highlight w:val="none"/>
        </w:rPr>
        <w:t>）；</w:t>
      </w:r>
    </w:p>
    <w:p w14:paraId="45848756">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（9）项目管理机构。</w:t>
      </w:r>
    </w:p>
    <w:p w14:paraId="2D29EF4D">
      <w:pPr>
        <w:keepNext w:val="0"/>
        <w:keepLines w:val="0"/>
        <w:pageBreakBefore w:val="0"/>
        <w:wordWrap w:val="0"/>
        <w:overflowPunct/>
        <w:topLinePunct w:val="0"/>
        <w:bidi w:val="0"/>
        <w:spacing w:before="154" w:line="280" w:lineRule="auto"/>
        <w:ind w:right="21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（10）投标人认为有必要补充的其他内容（例如对总包管理的认识以及对专业分包工程的管理、协调、配合、服务方案）。</w:t>
      </w:r>
    </w:p>
    <w:p w14:paraId="62C6C749">
      <w:pPr>
        <w:keepNext w:val="0"/>
        <w:keepLines w:val="0"/>
        <w:pageBreakBefore w:val="0"/>
        <w:wordWrap w:val="0"/>
        <w:overflowPunct/>
        <w:topLinePunct w:val="0"/>
        <w:bidi w:val="0"/>
        <w:spacing w:before="152" w:line="279" w:lineRule="auto"/>
        <w:ind w:right="196"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10.4.3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目中所列出的施工组织设计组成内容中，第（1）至第（9）项所有投标人均应提供。</w:t>
      </w:r>
    </w:p>
    <w:p w14:paraId="393F6AD6">
      <w:pPr>
        <w:keepNext w:val="0"/>
        <w:keepLines w:val="0"/>
        <w:pageBreakBefore w:val="0"/>
        <w:wordWrap w:val="0"/>
        <w:overflowPunct/>
        <w:topLinePunct w:val="0"/>
        <w:bidi w:val="0"/>
        <w:spacing w:before="157" w:line="279" w:lineRule="auto"/>
        <w:ind w:right="21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10.4.4 </w:t>
      </w:r>
      <w:r>
        <w:rPr>
          <w:rFonts w:hint="eastAsia" w:ascii="宋体" w:hAnsi="宋体" w:eastAsia="宋体" w:cs="宋体"/>
          <w:color w:val="auto"/>
          <w:spacing w:val="0"/>
          <w:sz w:val="24"/>
          <w:szCs w:val="24"/>
          <w:highlight w:val="none"/>
        </w:rPr>
        <w:t>施工组织设计的组成内容按本节第 10.4.2 目规定的顺序整理、编排后，逐页（页码起始从封面开始）连续标记页码。</w:t>
      </w:r>
    </w:p>
    <w:p w14:paraId="09DCBEEA">
      <w:pPr>
        <w:keepNext w:val="0"/>
        <w:keepLines w:val="0"/>
        <w:pageBreakBefore w:val="0"/>
        <w:wordWrap w:val="0"/>
        <w:overflowPunct/>
        <w:topLinePunct w:val="0"/>
        <w:bidi w:val="0"/>
        <w:ind w:firstLine="480"/>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10.4.5</w:t>
      </w:r>
      <w:bookmarkStart w:id="52" w:name="OLE_LINK9"/>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施工组织设计的正文不得超过</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200</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页</w:t>
      </w:r>
      <w:r>
        <w:rPr>
          <w:rFonts w:hint="eastAsia" w:ascii="宋体" w:hAnsi="宋体" w:eastAsia="宋体" w:cs="宋体"/>
          <w:color w:val="auto"/>
          <w:spacing w:val="0"/>
          <w:sz w:val="24"/>
          <w:szCs w:val="24"/>
          <w:highlight w:val="none"/>
          <w:lang w:eastAsia="zh-CN"/>
        </w:rPr>
        <w:t>。</w:t>
      </w:r>
      <w:bookmarkEnd w:id="52"/>
      <w:bookmarkStart w:id="53" w:name="bookmark121"/>
      <w:bookmarkEnd w:id="53"/>
    </w:p>
    <w:p w14:paraId="1A196123">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408858C">
      <w:pPr>
        <w:keepNext w:val="0"/>
        <w:keepLines w:val="0"/>
        <w:pageBreakBefore w:val="0"/>
        <w:wordWrap w:val="0"/>
        <w:overflowPunct/>
        <w:topLinePunct w:val="0"/>
        <w:bidi w:val="0"/>
        <w:spacing w:before="78" w:line="219" w:lineRule="auto"/>
        <w:ind w:left="496"/>
        <w:outlineLvl w:val="3"/>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10.</w:t>
      </w:r>
      <w:r>
        <w:rPr>
          <w:rFonts w:hint="eastAsia" w:ascii="宋体" w:hAnsi="宋体" w:eastAsia="宋体" w:cs="宋体"/>
          <w:b/>
          <w:bCs/>
          <w:color w:val="auto"/>
          <w:spacing w:val="0"/>
          <w:sz w:val="24"/>
          <w:szCs w:val="24"/>
          <w:highlight w:val="none"/>
          <w:lang w:val="en-US"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定标文件的编制要求</w:t>
      </w:r>
    </w:p>
    <w:p w14:paraId="504314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0.5</w:t>
      </w:r>
      <w:r>
        <w:rPr>
          <w:rFonts w:hint="eastAsia" w:ascii="宋体" w:hAnsi="宋体" w:eastAsia="宋体" w:cs="宋体"/>
          <w:b w:val="0"/>
          <w:bCs w:val="0"/>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p>
    <w:p w14:paraId="49C08FDD">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w:t>
      </w:r>
      <w:r>
        <w:rPr>
          <w:rFonts w:hint="eastAsia" w:ascii="宋体" w:hAnsi="宋体" w:eastAsia="宋体" w:cs="宋体"/>
          <w:color w:val="auto"/>
          <w:spacing w:val="0"/>
          <w:sz w:val="24"/>
          <w:szCs w:val="24"/>
          <w:highlight w:val="none"/>
          <w:lang w:val="en-US" w:eastAsia="zh-CN"/>
        </w:rPr>
        <w:t>十六</w:t>
      </w:r>
      <w:r>
        <w:rPr>
          <w:rFonts w:hint="eastAsia" w:ascii="宋体" w:hAnsi="宋体" w:eastAsia="宋体" w:cs="宋体"/>
          <w:color w:val="auto"/>
          <w:spacing w:val="0"/>
          <w:sz w:val="24"/>
          <w:szCs w:val="24"/>
          <w:highlight w:val="none"/>
        </w:rPr>
        <w:t>）；</w:t>
      </w:r>
    </w:p>
    <w:p w14:paraId="0BE569D4">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6615EA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w:t>
      </w:r>
      <w:r>
        <w:rPr>
          <w:rFonts w:hint="eastAsia" w:ascii="宋体" w:hAnsi="宋体" w:eastAsia="宋体" w:cs="宋体"/>
          <w:b w:val="0"/>
          <w:bCs w:val="0"/>
          <w:color w:val="auto"/>
          <w:sz w:val="24"/>
          <w:highlight w:val="none"/>
          <w:lang w:val="en-US" w:eastAsia="zh-CN"/>
        </w:rPr>
        <w:t xml:space="preserve"> 定标因素评审资料（格式十七）</w:t>
      </w:r>
    </w:p>
    <w:p w14:paraId="2451D9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b/>
          <w:bCs/>
          <w:highlight w:val="none"/>
        </w:rPr>
      </w:pPr>
      <w:r>
        <w:rPr>
          <w:rFonts w:hint="eastAsia" w:ascii="宋体" w:hAnsi="宋体" w:eastAsia="宋体" w:cs="宋体"/>
          <w:b/>
          <w:bCs/>
          <w:color w:val="auto"/>
          <w:sz w:val="24"/>
          <w:highlight w:val="none"/>
          <w:lang w:val="en-US" w:eastAsia="zh-CN"/>
        </w:rPr>
        <w:t>注：第10.5的定标文件按照本章节第16.5定标因素所列提供，其中第16.5.6无需提供，其余</w:t>
      </w:r>
      <w:r>
        <w:rPr>
          <w:rFonts w:hint="eastAsia" w:ascii="宋体" w:hAnsi="宋体" w:eastAsia="宋体" w:cs="宋体"/>
          <w:b/>
          <w:bCs/>
          <w:color w:val="auto"/>
          <w:sz w:val="24"/>
          <w:highlight w:val="none"/>
        </w:rPr>
        <w:t>所有投标人均应提供。</w:t>
      </w:r>
    </w:p>
    <w:p w14:paraId="1FFEADB9">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auto"/>
          <w:spacing w:val="0"/>
          <w:sz w:val="24"/>
          <w:szCs w:val="24"/>
          <w:highlight w:val="none"/>
        </w:rPr>
      </w:pPr>
      <w:bookmarkStart w:id="54" w:name="_Toc20233"/>
      <w:bookmarkStart w:id="55" w:name="_Toc21936"/>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电子投标：</w:t>
      </w:r>
      <w:bookmarkEnd w:id="54"/>
      <w:bookmarkEnd w:id="55"/>
    </w:p>
    <w:p w14:paraId="5D9575E6">
      <w:pPr>
        <w:keepNext w:val="0"/>
        <w:keepLines w:val="0"/>
        <w:pageBreakBefore w:val="0"/>
        <w:wordWrap w:val="0"/>
        <w:overflowPunct/>
        <w:topLinePunct w:val="0"/>
        <w:bidi w:val="0"/>
        <w:spacing w:before="112" w:line="295" w:lineRule="auto"/>
        <w:ind w:left="10"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在建设工程交易系统上传加盖了电子印章的投标文件、录入相关信息及标书页码信息，</w:t>
      </w:r>
      <w:r>
        <w:rPr>
          <w:rFonts w:hint="eastAsia" w:ascii="宋体" w:hAnsi="宋体" w:eastAsia="宋体" w:cs="宋体"/>
          <w:b/>
          <w:bCs/>
          <w:color w:val="auto"/>
          <w:spacing w:val="0"/>
          <w:sz w:val="24"/>
          <w:szCs w:val="24"/>
          <w:highlight w:val="none"/>
        </w:rPr>
        <w:t>（页码起始从封面开始）</w:t>
      </w:r>
      <w:r>
        <w:rPr>
          <w:rFonts w:hint="eastAsia" w:ascii="宋体" w:hAnsi="宋体" w:eastAsia="宋体" w:cs="宋体"/>
          <w:color w:val="auto"/>
          <w:spacing w:val="0"/>
          <w:sz w:val="24"/>
          <w:szCs w:val="24"/>
          <w:highlight w:val="none"/>
        </w:rPr>
        <w:t>并提交投标标书。提交标书为已加密投标文件。 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6D6B8FF1">
      <w:pPr>
        <w:keepNext w:val="0"/>
        <w:keepLines w:val="0"/>
        <w:pageBreakBefore w:val="0"/>
        <w:wordWrap w:val="0"/>
        <w:overflowPunct/>
        <w:topLinePunct w:val="0"/>
        <w:bidi w:val="0"/>
        <w:spacing w:before="115" w:line="286" w:lineRule="auto"/>
        <w:ind w:left="10" w:right="81" w:firstLine="485"/>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5E60D4C8">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82" w:firstLineChars="200"/>
        <w:textAlignment w:val="baseline"/>
        <w:outlineLvl w:val="2"/>
        <w:rPr>
          <w:rFonts w:hint="eastAsia" w:ascii="宋体" w:hAnsi="宋体" w:eastAsia="宋体" w:cs="宋体"/>
          <w:b/>
          <w:bCs/>
          <w:color w:val="auto"/>
          <w:spacing w:val="0"/>
          <w:sz w:val="24"/>
          <w:szCs w:val="24"/>
          <w:highlight w:val="none"/>
        </w:rPr>
      </w:pPr>
      <w:bookmarkStart w:id="56" w:name="_Toc2254"/>
      <w:r>
        <w:rPr>
          <w:rFonts w:hint="eastAsia" w:ascii="宋体" w:hAnsi="宋体" w:eastAsia="宋体" w:cs="宋体"/>
          <w:b/>
          <w:bCs/>
          <w:color w:val="auto"/>
          <w:spacing w:val="0"/>
          <w:sz w:val="24"/>
          <w:szCs w:val="24"/>
          <w:highlight w:val="none"/>
          <w:lang w:val="en-US" w:eastAsia="zh-CN"/>
        </w:rPr>
        <w:t>12.</w:t>
      </w:r>
      <w:r>
        <w:rPr>
          <w:rFonts w:hint="eastAsia" w:ascii="宋体" w:hAnsi="宋体" w:eastAsia="宋体" w:cs="宋体"/>
          <w:b/>
          <w:bCs/>
          <w:color w:val="auto"/>
          <w:spacing w:val="0"/>
          <w:w w:val="101"/>
          <w:sz w:val="24"/>
          <w:szCs w:val="24"/>
          <w:highlight w:val="none"/>
        </w:rPr>
        <w:t xml:space="preserve"> </w:t>
      </w:r>
      <w:bookmarkStart w:id="57" w:name="_Toc29834"/>
      <w:r>
        <w:rPr>
          <w:rFonts w:hint="eastAsia" w:ascii="宋体" w:hAnsi="宋体" w:eastAsia="宋体" w:cs="宋体"/>
          <w:b/>
          <w:bCs/>
          <w:color w:val="auto"/>
          <w:spacing w:val="0"/>
          <w:sz w:val="24"/>
          <w:szCs w:val="24"/>
          <w:highlight w:val="none"/>
        </w:rPr>
        <w:t>电子投标及投标解密失败及突发情况的补救方案</w:t>
      </w:r>
      <w:bookmarkEnd w:id="56"/>
      <w:bookmarkEnd w:id="57"/>
    </w:p>
    <w:p w14:paraId="36528AF2">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按照交易平台关于全流程电子化项目的相关指南进行操作。详见：全国公共资源交易平台（广东省 ·韶关市）（https://ygp.gdzwfw.gov.cn/ggzy-portal/#/44 0200/index）服务指南栏目发布的最新版操作指引。</w:t>
      </w:r>
    </w:p>
    <w:p w14:paraId="377D15DB">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补救方案：</w:t>
      </w:r>
    </w:p>
    <w:p w14:paraId="62364ED5">
      <w:pPr>
        <w:keepNext w:val="0"/>
        <w:keepLines w:val="0"/>
        <w:pageBreakBefore w:val="0"/>
        <w:wordWrap w:val="0"/>
        <w:overflowPunct/>
        <w:topLinePunct w:val="0"/>
        <w:bidi w:val="0"/>
        <w:spacing w:before="115"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12.2.1  </w:t>
      </w:r>
      <w:r>
        <w:rPr>
          <w:rFonts w:hint="eastAsia" w:ascii="宋体" w:hAnsi="宋体" w:eastAsia="宋体" w:cs="宋体"/>
          <w:color w:val="auto"/>
          <w:spacing w:val="0"/>
          <w:sz w:val="24"/>
          <w:szCs w:val="24"/>
          <w:highlight w:val="none"/>
        </w:rPr>
        <w:t>投标文件解密失败的补救方案：</w:t>
      </w:r>
    </w:p>
    <w:p w14:paraId="43612194">
      <w:pPr>
        <w:keepNext w:val="0"/>
        <w:keepLines w:val="0"/>
        <w:pageBreakBefore w:val="0"/>
        <w:wordWrap w:val="0"/>
        <w:overflowPunct/>
        <w:topLinePunct w:val="0"/>
        <w:bidi w:val="0"/>
        <w:spacing w:before="115" w:line="298"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58" w:name="bookmark122"/>
      <w:bookmarkEnd w:id="58"/>
      <w:r>
        <w:rPr>
          <w:rFonts w:hint="eastAsia" w:ascii="宋体" w:hAnsi="宋体" w:eastAsia="宋体" w:cs="宋体"/>
          <w:color w:val="auto"/>
          <w:spacing w:val="0"/>
          <w:sz w:val="24"/>
          <w:szCs w:val="24"/>
          <w:highlight w:val="none"/>
        </w:rPr>
        <w:t>重新提交投标文件继续开标程序。</w:t>
      </w:r>
    </w:p>
    <w:p w14:paraId="701B225B">
      <w:pPr>
        <w:keepNext w:val="0"/>
        <w:keepLines w:val="0"/>
        <w:pageBreakBefore w:val="0"/>
        <w:wordWrap w:val="0"/>
        <w:overflowPunct/>
        <w:topLinePunct w:val="0"/>
        <w:bidi w:val="0"/>
        <w:spacing w:before="114"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12.2.2  </w:t>
      </w:r>
      <w:r>
        <w:rPr>
          <w:rFonts w:hint="eastAsia" w:ascii="宋体" w:hAnsi="宋体" w:eastAsia="宋体" w:cs="宋体"/>
          <w:color w:val="auto"/>
          <w:spacing w:val="0"/>
          <w:sz w:val="24"/>
          <w:szCs w:val="24"/>
          <w:highlight w:val="none"/>
        </w:rPr>
        <w:t>评标时突发情况的补救方案</w:t>
      </w:r>
    </w:p>
    <w:p w14:paraId="39E507D8">
      <w:pPr>
        <w:keepNext w:val="0"/>
        <w:keepLines w:val="0"/>
        <w:pageBreakBefore w:val="0"/>
        <w:wordWrap w:val="0"/>
        <w:overflowPunct/>
        <w:topLinePunct w:val="0"/>
        <w:bidi w:val="0"/>
        <w:spacing w:before="114" w:line="303"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88029FB">
      <w:pPr>
        <w:keepNext w:val="0"/>
        <w:keepLines w:val="0"/>
        <w:pageBreakBefore w:val="0"/>
        <w:wordWrap w:val="0"/>
        <w:overflowPunct/>
        <w:topLinePunct w:val="0"/>
        <w:bidi w:val="0"/>
        <w:spacing w:before="69" w:line="324" w:lineRule="auto"/>
        <w:ind w:left="11" w:right="81" w:firstLine="484"/>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12.2.3  </w:t>
      </w:r>
      <w:r>
        <w:rPr>
          <w:rFonts w:hint="eastAsia" w:ascii="宋体" w:hAnsi="宋体" w:eastAsia="宋体" w:cs="宋体"/>
          <w:color w:val="auto"/>
          <w:spacing w:val="0"/>
          <w:sz w:val="24"/>
          <w:szCs w:val="24"/>
          <w:highlight w:val="none"/>
        </w:rPr>
        <w:t>除发生上述情况外，开标评标均以投标人（联合体投标的，由联合体牵头人）通过交易平台网上递交的电子投标文件为准。</w:t>
      </w:r>
    </w:p>
    <w:p w14:paraId="4E0357A1">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59" w:name="_Toc27195"/>
      <w:bookmarkStart w:id="60" w:name="_Toc21046"/>
      <w:r>
        <w:rPr>
          <w:rFonts w:hint="eastAsia" w:ascii="宋体" w:hAnsi="宋体" w:eastAsia="宋体" w:cs="宋体"/>
          <w:b/>
          <w:bCs/>
          <w:color w:val="auto"/>
          <w:spacing w:val="0"/>
          <w:sz w:val="24"/>
          <w:szCs w:val="24"/>
          <w:highlight w:val="none"/>
        </w:rPr>
        <w:t>13 ．投标文件的提交</w:t>
      </w:r>
      <w:bookmarkEnd w:id="59"/>
      <w:bookmarkEnd w:id="60"/>
    </w:p>
    <w:p w14:paraId="3F8D164E">
      <w:pPr>
        <w:keepNext w:val="0"/>
        <w:keepLines w:val="0"/>
        <w:pageBreakBefore w:val="0"/>
        <w:wordWrap w:val="0"/>
        <w:overflowPunct/>
        <w:topLinePunct w:val="0"/>
        <w:bidi w:val="0"/>
        <w:spacing w:before="123" w:line="278" w:lineRule="auto"/>
        <w:ind w:left="13" w:right="81"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13.1  </w:t>
      </w:r>
      <w:r>
        <w:rPr>
          <w:rFonts w:hint="eastAsia" w:ascii="宋体" w:hAnsi="宋体" w:eastAsia="宋体" w:cs="宋体"/>
          <w:color w:val="auto"/>
          <w:spacing w:val="0"/>
          <w:sz w:val="24"/>
          <w:szCs w:val="24"/>
          <w:highlight w:val="none"/>
        </w:rPr>
        <w:t>在投标文件提交截止时间前，投标人通过全国公共资源交易平台（广东省 ·韶关市）提交已加密投标文件。逾期提交的电子投标文件，全国公共资源交易平台（广东省 ·韶关市）将予以拒收。</w:t>
      </w:r>
    </w:p>
    <w:p w14:paraId="41832DDC">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13.2  </w:t>
      </w:r>
      <w:r>
        <w:rPr>
          <w:rFonts w:hint="eastAsia" w:ascii="宋体" w:hAnsi="宋体" w:eastAsia="宋体" w:cs="宋体"/>
          <w:color w:val="auto"/>
          <w:spacing w:val="0"/>
          <w:sz w:val="24"/>
          <w:szCs w:val="24"/>
          <w:highlight w:val="none"/>
        </w:rPr>
        <w:t>提交时间和地点：见本章第二节“重要事项时间地点一览表 ”</w:t>
      </w:r>
    </w:p>
    <w:p w14:paraId="51B2BDE9">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13.3  </w:t>
      </w:r>
      <w:r>
        <w:rPr>
          <w:rFonts w:hint="eastAsia" w:ascii="宋体" w:hAnsi="宋体" w:eastAsia="宋体" w:cs="宋体"/>
          <w:color w:val="auto"/>
          <w:spacing w:val="0"/>
          <w:sz w:val="24"/>
          <w:szCs w:val="24"/>
          <w:highlight w:val="none"/>
        </w:rPr>
        <w:t>递交时间和地点：投标人如有招标文件要求提交的用于评审的证书、证件、证明原件（附一式两份清单），由投标人法定代表人或其委托代理人在指定的时间和地点递交（见“重要事项时间地点一览表 ”）。</w:t>
      </w:r>
    </w:p>
    <w:p w14:paraId="73970F50">
      <w:pPr>
        <w:keepNext w:val="0"/>
        <w:keepLines w:val="0"/>
        <w:pageBreakBefore w:val="0"/>
        <w:wordWrap w:val="0"/>
        <w:overflowPunct/>
        <w:topLinePunct w:val="0"/>
        <w:bidi w:val="0"/>
        <w:spacing w:before="112"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13.4  </w:t>
      </w:r>
      <w:r>
        <w:rPr>
          <w:rFonts w:hint="eastAsia" w:ascii="宋体" w:hAnsi="宋体" w:eastAsia="宋体" w:cs="宋体"/>
          <w:color w:val="auto"/>
          <w:spacing w:val="0"/>
          <w:sz w:val="24"/>
          <w:szCs w:val="24"/>
          <w:highlight w:val="none"/>
        </w:rPr>
        <w:t>代理机构对因不可抗力事件造成的投标文件的损坏、丢失的，不承担责任。</w:t>
      </w:r>
    </w:p>
    <w:p w14:paraId="3C8AC39F">
      <w:pPr>
        <w:keepNext w:val="0"/>
        <w:keepLines w:val="0"/>
        <w:pageBreakBefore w:val="0"/>
        <w:wordWrap w:val="0"/>
        <w:overflowPunct/>
        <w:topLinePunct w:val="0"/>
        <w:bidi w:val="0"/>
        <w:spacing w:before="116"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13.5  </w:t>
      </w:r>
      <w:r>
        <w:rPr>
          <w:rFonts w:hint="eastAsia" w:ascii="宋体" w:hAnsi="宋体" w:eastAsia="宋体" w:cs="宋体"/>
          <w:color w:val="auto"/>
          <w:spacing w:val="0"/>
          <w:sz w:val="24"/>
          <w:szCs w:val="24"/>
          <w:highlight w:val="none"/>
        </w:rPr>
        <w:t>出现下述情形之一，属于未成功提交投标文件，按无效投标处理：</w:t>
      </w:r>
    </w:p>
    <w:p w14:paraId="00C0D19A">
      <w:pPr>
        <w:keepNext w:val="0"/>
        <w:keepLines w:val="0"/>
        <w:pageBreakBefore w:val="0"/>
        <w:wordWrap w:val="0"/>
        <w:overflowPunct/>
        <w:topLinePunct w:val="0"/>
        <w:bidi w:val="0"/>
        <w:spacing w:before="115" w:line="219"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（1）至提交投标文件截止时，投标文件未完整上传及提交标书；</w:t>
      </w:r>
    </w:p>
    <w:p w14:paraId="6863FD8E">
      <w:pPr>
        <w:keepNext w:val="0"/>
        <w:keepLines w:val="0"/>
        <w:pageBreakBefore w:val="0"/>
        <w:wordWrap w:val="0"/>
        <w:overflowPunct/>
        <w:topLinePunct w:val="0"/>
        <w:bidi w:val="0"/>
        <w:spacing w:before="114"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（2）解密失败且在规定时间内未重新提交投标文件的；</w:t>
      </w:r>
    </w:p>
    <w:p w14:paraId="51DF1C5D">
      <w:pPr>
        <w:keepNext w:val="0"/>
        <w:keepLines w:val="0"/>
        <w:pageBreakBefore w:val="0"/>
        <w:wordWrap w:val="0"/>
        <w:overflowPunct/>
        <w:topLinePunct w:val="0"/>
        <w:bidi w:val="0"/>
        <w:spacing w:before="115"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（3）投标文件损坏或格式不正确的；</w:t>
      </w:r>
    </w:p>
    <w:p w14:paraId="34A7B5FF">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13.6  </w:t>
      </w:r>
      <w:r>
        <w:rPr>
          <w:rFonts w:hint="eastAsia" w:ascii="宋体" w:hAnsi="宋体" w:eastAsia="宋体" w:cs="宋体"/>
          <w:color w:val="auto"/>
          <w:spacing w:val="0"/>
          <w:sz w:val="24"/>
          <w:szCs w:val="24"/>
          <w:highlight w:val="none"/>
        </w:rPr>
        <w:t>联合体投标的，由联合体牵头人按以上要求递交相关资料。</w:t>
      </w:r>
    </w:p>
    <w:p w14:paraId="0F442067">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13.7  </w:t>
      </w:r>
      <w:r>
        <w:rPr>
          <w:rFonts w:hint="eastAsia" w:ascii="宋体" w:hAnsi="宋体" w:eastAsia="宋体" w:cs="宋体"/>
          <w:color w:val="auto"/>
          <w:spacing w:val="0"/>
          <w:sz w:val="24"/>
          <w:szCs w:val="24"/>
          <w:highlight w:val="none"/>
        </w:rPr>
        <w:t>招标人或其授权的招标代理机构核对、接收投标人递交的投标相关资料后，应向投标人出具标明签收人和签收时间的凭证，并妥善保管。</w:t>
      </w:r>
    </w:p>
    <w:p w14:paraId="01ECA8D8">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13.8 </w:t>
      </w:r>
      <w:r>
        <w:rPr>
          <w:rFonts w:hint="eastAsia" w:ascii="宋体" w:hAnsi="宋体" w:eastAsia="宋体" w:cs="宋体"/>
          <w:color w:val="auto"/>
          <w:spacing w:val="0"/>
          <w:sz w:val="24"/>
          <w:szCs w:val="24"/>
          <w:highlight w:val="none"/>
        </w:rPr>
        <w:t xml:space="preserve"> 本次招标投标有效期为</w:t>
      </w:r>
      <w:r>
        <w:rPr>
          <w:rFonts w:hint="eastAsia" w:ascii="宋体" w:hAnsi="宋体" w:eastAsia="宋体" w:cs="宋体"/>
          <w:color w:val="auto"/>
          <w:spacing w:val="0"/>
          <w:sz w:val="24"/>
          <w:szCs w:val="24"/>
          <w:highlight w:val="none"/>
          <w:u w:val="single"/>
          <w:lang w:eastAsia="zh-CN"/>
        </w:rPr>
        <w:t>90</w:t>
      </w:r>
      <w:r>
        <w:rPr>
          <w:rFonts w:hint="eastAsia" w:ascii="宋体" w:hAnsi="宋体" w:eastAsia="宋体" w:cs="宋体"/>
          <w:color w:val="auto"/>
          <w:spacing w:val="0"/>
          <w:sz w:val="24"/>
          <w:szCs w:val="24"/>
          <w:highlight w:val="none"/>
        </w:rPr>
        <w:t>个日历天，投标有效期从提交投标文件的截止之日起计算。在此期间，投标人不得撤销或修改其投标文件，否则其投标保证不予退还。</w:t>
      </w:r>
    </w:p>
    <w:p w14:paraId="7CFC1188">
      <w:pPr>
        <w:keepNext w:val="0"/>
        <w:keepLines w:val="0"/>
        <w:pageBreakBefore w:val="0"/>
        <w:wordWrap w:val="0"/>
        <w:overflowPunct/>
        <w:topLinePunct w:val="0"/>
        <w:bidi w:val="0"/>
        <w:spacing w:before="145" w:line="221" w:lineRule="auto"/>
        <w:ind w:left="496"/>
        <w:outlineLvl w:val="2"/>
        <w:rPr>
          <w:rFonts w:hint="eastAsia" w:ascii="宋体" w:hAnsi="宋体" w:eastAsia="宋体" w:cs="宋体"/>
          <w:color w:val="auto"/>
          <w:spacing w:val="0"/>
          <w:sz w:val="24"/>
          <w:szCs w:val="24"/>
          <w:highlight w:val="none"/>
        </w:rPr>
      </w:pPr>
      <w:bookmarkStart w:id="61" w:name="_Toc22047"/>
      <w:bookmarkStart w:id="62" w:name="_Toc32459"/>
      <w:r>
        <w:rPr>
          <w:rFonts w:hint="eastAsia" w:ascii="宋体" w:hAnsi="宋体" w:eastAsia="宋体" w:cs="宋体"/>
          <w:b/>
          <w:bCs/>
          <w:color w:val="auto"/>
          <w:spacing w:val="0"/>
          <w:sz w:val="24"/>
          <w:szCs w:val="24"/>
          <w:highlight w:val="none"/>
        </w:rPr>
        <w:t>14 ．开标</w:t>
      </w:r>
      <w:bookmarkEnd w:id="61"/>
      <w:bookmarkEnd w:id="62"/>
    </w:p>
    <w:p w14:paraId="4E6C0717">
      <w:pPr>
        <w:keepNext w:val="0"/>
        <w:keepLines w:val="0"/>
        <w:pageBreakBefore w:val="0"/>
        <w:wordWrap w:val="0"/>
        <w:overflowPunct/>
        <w:topLinePunct w:val="0"/>
        <w:bidi w:val="0"/>
        <w:spacing w:before="155" w:line="329" w:lineRule="auto"/>
        <w:ind w:left="10" w:right="81" w:firstLine="48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  </w:t>
      </w:r>
      <w:r>
        <w:rPr>
          <w:rFonts w:hint="eastAsia" w:ascii="宋体" w:hAnsi="宋体" w:eastAsia="宋体" w:cs="宋体"/>
          <w:color w:val="auto"/>
          <w:spacing w:val="0"/>
          <w:sz w:val="24"/>
          <w:szCs w:val="24"/>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63" w:name="bookmark123"/>
      <w:bookmarkEnd w:id="63"/>
      <w:r>
        <w:rPr>
          <w:rFonts w:hint="eastAsia" w:ascii="宋体" w:hAnsi="宋体" w:eastAsia="宋体" w:cs="宋体"/>
          <w:color w:val="auto"/>
          <w:spacing w:val="0"/>
          <w:sz w:val="24"/>
          <w:szCs w:val="24"/>
          <w:highlight w:val="none"/>
        </w:rPr>
        <w:t>标的，视其默认开标结果，以及放弃在开标期间见证、监督、投诉、申辩的权利。</w:t>
      </w:r>
    </w:p>
    <w:p w14:paraId="671D1BF7">
      <w:pPr>
        <w:keepNext w:val="0"/>
        <w:keepLines w:val="0"/>
        <w:pageBreakBefore w:val="0"/>
        <w:wordWrap w:val="0"/>
        <w:overflowPunct/>
        <w:topLinePunct w:val="0"/>
        <w:bidi w:val="0"/>
        <w:spacing w:before="156"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14.1.1  </w:t>
      </w:r>
      <w:r>
        <w:rPr>
          <w:rFonts w:hint="eastAsia" w:ascii="宋体" w:hAnsi="宋体" w:eastAsia="宋体" w:cs="宋体"/>
          <w:color w:val="auto"/>
          <w:spacing w:val="0"/>
          <w:sz w:val="24"/>
          <w:szCs w:val="24"/>
          <w:highlight w:val="none"/>
        </w:rPr>
        <w:t>开标时间和地点：见本章第二节“重要事项时间地点一览表 ”。</w:t>
      </w:r>
    </w:p>
    <w:p w14:paraId="23B4AB0A">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14.1.2 </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 地点一览表 ”）至电子投标截止时间（见本章第二节“重要事项时间地点一览表 ”） 期间登录全国公共资源交易平台（广东省 ·韶关市）（https://ygp.gdzwfw.gov.cn/ ggzy-portal/#/440200/index）查询是否发布了取消开标活动的相关信息。</w:t>
      </w:r>
    </w:p>
    <w:p w14:paraId="13487771">
      <w:pPr>
        <w:keepNext w:val="0"/>
        <w:keepLines w:val="0"/>
        <w:pageBreakBefore w:val="0"/>
        <w:wordWrap w:val="0"/>
        <w:overflowPunct/>
        <w:topLinePunct w:val="0"/>
        <w:bidi w:val="0"/>
        <w:spacing w:before="159" w:line="319" w:lineRule="auto"/>
        <w:ind w:left="10" w:right="80" w:firstLine="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14.1.3</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本项目实行全流程电子化招标投标，投标人在交易平台按要求上传加盖电子印章并经加密的电子投标文件，并在交易平台录入准确的页码信息即可完成在线投标</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0F3EB23">
      <w:pPr>
        <w:keepNext w:val="0"/>
        <w:keepLines w:val="0"/>
        <w:pageBreakBefore w:val="0"/>
        <w:wordWrap w:val="0"/>
        <w:overflowPunct/>
        <w:topLinePunct w:val="0"/>
        <w:bidi w:val="0"/>
        <w:spacing w:before="152" w:line="221"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14.2  </w:t>
      </w:r>
      <w:r>
        <w:rPr>
          <w:rFonts w:hint="eastAsia" w:ascii="宋体" w:hAnsi="宋体" w:eastAsia="宋体" w:cs="宋体"/>
          <w:color w:val="auto"/>
          <w:spacing w:val="0"/>
          <w:sz w:val="24"/>
          <w:szCs w:val="24"/>
          <w:highlight w:val="none"/>
        </w:rPr>
        <w:t>开标程序</w:t>
      </w:r>
    </w:p>
    <w:p w14:paraId="4481CD9D">
      <w:pPr>
        <w:keepNext w:val="0"/>
        <w:keepLines w:val="0"/>
        <w:pageBreakBefore w:val="0"/>
        <w:wordWrap w:val="0"/>
        <w:overflowPunct/>
        <w:topLinePunct w:val="0"/>
        <w:bidi w:val="0"/>
        <w:spacing w:before="42" w:line="219" w:lineRule="auto"/>
        <w:ind w:left="501"/>
        <w:outlineLvl w:val="9"/>
        <w:rPr>
          <w:rFonts w:hint="eastAsia" w:ascii="宋体" w:hAnsi="宋体" w:eastAsia="宋体" w:cs="宋体"/>
          <w:color w:val="auto"/>
          <w:spacing w:val="0"/>
          <w:sz w:val="24"/>
          <w:szCs w:val="24"/>
          <w:highlight w:val="none"/>
        </w:rPr>
      </w:pPr>
      <w:bookmarkStart w:id="64" w:name="_Toc8314"/>
      <w:bookmarkStart w:id="65" w:name="_Toc10291"/>
      <w:bookmarkStart w:id="66" w:name="_Toc10685"/>
      <w:bookmarkStart w:id="67" w:name="_Toc15587"/>
      <w:r>
        <w:rPr>
          <w:rFonts w:hint="eastAsia" w:ascii="宋体" w:hAnsi="宋体" w:eastAsia="宋体" w:cs="宋体"/>
          <w:color w:val="auto"/>
          <w:spacing w:val="0"/>
          <w:sz w:val="24"/>
          <w:szCs w:val="24"/>
          <w:highlight w:val="none"/>
        </w:rPr>
        <w:t>（1）主持人（招标人代表或招标人授权的招标代理机构人员）宣读开标纪律。</w:t>
      </w:r>
      <w:bookmarkEnd w:id="64"/>
      <w:bookmarkEnd w:id="65"/>
      <w:bookmarkEnd w:id="66"/>
      <w:bookmarkEnd w:id="67"/>
    </w:p>
    <w:p w14:paraId="22E65A61">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68" w:name="_Toc30853"/>
      <w:bookmarkStart w:id="69" w:name="_Toc16292"/>
      <w:bookmarkStart w:id="70" w:name="_Toc20238"/>
      <w:bookmarkStart w:id="71" w:name="_Toc2011"/>
      <w:r>
        <w:rPr>
          <w:rFonts w:hint="eastAsia" w:ascii="宋体" w:hAnsi="宋体" w:eastAsia="宋体" w:cs="宋体"/>
          <w:color w:val="auto"/>
          <w:spacing w:val="0"/>
          <w:sz w:val="24"/>
          <w:szCs w:val="24"/>
          <w:highlight w:val="none"/>
        </w:rPr>
        <w:t>（2）主持人宣布唱标人、记录人、见证人、监督人等有关人员姓名。</w:t>
      </w:r>
      <w:bookmarkEnd w:id="68"/>
      <w:bookmarkEnd w:id="69"/>
      <w:bookmarkEnd w:id="70"/>
      <w:bookmarkEnd w:id="71"/>
    </w:p>
    <w:p w14:paraId="5C102337">
      <w:pPr>
        <w:keepNext w:val="0"/>
        <w:keepLines w:val="0"/>
        <w:pageBreakBefore w:val="0"/>
        <w:wordWrap w:val="0"/>
        <w:overflowPunct/>
        <w:topLinePunct w:val="0"/>
        <w:bidi w:val="0"/>
        <w:spacing w:before="183" w:line="219" w:lineRule="auto"/>
        <w:ind w:left="501"/>
        <w:outlineLvl w:val="9"/>
        <w:rPr>
          <w:rFonts w:hint="eastAsia" w:ascii="宋体" w:hAnsi="宋体" w:eastAsia="宋体" w:cs="宋体"/>
          <w:color w:val="auto"/>
          <w:spacing w:val="0"/>
          <w:sz w:val="24"/>
          <w:szCs w:val="24"/>
          <w:highlight w:val="none"/>
        </w:rPr>
      </w:pPr>
      <w:bookmarkStart w:id="72" w:name="_Toc1974"/>
      <w:bookmarkStart w:id="73" w:name="_Toc26494"/>
      <w:bookmarkStart w:id="74" w:name="_Toc17462"/>
      <w:bookmarkStart w:id="75" w:name="_Toc31716"/>
      <w:r>
        <w:rPr>
          <w:rFonts w:hint="eastAsia" w:ascii="宋体" w:hAnsi="宋体" w:eastAsia="宋体" w:cs="宋体"/>
          <w:color w:val="auto"/>
          <w:spacing w:val="0"/>
          <w:sz w:val="24"/>
          <w:szCs w:val="24"/>
          <w:highlight w:val="none"/>
        </w:rPr>
        <w:t>（3）唱标人公布在投标截止时间前进行投标文件的投标人数量和名称</w:t>
      </w:r>
      <w:bookmarkEnd w:id="72"/>
      <w:bookmarkEnd w:id="73"/>
      <w:bookmarkEnd w:id="74"/>
      <w:bookmarkEnd w:id="75"/>
    </w:p>
    <w:p w14:paraId="1FA0369B">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76" w:name="_Toc27967"/>
      <w:bookmarkStart w:id="77" w:name="_Toc15860"/>
      <w:bookmarkStart w:id="78" w:name="_Toc20559"/>
      <w:bookmarkStart w:id="79" w:name="_Toc8179"/>
      <w:r>
        <w:rPr>
          <w:rFonts w:hint="eastAsia" w:ascii="宋体" w:hAnsi="宋体" w:eastAsia="宋体" w:cs="宋体"/>
          <w:color w:val="auto"/>
          <w:spacing w:val="0"/>
          <w:sz w:val="24"/>
          <w:szCs w:val="24"/>
          <w:highlight w:val="none"/>
        </w:rPr>
        <w:t>（4）招标代理机构会同交易场所工作人员对投标人的电子投标信息进行解密，</w:t>
      </w:r>
      <w:bookmarkEnd w:id="76"/>
      <w:bookmarkEnd w:id="77"/>
      <w:bookmarkEnd w:id="78"/>
      <w:bookmarkEnd w:id="79"/>
    </w:p>
    <w:p w14:paraId="74589B6E">
      <w:pPr>
        <w:keepNext w:val="0"/>
        <w:keepLines w:val="0"/>
        <w:pageBreakBefore w:val="0"/>
        <w:wordWrap w:val="0"/>
        <w:overflowPunct/>
        <w:topLinePunct w:val="0"/>
        <w:bidi w:val="0"/>
        <w:spacing w:before="183" w:line="22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建设工程交易系统自动生成《投标保证缴纳情况表》和《开标一览表》。</w:t>
      </w:r>
    </w:p>
    <w:p w14:paraId="4C7816EA">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color w:val="auto"/>
          <w:spacing w:val="0"/>
          <w:sz w:val="24"/>
          <w:szCs w:val="24"/>
          <w:highlight w:val="none"/>
        </w:rPr>
      </w:pPr>
      <w:bookmarkStart w:id="80" w:name="_Toc28266"/>
      <w:bookmarkStart w:id="81" w:name="_Toc28812"/>
      <w:bookmarkStart w:id="82" w:name="_Toc2199"/>
      <w:bookmarkStart w:id="83" w:name="_Toc26216"/>
      <w:r>
        <w:rPr>
          <w:rFonts w:hint="eastAsia" w:ascii="宋体" w:hAnsi="宋体" w:eastAsia="宋体" w:cs="宋体"/>
          <w:b/>
          <w:bCs/>
          <w:color w:val="auto"/>
          <w:spacing w:val="0"/>
          <w:sz w:val="24"/>
          <w:szCs w:val="24"/>
          <w:highlight w:val="none"/>
        </w:rPr>
        <w:t>温馨提示：因本项目实行全流程电子化招标投标，投标人无须进行现场签到，可</w:t>
      </w:r>
      <w:bookmarkEnd w:id="80"/>
      <w:bookmarkEnd w:id="81"/>
      <w:bookmarkEnd w:id="82"/>
      <w:r>
        <w:rPr>
          <w:rFonts w:hint="eastAsia" w:ascii="宋体" w:hAnsi="宋体" w:eastAsia="宋体" w:cs="宋体"/>
          <w:b/>
          <w:bCs/>
          <w:color w:val="auto"/>
          <w:spacing w:val="0"/>
          <w:sz w:val="24"/>
          <w:szCs w:val="24"/>
          <w:highlight w:val="none"/>
        </w:rPr>
        <w:t>登录交易平台观看开标实况、提出异议或进行澄清、确认等操作，对开标事项的异议未在开标期间提出的，招标</w:t>
      </w:r>
      <w:r>
        <w:rPr>
          <w:rFonts w:hint="eastAsia" w:ascii="宋体" w:hAnsi="宋体" w:eastAsia="宋体" w:cs="宋体"/>
          <w:b/>
          <w:bCs/>
          <w:color w:val="auto"/>
          <w:spacing w:val="0"/>
          <w:sz w:val="24"/>
          <w:szCs w:val="24"/>
          <w:highlight w:val="none"/>
          <w:lang w:eastAsia="zh-CN"/>
        </w:rPr>
        <w:t>人不</w:t>
      </w:r>
      <w:r>
        <w:rPr>
          <w:rFonts w:hint="eastAsia" w:ascii="宋体" w:hAnsi="宋体" w:eastAsia="宋体" w:cs="宋体"/>
          <w:b/>
          <w:bCs/>
          <w:color w:val="auto"/>
          <w:spacing w:val="0"/>
          <w:sz w:val="24"/>
          <w:szCs w:val="24"/>
          <w:highlight w:val="none"/>
        </w:rPr>
        <w:t>予受理。具体按招标文件和系统操作手册为准。</w:t>
      </w:r>
      <w:bookmarkEnd w:id="83"/>
    </w:p>
    <w:p w14:paraId="324154A1">
      <w:pPr>
        <w:keepNext w:val="0"/>
        <w:keepLines w:val="0"/>
        <w:pageBreakBefore w:val="0"/>
        <w:wordWrap w:val="0"/>
        <w:overflowPunct/>
        <w:topLinePunct w:val="0"/>
        <w:bidi w:val="0"/>
        <w:spacing w:before="143" w:line="299" w:lineRule="auto"/>
        <w:ind w:left="11" w:right="80"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14.3  </w:t>
      </w:r>
      <w:r>
        <w:rPr>
          <w:rFonts w:hint="eastAsia" w:ascii="宋体" w:hAnsi="宋体" w:eastAsia="宋体" w:cs="宋体"/>
          <w:color w:val="auto"/>
          <w:spacing w:val="0"/>
          <w:sz w:val="24"/>
          <w:szCs w:val="24"/>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367BD1D2">
      <w:pPr>
        <w:keepNext w:val="0"/>
        <w:keepLines w:val="0"/>
        <w:pageBreakBefore w:val="0"/>
        <w:wordWrap w:val="0"/>
        <w:overflowPunct/>
        <w:topLinePunct w:val="0"/>
        <w:bidi w:val="0"/>
        <w:spacing w:before="155" w:line="279" w:lineRule="auto"/>
        <w:ind w:left="8" w:right="82"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14.4 </w:t>
      </w:r>
      <w:r>
        <w:rPr>
          <w:rFonts w:hint="eastAsia" w:ascii="宋体" w:hAnsi="宋体" w:eastAsia="宋体" w:cs="宋体"/>
          <w:color w:val="auto"/>
          <w:spacing w:val="0"/>
          <w:sz w:val="24"/>
          <w:szCs w:val="24"/>
          <w:highlight w:val="none"/>
        </w:rPr>
        <w:t>招标代理机构将资料原件（如有）、《开标一览表》以及其他有关资料移交评标委员会。</w:t>
      </w:r>
    </w:p>
    <w:p w14:paraId="77B0C3F1">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70937984">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auto"/>
          <w:spacing w:val="0"/>
          <w:highlight w:val="none"/>
        </w:rPr>
      </w:pPr>
      <w:bookmarkStart w:id="84" w:name="_Toc961"/>
      <w:bookmarkStart w:id="85" w:name="_Toc22486"/>
      <w:r>
        <w:rPr>
          <w:rFonts w:hint="eastAsia" w:ascii="宋体" w:hAnsi="宋体" w:eastAsia="宋体" w:cs="宋体"/>
          <w:b/>
          <w:bCs/>
          <w:color w:val="auto"/>
          <w:spacing w:val="0"/>
          <w:sz w:val="24"/>
          <w:szCs w:val="24"/>
          <w:highlight w:val="none"/>
        </w:rPr>
        <w:t>15 ．评标</w:t>
      </w:r>
      <w:bookmarkEnd w:id="84"/>
      <w:bookmarkEnd w:id="85"/>
    </w:p>
    <w:p w14:paraId="42D28C78">
      <w:pPr>
        <w:keepNext w:val="0"/>
        <w:keepLines w:val="0"/>
        <w:pageBreakBefore w:val="0"/>
        <w:wordWrap w:val="0"/>
        <w:overflowPunct/>
        <w:topLinePunct w:val="0"/>
        <w:bidi w:val="0"/>
        <w:spacing w:before="78" w:line="331" w:lineRule="auto"/>
        <w:ind w:left="8" w:right="65" w:firstLine="480"/>
        <w:rPr>
          <w:rFonts w:hint="eastAsia" w:ascii="宋体" w:hAnsi="宋体" w:eastAsia="宋体" w:cs="宋体"/>
          <w:color w:val="auto"/>
          <w:spacing w:val="0"/>
          <w:sz w:val="24"/>
          <w:szCs w:val="24"/>
          <w:highlight w:val="none"/>
        </w:rPr>
      </w:pPr>
      <w:bookmarkStart w:id="86" w:name="bookmark124"/>
      <w:bookmarkEnd w:id="86"/>
      <w:bookmarkStart w:id="87" w:name="_Toc16801"/>
      <w:bookmarkStart w:id="88" w:name="_Toc3020"/>
      <w:bookmarkStart w:id="89" w:name="_Toc17375"/>
      <w:r>
        <w:rPr>
          <w:rFonts w:hint="eastAsia" w:ascii="宋体" w:hAnsi="宋体" w:eastAsia="宋体" w:cs="宋体"/>
          <w:color w:val="auto"/>
          <w:spacing w:val="0"/>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b/>
          <w:bCs/>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个</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标候选人</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如不足5个，则往下递减，但不可少于3个</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，并向招标人提交由全体评标委员会成员签字的评标报告。</w:t>
      </w:r>
    </w:p>
    <w:p w14:paraId="4EA478A4">
      <w:pPr>
        <w:keepNext w:val="0"/>
        <w:keepLines w:val="0"/>
        <w:pageBreakBefore w:val="0"/>
        <w:wordWrap w:val="0"/>
        <w:overflowPunct/>
        <w:topLinePunct w:val="0"/>
        <w:bidi w:val="0"/>
        <w:spacing w:before="38"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  </w:t>
      </w:r>
      <w:r>
        <w:rPr>
          <w:rFonts w:hint="eastAsia" w:ascii="宋体" w:hAnsi="宋体" w:eastAsia="宋体" w:cs="宋体"/>
          <w:color w:val="auto"/>
          <w:spacing w:val="0"/>
          <w:sz w:val="24"/>
          <w:szCs w:val="24"/>
          <w:highlight w:val="none"/>
        </w:rPr>
        <w:t>评标委员会</w:t>
      </w:r>
    </w:p>
    <w:p w14:paraId="07FACA56">
      <w:pPr>
        <w:keepNext w:val="0"/>
        <w:keepLines w:val="0"/>
        <w:pageBreakBefore w:val="0"/>
        <w:wordWrap w:val="0"/>
        <w:overflowPunct/>
        <w:topLinePunct w:val="0"/>
        <w:bidi w:val="0"/>
        <w:spacing w:before="155" w:line="324" w:lineRule="auto"/>
        <w:ind w:left="10" w:right="65"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15.1.1 </w:t>
      </w:r>
      <w:r>
        <w:rPr>
          <w:rFonts w:hint="eastAsia" w:ascii="宋体" w:hAnsi="宋体" w:eastAsia="宋体" w:cs="宋体"/>
          <w:color w:val="auto"/>
          <w:spacing w:val="0"/>
          <w:sz w:val="24"/>
          <w:szCs w:val="24"/>
          <w:highlight w:val="none"/>
        </w:rPr>
        <w:t>评标委员会由</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人组成，其中招标人代表</w:t>
      </w:r>
      <w:r>
        <w:rPr>
          <w:rFonts w:hint="eastAsia" w:ascii="宋体" w:hAnsi="宋体" w:eastAsia="宋体" w:cs="宋体"/>
          <w:color w:val="auto"/>
          <w:spacing w:val="0"/>
          <w:sz w:val="24"/>
          <w:szCs w:val="24"/>
          <w:highlight w:val="none"/>
          <w:u w:val="single"/>
        </w:rPr>
        <w:t xml:space="preserve"> 0 </w:t>
      </w:r>
      <w:r>
        <w:rPr>
          <w:rFonts w:hint="eastAsia" w:ascii="宋体" w:hAnsi="宋体" w:eastAsia="宋体" w:cs="宋体"/>
          <w:color w:val="auto"/>
          <w:spacing w:val="0"/>
          <w:sz w:val="24"/>
          <w:szCs w:val="24"/>
          <w:highlight w:val="none"/>
        </w:rPr>
        <w:t>人，专家</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人。专家从</w:t>
      </w:r>
      <w:r>
        <w:rPr>
          <w:rFonts w:hint="eastAsia" w:ascii="宋体" w:hAnsi="宋体" w:eastAsia="宋体" w:cs="宋体"/>
          <w:color w:val="auto"/>
          <w:spacing w:val="0"/>
          <w:sz w:val="24"/>
          <w:szCs w:val="24"/>
          <w:highlight w:val="none"/>
          <w:u w:val="none"/>
        </w:rPr>
        <w:t>广东省综合评标评审专家库</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韶关区域</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rPr>
        <w:t>中随机抽取，其中技术类专家</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人，经济类专家</w:t>
      </w:r>
      <w:r>
        <w:rPr>
          <w:rFonts w:hint="eastAsia" w:ascii="宋体" w:hAnsi="宋体" w:eastAsia="宋体" w:cs="宋体"/>
          <w:color w:val="auto"/>
          <w:spacing w:val="0"/>
          <w:sz w:val="24"/>
          <w:szCs w:val="24"/>
          <w:highlight w:val="none"/>
          <w:u w:val="single"/>
        </w:rPr>
        <w:t xml:space="preserve"> 2 </w:t>
      </w:r>
      <w:r>
        <w:rPr>
          <w:rFonts w:hint="eastAsia" w:ascii="宋体" w:hAnsi="宋体" w:eastAsia="宋体" w:cs="宋体"/>
          <w:color w:val="auto"/>
          <w:spacing w:val="0"/>
          <w:sz w:val="24"/>
          <w:szCs w:val="24"/>
          <w:highlight w:val="none"/>
        </w:rPr>
        <w:t>人。评标委员会设负责人，由评标委员会成员推举产生。评标委员会负责人与评标委员会的其他成员有同等的表决权。</w:t>
      </w:r>
    </w:p>
    <w:p w14:paraId="059C36AA">
      <w:pPr>
        <w:keepNext w:val="0"/>
        <w:keepLines w:val="0"/>
        <w:pageBreakBefore w:val="0"/>
        <w:wordWrap w:val="0"/>
        <w:overflowPunct/>
        <w:topLinePunct w:val="0"/>
        <w:bidi w:val="0"/>
        <w:spacing w:before="32" w:line="280" w:lineRule="auto"/>
        <w:ind w:left="13" w:right="7" w:firstLine="56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15.1.2  </w:t>
      </w:r>
      <w:r>
        <w:rPr>
          <w:rFonts w:hint="eastAsia" w:ascii="宋体" w:hAnsi="宋体" w:eastAsia="宋体" w:cs="宋体"/>
          <w:color w:val="auto"/>
          <w:spacing w:val="0"/>
          <w:sz w:val="24"/>
          <w:szCs w:val="24"/>
          <w:highlight w:val="none"/>
        </w:rPr>
        <w:t>评标委员会应认真、公正、诚实、廉洁地履行职责。有下列情形之一的，不得担任评标委员会成员：</w:t>
      </w:r>
    </w:p>
    <w:p w14:paraId="63C8129C">
      <w:pPr>
        <w:keepNext w:val="0"/>
        <w:keepLines w:val="0"/>
        <w:pageBreakBefore w:val="0"/>
        <w:wordWrap w:val="0"/>
        <w:overflowPunct/>
        <w:topLinePunct w:val="0"/>
        <w:bidi w:val="0"/>
        <w:spacing w:before="154"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（1）投标人或投标人主要负责人的近亲属；</w:t>
      </w:r>
    </w:p>
    <w:p w14:paraId="1EEDB855">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（2）项目主管部门或者行政监督部门的人员；</w:t>
      </w:r>
    </w:p>
    <w:p w14:paraId="42600ECE">
      <w:pPr>
        <w:keepNext w:val="0"/>
        <w:keepLines w:val="0"/>
        <w:pageBreakBefore w:val="0"/>
        <w:wordWrap w:val="0"/>
        <w:overflowPunct/>
        <w:topLinePunct w:val="0"/>
        <w:bidi w:val="0"/>
        <w:spacing w:before="155" w:line="221"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（3）与投标人有经济利益关系，可能影响对投标公正评审的；</w:t>
      </w:r>
    </w:p>
    <w:p w14:paraId="4E2648B8">
      <w:pPr>
        <w:keepNext w:val="0"/>
        <w:keepLines w:val="0"/>
        <w:pageBreakBefore w:val="0"/>
        <w:wordWrap w:val="0"/>
        <w:overflowPunct/>
        <w:topLinePunct w:val="0"/>
        <w:bidi w:val="0"/>
        <w:spacing w:before="153" w:line="279" w:lineRule="auto"/>
        <w:ind w:left="8" w:right="65" w:firstLine="57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（4）曾因在招标、评标以及其他与招标投标有关活动中从事违法行为而受过行政处罚或刑事处罚的。</w:t>
      </w:r>
    </w:p>
    <w:p w14:paraId="426C15BC">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评标委员会成员有以上情形之一的，应主动提出回避。</w:t>
      </w:r>
    </w:p>
    <w:p w14:paraId="01D44039">
      <w:pPr>
        <w:keepNext w:val="0"/>
        <w:keepLines w:val="0"/>
        <w:pageBreakBefore w:val="0"/>
        <w:wordWrap w:val="0"/>
        <w:overflowPunct/>
        <w:topLinePunct w:val="0"/>
        <w:bidi w:val="0"/>
        <w:spacing w:before="154" w:line="279" w:lineRule="auto"/>
        <w:ind w:left="8" w:right="6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15.1.3  </w:t>
      </w:r>
      <w:r>
        <w:rPr>
          <w:rFonts w:hint="eastAsia" w:ascii="宋体" w:hAnsi="宋体" w:eastAsia="宋体" w:cs="宋体"/>
          <w:color w:val="auto"/>
          <w:spacing w:val="0"/>
          <w:sz w:val="24"/>
          <w:szCs w:val="24"/>
          <w:highlight w:val="none"/>
        </w:rPr>
        <w:t>评标全过程实行封闭式管理，在中标结果公布前，禁止评标委员会成员以任何方式私下接触投标人。</w:t>
      </w:r>
    </w:p>
    <w:p w14:paraId="376321F7">
      <w:pPr>
        <w:keepNext w:val="0"/>
        <w:keepLines w:val="0"/>
        <w:pageBreakBefore w:val="0"/>
        <w:wordWrap w:val="0"/>
        <w:overflowPunct/>
        <w:topLinePunct w:val="0"/>
        <w:bidi w:val="0"/>
        <w:spacing w:before="157" w:line="298" w:lineRule="auto"/>
        <w:ind w:left="11" w:right="65"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15.1.4  </w:t>
      </w:r>
      <w:r>
        <w:rPr>
          <w:rFonts w:hint="eastAsia" w:ascii="宋体" w:hAnsi="宋体" w:eastAsia="宋体" w:cs="宋体"/>
          <w:color w:val="auto"/>
          <w:spacing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0CE97C21">
      <w:pPr>
        <w:keepNext w:val="0"/>
        <w:keepLines w:val="0"/>
        <w:pageBreakBefore w:val="0"/>
        <w:wordWrap w:val="0"/>
        <w:overflowPunct/>
        <w:topLinePunct w:val="0"/>
        <w:bidi w:val="0"/>
        <w:spacing w:before="156" w:line="309" w:lineRule="auto"/>
        <w:ind w:left="8" w:right="65" w:firstLine="56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15.1.5  </w:t>
      </w:r>
      <w:r>
        <w:rPr>
          <w:rFonts w:hint="eastAsia" w:ascii="宋体" w:hAnsi="宋体" w:eastAsia="宋体" w:cs="宋体"/>
          <w:color w:val="auto"/>
          <w:spacing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73BFB3D1">
      <w:pPr>
        <w:keepNext w:val="0"/>
        <w:keepLines w:val="0"/>
        <w:pageBreakBefore w:val="0"/>
        <w:wordWrap w:val="0"/>
        <w:overflowPunct/>
        <w:topLinePunct w:val="0"/>
        <w:bidi w:val="0"/>
        <w:spacing w:before="79" w:line="221" w:lineRule="auto"/>
        <w:ind w:left="5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15.2  </w:t>
      </w:r>
      <w:r>
        <w:rPr>
          <w:rFonts w:hint="eastAsia" w:ascii="宋体" w:hAnsi="宋体" w:eastAsia="宋体" w:cs="宋体"/>
          <w:color w:val="auto"/>
          <w:spacing w:val="0"/>
          <w:sz w:val="24"/>
          <w:szCs w:val="24"/>
          <w:highlight w:val="none"/>
        </w:rPr>
        <w:t>评标方法</w:t>
      </w:r>
    </w:p>
    <w:p w14:paraId="74A36995">
      <w:pPr>
        <w:keepNext w:val="0"/>
        <w:keepLines w:val="0"/>
        <w:pageBreakBefore w:val="0"/>
        <w:wordWrap w:val="0"/>
        <w:overflowPunct/>
        <w:topLinePunct w:val="0"/>
        <w:bidi w:val="0"/>
        <w:spacing w:before="78" w:line="326" w:lineRule="auto"/>
        <w:ind w:left="231" w:right="181" w:firstLine="560"/>
        <w:rPr>
          <w:rFonts w:hint="eastAsia" w:ascii="宋体" w:hAnsi="宋体" w:eastAsia="宋体" w:cs="宋体"/>
          <w:color w:val="auto"/>
          <w:spacing w:val="0"/>
          <w:highlight w:val="none"/>
        </w:rPr>
      </w:pPr>
      <w:bookmarkStart w:id="90" w:name="bookmark125"/>
      <w:bookmarkEnd w:id="90"/>
      <w:r>
        <w:rPr>
          <w:rFonts w:hint="eastAsia" w:ascii="宋体" w:hAnsi="宋体" w:eastAsia="宋体" w:cs="宋体"/>
          <w:color w:val="auto"/>
          <w:spacing w:val="0"/>
          <w:sz w:val="24"/>
          <w:szCs w:val="24"/>
          <w:highlight w:val="none"/>
        </w:rPr>
        <w:t>根据有关法律、法规的相关规定，结合本招标项目资金来源和规模特点，本次招标采用</w:t>
      </w:r>
      <w:r>
        <w:rPr>
          <w:rFonts w:hint="eastAsia" w:ascii="宋体" w:hAnsi="宋体" w:eastAsia="宋体" w:cs="宋体"/>
          <w:b/>
          <w:bCs/>
          <w:color w:val="auto"/>
          <w:spacing w:val="0"/>
          <w:sz w:val="24"/>
          <w:szCs w:val="24"/>
          <w:highlight w:val="none"/>
          <w:u w:val="single"/>
        </w:rPr>
        <w:t xml:space="preserve"> 综合评估法 </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pacing w:val="0"/>
          <w:sz w:val="24"/>
          <w:szCs w:val="24"/>
          <w:highlight w:val="none"/>
        </w:rPr>
        <w:t>评标方法名称）进行评标。</w:t>
      </w:r>
    </w:p>
    <w:p w14:paraId="16F8291A">
      <w:pPr>
        <w:keepNext w:val="0"/>
        <w:keepLines w:val="0"/>
        <w:pageBreakBefore w:val="0"/>
        <w:wordWrap w:val="0"/>
        <w:overflowPunct/>
        <w:topLinePunct w:val="0"/>
        <w:bidi w:val="0"/>
        <w:spacing w:before="154" w:line="269" w:lineRule="auto"/>
        <w:ind w:left="220" w:right="33" w:firstLine="496"/>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15.3  </w:t>
      </w:r>
      <w:r>
        <w:rPr>
          <w:rFonts w:hint="eastAsia" w:ascii="宋体" w:hAnsi="宋体" w:eastAsia="宋体" w:cs="宋体"/>
          <w:color w:val="auto"/>
          <w:spacing w:val="0"/>
          <w:sz w:val="24"/>
          <w:szCs w:val="24"/>
          <w:highlight w:val="none"/>
        </w:rPr>
        <w:t>评审范围：评标委员会应对所有投标人的投标文件进行评审。</w:t>
      </w:r>
    </w:p>
    <w:p w14:paraId="7E7B141D">
      <w:pPr>
        <w:keepNext w:val="0"/>
        <w:keepLines w:val="0"/>
        <w:pageBreakBefore w:val="0"/>
        <w:wordWrap w:val="0"/>
        <w:overflowPunct/>
        <w:topLinePunct w:val="0"/>
        <w:bidi w:val="0"/>
        <w:spacing w:before="153" w:line="220" w:lineRule="auto"/>
        <w:ind w:left="71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  </w:t>
      </w:r>
      <w:r>
        <w:rPr>
          <w:rFonts w:hint="eastAsia" w:ascii="宋体" w:hAnsi="宋体" w:eastAsia="宋体" w:cs="宋体"/>
          <w:color w:val="auto"/>
          <w:spacing w:val="0"/>
          <w:sz w:val="24"/>
          <w:szCs w:val="24"/>
          <w:highlight w:val="none"/>
        </w:rPr>
        <w:t>初步评审阶段</w:t>
      </w:r>
    </w:p>
    <w:p w14:paraId="513D8358">
      <w:pPr>
        <w:keepNext w:val="0"/>
        <w:keepLines w:val="0"/>
        <w:pageBreakBefore w:val="0"/>
        <w:wordWrap w:val="0"/>
        <w:overflowPunct/>
        <w:topLinePunct w:val="0"/>
        <w:bidi w:val="0"/>
        <w:spacing w:before="153" w:line="220" w:lineRule="auto"/>
        <w:ind w:left="70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初步评审阶段分为资格评审、形式评审和响应性评审三个环节。</w:t>
      </w:r>
    </w:p>
    <w:p w14:paraId="30E6A985">
      <w:pPr>
        <w:keepNext w:val="0"/>
        <w:keepLines w:val="0"/>
        <w:pageBreakBefore w:val="0"/>
        <w:tabs>
          <w:tab w:val="left" w:pos="3360"/>
        </w:tabs>
        <w:wordWrap w:val="0"/>
        <w:overflowPunct/>
        <w:topLinePunct w:val="0"/>
        <w:bidi w:val="0"/>
        <w:spacing w:before="155" w:line="279" w:lineRule="auto"/>
        <w:ind w:left="719" w:right="6040" w:rightChars="0" w:hanging="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15.4.1 </w:t>
      </w:r>
      <w:r>
        <w:rPr>
          <w:rFonts w:hint="eastAsia" w:ascii="宋体" w:hAnsi="宋体" w:eastAsia="宋体" w:cs="宋体"/>
          <w:color w:val="auto"/>
          <w:spacing w:val="0"/>
          <w:sz w:val="24"/>
          <w:szCs w:val="24"/>
          <w:highlight w:val="none"/>
        </w:rPr>
        <w:t xml:space="preserve"> 资格评审环节 资格评审事项</w:t>
      </w:r>
      <w:r>
        <w:rPr>
          <w:rFonts w:hint="eastAsia" w:ascii="宋体" w:hAnsi="宋体" w:eastAsia="宋体" w:cs="宋体"/>
          <w:color w:val="auto"/>
          <w:spacing w:val="0"/>
          <w:sz w:val="24"/>
          <w:szCs w:val="24"/>
          <w:highlight w:val="none"/>
          <w:lang w:val="en-US" w:eastAsia="zh-CN"/>
        </w:rPr>
        <w:t>包括</w:t>
      </w:r>
      <w:r>
        <w:rPr>
          <w:rFonts w:hint="eastAsia" w:ascii="宋体" w:hAnsi="宋体" w:eastAsia="宋体" w:cs="宋体"/>
          <w:color w:val="auto"/>
          <w:spacing w:val="0"/>
          <w:sz w:val="24"/>
          <w:szCs w:val="24"/>
          <w:highlight w:val="none"/>
        </w:rPr>
        <w:t>：</w:t>
      </w:r>
    </w:p>
    <w:p w14:paraId="02385A91">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（1）投标人是否符合本章第三节第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”规定。如果“禁止投标条款 ”包括失信惩戒的，投标人信用信息的获取采用现场实时查询的方式实施。由</w:t>
      </w:r>
      <w:r>
        <w:rPr>
          <w:rFonts w:hint="eastAsia" w:ascii="宋体" w:hAnsi="宋体" w:eastAsia="宋体" w:cs="宋体"/>
          <w:color w:val="auto"/>
          <w:spacing w:val="0"/>
          <w:sz w:val="24"/>
          <w:szCs w:val="24"/>
          <w:highlight w:val="none"/>
          <w:lang w:val="en-US" w:eastAsia="zh-CN"/>
        </w:rPr>
        <w:t>评标委员会</w:t>
      </w:r>
      <w:r>
        <w:rPr>
          <w:rFonts w:hint="eastAsia" w:ascii="宋体" w:hAnsi="宋体" w:eastAsia="宋体" w:cs="宋体"/>
          <w:color w:val="auto"/>
          <w:spacing w:val="0"/>
          <w:sz w:val="24"/>
          <w:szCs w:val="24"/>
          <w:highlight w:val="none"/>
        </w:rPr>
        <w:t xml:space="preserve">登录信用中国网站（https://www.creditchina.gov.cn），在企业查询界面下载和打印《法人和非法人组织公共信用信息报告》。 </w:t>
      </w:r>
    </w:p>
    <w:p w14:paraId="574B216F">
      <w:pPr>
        <w:keepNext w:val="0"/>
        <w:keepLines w:val="0"/>
        <w:pageBreakBefore w:val="0"/>
        <w:wordWrap w:val="0"/>
        <w:overflowPunct/>
        <w:topLinePunct w:val="0"/>
        <w:bidi w:val="0"/>
        <w:spacing w:before="155" w:line="219" w:lineRule="auto"/>
        <w:ind w:left="72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（2）投标人名称是否与营业执照、资质证书、安全生产许可证一致。</w:t>
      </w:r>
    </w:p>
    <w:p w14:paraId="06491F7F">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（3）投标人的资质是否符合招标文件规定；其营业执照、资质证书、安全生产许可证（含实时网页查询页，可参考网址 https://zlaq.mohurd.gov.cn/fwmh/bjxcjgl/fwm</w:t>
      </w:r>
      <w:bookmarkStart w:id="91" w:name="bookmark126"/>
      <w:bookmarkEnd w:id="91"/>
      <w:r>
        <w:rPr>
          <w:rFonts w:hint="eastAsia" w:ascii="宋体" w:hAnsi="宋体" w:eastAsia="宋体" w:cs="宋体"/>
          <w:color w:val="auto"/>
          <w:spacing w:val="0"/>
          <w:position w:val="3"/>
          <w:sz w:val="24"/>
          <w:szCs w:val="24"/>
          <w:highlight w:val="none"/>
        </w:rPr>
        <w:t>h/pages/construction_safety/qyaqscxkz/qyaqscxkz）是否合法、有效、准确。</w:t>
      </w:r>
    </w:p>
    <w:p w14:paraId="62284951">
      <w:pPr>
        <w:keepNext w:val="0"/>
        <w:keepLines w:val="0"/>
        <w:pageBreakBefore w:val="0"/>
        <w:wordWrap w:val="0"/>
        <w:overflowPunct/>
        <w:topLinePunct w:val="0"/>
        <w:bidi w:val="0"/>
        <w:spacing w:before="144"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（4）《项目经理简历表》中拟派项目经理是否与《开标一览表》一致。</w:t>
      </w:r>
    </w:p>
    <w:p w14:paraId="077E1DF6">
      <w:pPr>
        <w:keepNext w:val="0"/>
        <w:keepLines w:val="0"/>
        <w:pageBreakBefore w:val="0"/>
        <w:wordWrap w:val="0"/>
        <w:overflowPunct/>
        <w:topLinePunct w:val="0"/>
        <w:bidi w:val="0"/>
        <w:spacing w:before="151" w:line="315" w:lineRule="auto"/>
        <w:ind w:left="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65B40B4B">
      <w:pPr>
        <w:keepNext w:val="0"/>
        <w:keepLines w:val="0"/>
        <w:pageBreakBefore w:val="0"/>
        <w:wordWrap w:val="0"/>
        <w:overflowPunct/>
        <w:topLinePunct w:val="0"/>
        <w:bidi w:val="0"/>
        <w:spacing w:before="156" w:line="298"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7874A7F2">
      <w:pPr>
        <w:keepNext w:val="0"/>
        <w:keepLines w:val="0"/>
        <w:pageBreakBefore w:val="0"/>
        <w:wordWrap w:val="0"/>
        <w:overflowPunct/>
        <w:topLinePunct w:val="0"/>
        <w:bidi w:val="0"/>
        <w:spacing w:before="155" w:line="360" w:lineRule="auto"/>
        <w:ind w:left="8" w:right="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（7）投标人为外省建筑企业的，是否按规定在“进粤企业和人员诚信信息登记平台 ”录入企业及其拟派人员有关信息并通过数据规范检查。</w:t>
      </w:r>
    </w:p>
    <w:p w14:paraId="3F2C05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92" w:name="_Toc22778"/>
      <w:r>
        <w:rPr>
          <w:rFonts w:hint="eastAsia" w:ascii="宋体" w:hAnsi="宋体" w:eastAsia="宋体" w:cs="宋体"/>
          <w:b/>
          <w:bCs/>
          <w:color w:val="auto"/>
          <w:spacing w:val="0"/>
          <w:sz w:val="24"/>
          <w:szCs w:val="24"/>
          <w:highlight w:val="none"/>
        </w:rPr>
        <w:t xml:space="preserve">15.4.2 </w:t>
      </w:r>
      <w:r>
        <w:rPr>
          <w:rFonts w:hint="eastAsia" w:ascii="宋体" w:hAnsi="宋体" w:eastAsia="宋体" w:cs="宋体"/>
          <w:color w:val="auto"/>
          <w:spacing w:val="0"/>
          <w:sz w:val="24"/>
          <w:szCs w:val="24"/>
          <w:highlight w:val="none"/>
        </w:rPr>
        <w:t xml:space="preserve"> 形式评审环节</w:t>
      </w:r>
    </w:p>
    <w:p w14:paraId="6CA1C88A">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形式评审事</w:t>
      </w:r>
      <w:r>
        <w:rPr>
          <w:rFonts w:hint="eastAsia" w:ascii="宋体" w:hAnsi="宋体" w:eastAsia="宋体" w:cs="宋体"/>
          <w:color w:val="auto"/>
          <w:spacing w:val="0"/>
          <w:sz w:val="24"/>
          <w:szCs w:val="24"/>
          <w:highlight w:val="none"/>
          <w:lang w:eastAsia="zh-CN"/>
        </w:rPr>
        <w:t>项包括</w:t>
      </w:r>
      <w:bookmarkEnd w:id="92"/>
      <w:r>
        <w:rPr>
          <w:rFonts w:hint="eastAsia" w:ascii="宋体" w:hAnsi="宋体" w:eastAsia="宋体" w:cs="宋体"/>
          <w:color w:val="auto"/>
          <w:spacing w:val="0"/>
          <w:sz w:val="24"/>
          <w:szCs w:val="24"/>
          <w:highlight w:val="none"/>
          <w:lang w:eastAsia="zh-CN"/>
        </w:rPr>
        <w:t>：</w:t>
      </w:r>
    </w:p>
    <w:p w14:paraId="290BCF8D">
      <w:pPr>
        <w:keepNext w:val="0"/>
        <w:keepLines w:val="0"/>
        <w:pageBreakBefore w:val="0"/>
        <w:wordWrap w:val="0"/>
        <w:overflowPunct/>
        <w:topLinePunct w:val="0"/>
        <w:bidi w:val="0"/>
        <w:spacing w:before="40" w:line="360" w:lineRule="auto"/>
        <w:ind w:left="501"/>
        <w:outlineLvl w:val="9"/>
        <w:rPr>
          <w:rFonts w:hint="eastAsia" w:ascii="宋体" w:hAnsi="宋体" w:eastAsia="宋体" w:cs="宋体"/>
          <w:color w:val="auto"/>
          <w:spacing w:val="0"/>
          <w:sz w:val="24"/>
          <w:szCs w:val="24"/>
          <w:highlight w:val="none"/>
        </w:rPr>
      </w:pPr>
      <w:bookmarkStart w:id="93" w:name="_Toc23632"/>
      <w:bookmarkStart w:id="94" w:name="_Toc13304"/>
      <w:bookmarkStart w:id="95" w:name="_Toc4914"/>
      <w:bookmarkStart w:id="96" w:name="_Toc20481"/>
      <w:r>
        <w:rPr>
          <w:rFonts w:hint="eastAsia" w:ascii="宋体" w:hAnsi="宋体" w:eastAsia="宋体" w:cs="宋体"/>
          <w:color w:val="auto"/>
          <w:spacing w:val="0"/>
          <w:sz w:val="24"/>
          <w:szCs w:val="24"/>
          <w:highlight w:val="none"/>
        </w:rPr>
        <w:t>（1）各分册是否按招标文件规定加盖电子印章。</w:t>
      </w:r>
      <w:bookmarkEnd w:id="93"/>
      <w:bookmarkEnd w:id="94"/>
      <w:bookmarkEnd w:id="95"/>
      <w:bookmarkEnd w:id="96"/>
    </w:p>
    <w:p w14:paraId="6A8E625A">
      <w:pPr>
        <w:keepNext w:val="0"/>
        <w:keepLines w:val="0"/>
        <w:pageBreakBefore w:val="0"/>
        <w:wordWrap w:val="0"/>
        <w:overflowPunct/>
        <w:topLinePunct w:val="0"/>
        <w:bidi w:val="0"/>
        <w:spacing w:before="15" w:line="360" w:lineRule="auto"/>
        <w:ind w:firstLine="480" w:firstLineChars="200"/>
        <w:outlineLvl w:val="9"/>
        <w:rPr>
          <w:rFonts w:hint="eastAsia" w:ascii="宋体" w:hAnsi="宋体" w:eastAsia="宋体" w:cs="宋体"/>
          <w:color w:val="auto"/>
          <w:spacing w:val="0"/>
          <w:sz w:val="24"/>
          <w:szCs w:val="24"/>
          <w:highlight w:val="none"/>
          <w:lang w:eastAsia="zh-CN"/>
        </w:rPr>
      </w:pPr>
      <w:bookmarkStart w:id="97" w:name="_Toc28409"/>
      <w:bookmarkStart w:id="98" w:name="_Toc10806"/>
      <w:bookmarkStart w:id="99" w:name="_Toc27432"/>
      <w:bookmarkStart w:id="100" w:name="_Toc12756"/>
      <w:r>
        <w:rPr>
          <w:rFonts w:hint="eastAsia" w:ascii="宋体" w:hAnsi="宋体" w:eastAsia="宋体" w:cs="宋体"/>
          <w:color w:val="auto"/>
          <w:spacing w:val="0"/>
          <w:sz w:val="24"/>
          <w:szCs w:val="24"/>
          <w:highlight w:val="none"/>
        </w:rPr>
        <w:t>（2）本节第</w:t>
      </w:r>
      <w:r>
        <w:rPr>
          <w:rFonts w:hint="eastAsia" w:ascii="宋体" w:hAnsi="宋体" w:eastAsia="宋体" w:cs="宋体"/>
          <w:b/>
          <w:bCs/>
          <w:color w:val="auto"/>
          <w:spacing w:val="0"/>
          <w:sz w:val="24"/>
          <w:szCs w:val="24"/>
          <w:highlight w:val="none"/>
        </w:rPr>
        <w:t xml:space="preserve"> 10.2.2 </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 目、第</w:t>
      </w:r>
      <w:r>
        <w:rPr>
          <w:rFonts w:hint="eastAsia" w:ascii="宋体" w:hAnsi="宋体" w:eastAsia="宋体" w:cs="宋体"/>
          <w:b/>
          <w:bCs/>
          <w:color w:val="auto"/>
          <w:spacing w:val="0"/>
          <w:sz w:val="24"/>
          <w:szCs w:val="24"/>
          <w:highlight w:val="none"/>
        </w:rPr>
        <w:t xml:space="preserve"> 10.4.3 </w:t>
      </w:r>
      <w:r>
        <w:rPr>
          <w:rFonts w:hint="eastAsia" w:ascii="宋体" w:hAnsi="宋体" w:eastAsia="宋体" w:cs="宋体"/>
          <w:color w:val="auto"/>
          <w:spacing w:val="0"/>
          <w:sz w:val="24"/>
          <w:szCs w:val="24"/>
          <w:highlight w:val="none"/>
        </w:rPr>
        <w:t xml:space="preserve"> 目中规定的“所有投标人均应提</w:t>
      </w:r>
      <w:bookmarkEnd w:id="97"/>
      <w:bookmarkEnd w:id="98"/>
      <w:bookmarkEnd w:id="99"/>
      <w:r>
        <w:rPr>
          <w:rFonts w:hint="eastAsia" w:ascii="宋体" w:hAnsi="宋体" w:eastAsia="宋体" w:cs="宋体"/>
          <w:color w:val="auto"/>
          <w:spacing w:val="0"/>
          <w:sz w:val="24"/>
          <w:szCs w:val="24"/>
          <w:highlight w:val="none"/>
        </w:rPr>
        <w:t>供 ”的组成内容（包括该组成内容的所附资料）是否完整、齐全</w:t>
      </w:r>
      <w:bookmarkEnd w:id="100"/>
      <w:r>
        <w:rPr>
          <w:rFonts w:hint="eastAsia" w:ascii="宋体" w:hAnsi="宋体" w:eastAsia="宋体" w:cs="宋体"/>
          <w:color w:val="auto"/>
          <w:spacing w:val="0"/>
          <w:sz w:val="24"/>
          <w:szCs w:val="24"/>
          <w:highlight w:val="none"/>
          <w:lang w:eastAsia="zh-CN"/>
        </w:rPr>
        <w:t>。</w:t>
      </w:r>
    </w:p>
    <w:p w14:paraId="438D1D33">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bookmarkStart w:id="101" w:name="_Toc17918"/>
      <w:bookmarkStart w:id="102" w:name="_Toc15678"/>
      <w:bookmarkStart w:id="103" w:name="_Toc9581"/>
      <w:bookmarkStart w:id="104" w:name="_Toc22691"/>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101"/>
      <w:bookmarkEnd w:id="102"/>
      <w:bookmarkEnd w:id="103"/>
      <w:bookmarkEnd w:id="104"/>
    </w:p>
    <w:p w14:paraId="59F478D8">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b/>
          <w:bCs/>
          <w:color w:val="auto"/>
          <w:spacing w:val="0"/>
          <w:sz w:val="24"/>
          <w:szCs w:val="24"/>
          <w:highlight w:val="none"/>
        </w:rPr>
      </w:pPr>
      <w:bookmarkStart w:id="105" w:name="_Toc16645"/>
      <w:bookmarkStart w:id="106" w:name="_Toc22562"/>
      <w:bookmarkStart w:id="107" w:name="_Toc22642"/>
      <w:bookmarkStart w:id="108" w:name="_Toc14202"/>
    </w:p>
    <w:p w14:paraId="4C13FF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15.4.3  </w:t>
      </w:r>
      <w:r>
        <w:rPr>
          <w:rFonts w:hint="eastAsia" w:ascii="宋体" w:hAnsi="宋体" w:eastAsia="宋体" w:cs="宋体"/>
          <w:color w:val="auto"/>
          <w:spacing w:val="0"/>
          <w:sz w:val="24"/>
          <w:szCs w:val="24"/>
          <w:highlight w:val="none"/>
        </w:rPr>
        <w:t xml:space="preserve">响应性评审环节 </w:t>
      </w:r>
    </w:p>
    <w:p w14:paraId="3519CDD1">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响应性评项包括：</w:t>
      </w:r>
      <w:bookmarkEnd w:id="105"/>
      <w:bookmarkEnd w:id="106"/>
      <w:bookmarkEnd w:id="107"/>
      <w:bookmarkEnd w:id="108"/>
    </w:p>
    <w:p w14:paraId="3B227407">
      <w:pPr>
        <w:keepNext w:val="0"/>
        <w:keepLines w:val="0"/>
        <w:pageBreakBefore w:val="0"/>
        <w:wordWrap w:val="0"/>
        <w:overflowPunct/>
        <w:topLinePunct w:val="0"/>
        <w:bidi w:val="0"/>
        <w:spacing w:before="155" w:line="360"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（1）投标有效期、质量标准、工期等是否响应招标文件实质性要求；是否擅自修改、遗漏《投标函》《各项承诺一览表》的实质性内容。</w:t>
      </w:r>
    </w:p>
    <w:p w14:paraId="74AB4830">
      <w:pPr>
        <w:keepNext w:val="0"/>
        <w:keepLines w:val="0"/>
        <w:pageBreakBefore w:val="0"/>
        <w:wordWrap w:val="0"/>
        <w:overflowPunct/>
        <w:topLinePunct w:val="0"/>
        <w:bidi w:val="0"/>
        <w:spacing w:before="152" w:line="36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（2）编制《投标总价》的造价工程师，其注册证书是否合法、有效。</w:t>
      </w:r>
    </w:p>
    <w:p w14:paraId="52F8B469">
      <w:pPr>
        <w:keepNext w:val="0"/>
        <w:keepLines w:val="0"/>
        <w:pageBreakBefore w:val="0"/>
        <w:wordWrap w:val="0"/>
        <w:overflowPunct/>
        <w:topLinePunct w:val="0"/>
        <w:bidi w:val="0"/>
        <w:spacing w:before="158" w:line="360" w:lineRule="auto"/>
        <w:ind w:left="21" w:right="2"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（3）投标人委托造价咨询单位编制《投标总价》的，是否在《投标总价》“投标人 ”栏目加盖造价咨询人公章；是否提供造价咨询人的营业执照副本彩色扫描件；</w:t>
      </w:r>
    </w:p>
    <w:p w14:paraId="364BA91D">
      <w:pPr>
        <w:keepNext w:val="0"/>
        <w:keepLines w:val="0"/>
        <w:pageBreakBefore w:val="0"/>
        <w:wordWrap w:val="0"/>
        <w:overflowPunct/>
        <w:topLinePunct w:val="0"/>
        <w:bidi w:val="0"/>
        <w:spacing w:before="158" w:line="328" w:lineRule="auto"/>
        <w:ind w:left="9" w:firstLine="49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（4）投标总价是否唯一；投标总价是否超出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是否达到最低要求；暂列金额、暂估价是否按照招标工程量清单统一报价；投标人是否以低于成本的价格竞标。</w:t>
      </w:r>
    </w:p>
    <w:p w14:paraId="4FD03933">
      <w:pPr>
        <w:keepNext w:val="0"/>
        <w:keepLines w:val="0"/>
        <w:pageBreakBefore w:val="0"/>
        <w:wordWrap w:val="0"/>
        <w:overflowPunct/>
        <w:topLinePunct w:val="0"/>
        <w:bidi w:val="0"/>
        <w:spacing w:before="38" w:line="360" w:lineRule="auto"/>
        <w:ind w:right="2" w:firstLine="482" w:firstLineChars="200"/>
        <w:jc w:val="both"/>
        <w:rPr>
          <w:rFonts w:hint="eastAsia" w:ascii="宋体" w:hAnsi="宋体" w:eastAsia="宋体" w:cs="宋体"/>
          <w:color w:val="auto"/>
          <w:spacing w:val="0"/>
          <w:position w:val="-8"/>
          <w:sz w:val="24"/>
          <w:szCs w:val="24"/>
          <w:highlight w:val="none"/>
        </w:rPr>
      </w:pPr>
      <w:r>
        <w:rPr>
          <w:rFonts w:hint="eastAsia" w:ascii="宋体" w:hAnsi="宋体" w:eastAsia="宋体" w:cs="宋体"/>
          <w:b/>
          <w:bCs/>
          <w:color w:val="auto"/>
          <w:spacing w:val="0"/>
          <w:sz w:val="24"/>
          <w:szCs w:val="24"/>
          <w:highlight w:val="none"/>
        </w:rPr>
        <w:t>注：如果某投标人的投标总价下浮率超过</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 ，又未提供相应书面说明和佐证</w:t>
      </w:r>
      <w:bookmarkStart w:id="109" w:name="bookmark127"/>
      <w:bookmarkEnd w:id="109"/>
      <w:r>
        <w:rPr>
          <w:rFonts w:hint="eastAsia" w:ascii="宋体" w:hAnsi="宋体" w:eastAsia="宋体" w:cs="宋体"/>
          <w:b/>
          <w:bCs/>
          <w:color w:val="auto"/>
          <w:spacing w:val="0"/>
          <w:sz w:val="24"/>
          <w:szCs w:val="24"/>
          <w:highlight w:val="none"/>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）×100% 。</w:t>
      </w:r>
    </w:p>
    <w:p w14:paraId="4E33E3DD">
      <w:pPr>
        <w:keepNext w:val="0"/>
        <w:keepLines w:val="0"/>
        <w:pageBreakBefore w:val="0"/>
        <w:wordWrap w:val="0"/>
        <w:overflowPunct/>
        <w:topLinePunct w:val="0"/>
        <w:bidi w:val="0"/>
        <w:spacing w:before="157" w:line="360" w:lineRule="auto"/>
        <w:ind w:left="11" w:right="114" w:firstLine="501" w:firstLineChars="20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（5）施工组织设计的质量、进度保障措施是否符合国家和省市现行有关规范、规定、标准，是否能实现工程质量、进度管理目标。</w:t>
      </w:r>
    </w:p>
    <w:p w14:paraId="556B94DC">
      <w:pPr>
        <w:keepNext w:val="0"/>
        <w:keepLines w:val="0"/>
        <w:pageBreakBefore w:val="0"/>
        <w:wordWrap w:val="0"/>
        <w:overflowPunct/>
        <w:topLinePunct w:val="0"/>
        <w:bidi w:val="0"/>
        <w:spacing w:before="82" w:line="211" w:lineRule="auto"/>
        <w:ind w:left="580"/>
        <w:outlineLvl w:val="9"/>
        <w:rPr>
          <w:rFonts w:hint="eastAsia" w:ascii="宋体" w:hAnsi="宋体" w:eastAsia="宋体" w:cs="宋体"/>
          <w:color w:val="auto"/>
          <w:spacing w:val="0"/>
          <w:sz w:val="25"/>
          <w:szCs w:val="25"/>
          <w:highlight w:val="none"/>
        </w:rPr>
      </w:pPr>
      <w:bookmarkStart w:id="110" w:name="_Toc15367"/>
      <w:bookmarkStart w:id="111" w:name="_Toc18204"/>
      <w:bookmarkStart w:id="112" w:name="_Toc32114"/>
      <w:bookmarkStart w:id="113" w:name="_Toc19814"/>
      <w:r>
        <w:rPr>
          <w:rFonts w:hint="eastAsia" w:ascii="宋体" w:hAnsi="宋体" w:eastAsia="宋体" w:cs="宋体"/>
          <w:b/>
          <w:bCs/>
          <w:color w:val="auto"/>
          <w:spacing w:val="0"/>
          <w:sz w:val="24"/>
          <w:szCs w:val="24"/>
          <w:highlight w:val="none"/>
        </w:rPr>
        <w:t xml:space="preserve">15.4.4  </w:t>
      </w:r>
      <w:r>
        <w:rPr>
          <w:rFonts w:hint="eastAsia" w:ascii="宋体" w:hAnsi="宋体" w:eastAsia="宋体" w:cs="宋体"/>
          <w:color w:val="auto"/>
          <w:spacing w:val="0"/>
          <w:sz w:val="24"/>
          <w:szCs w:val="24"/>
          <w:highlight w:val="none"/>
        </w:rPr>
        <w:t>否决投标说明</w:t>
      </w:r>
      <w:bookmarkEnd w:id="110"/>
      <w:bookmarkEnd w:id="111"/>
      <w:bookmarkEnd w:id="112"/>
      <w:bookmarkEnd w:id="113"/>
    </w:p>
    <w:p w14:paraId="09D6B103">
      <w:pPr>
        <w:keepNext w:val="0"/>
        <w:keepLines w:val="0"/>
        <w:pageBreakBefore w:val="0"/>
        <w:wordWrap w:val="0"/>
        <w:overflowPunct/>
        <w:topLinePunct w:val="0"/>
        <w:bidi w:val="0"/>
        <w:spacing w:before="152" w:line="333" w:lineRule="auto"/>
        <w:ind w:left="11" w:right="175" w:firstLine="56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初步评审阶段各个环节否决投标的全部条件，在本章第四节“否决投标条件 ”第</w:t>
      </w:r>
      <w:r>
        <w:rPr>
          <w:rFonts w:hint="eastAsia" w:ascii="宋体" w:hAnsi="宋体" w:eastAsia="宋体" w:cs="宋体"/>
          <w:b/>
          <w:bCs/>
          <w:color w:val="auto"/>
          <w:spacing w:val="0"/>
          <w:sz w:val="24"/>
          <w:szCs w:val="24"/>
          <w:highlight w:val="none"/>
        </w:rPr>
        <w:t xml:space="preserve">1 </w:t>
      </w:r>
      <w:r>
        <w:rPr>
          <w:rFonts w:hint="eastAsia" w:ascii="宋体" w:hAnsi="宋体" w:eastAsia="宋体" w:cs="宋体"/>
          <w:color w:val="auto"/>
          <w:spacing w:val="0"/>
          <w:sz w:val="24"/>
          <w:szCs w:val="24"/>
          <w:highlight w:val="none"/>
        </w:rPr>
        <w:t xml:space="preserve">条至第 </w:t>
      </w:r>
      <w:r>
        <w:rPr>
          <w:rFonts w:hint="eastAsia" w:ascii="宋体" w:hAnsi="宋体" w:eastAsia="宋体" w:cs="宋体"/>
          <w:b/>
          <w:bCs/>
          <w:color w:val="auto"/>
          <w:spacing w:val="0"/>
          <w:sz w:val="24"/>
          <w:szCs w:val="24"/>
          <w:highlight w:val="none"/>
        </w:rPr>
        <w:t xml:space="preserve">4 </w:t>
      </w:r>
      <w:r>
        <w:rPr>
          <w:rFonts w:hint="eastAsia" w:ascii="宋体" w:hAnsi="宋体" w:eastAsia="宋体" w:cs="宋体"/>
          <w:color w:val="auto"/>
          <w:spacing w:val="0"/>
          <w:sz w:val="24"/>
          <w:szCs w:val="24"/>
          <w:highlight w:val="none"/>
        </w:rPr>
        <w:t>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评标委员会经评审，认为所有投标都不符合招标文件要求的，可否决所有投标，项目的所有投标被否决的，招标人应依法重新组织招标。</w:t>
      </w:r>
    </w:p>
    <w:p w14:paraId="10CC8727">
      <w:pPr>
        <w:keepNext w:val="0"/>
        <w:keepLines w:val="0"/>
        <w:pageBreakBefore w:val="0"/>
        <w:wordWrap w:val="0"/>
        <w:overflowPunct/>
        <w:topLinePunct w:val="0"/>
        <w:bidi w:val="0"/>
        <w:spacing w:before="78" w:line="221" w:lineRule="auto"/>
        <w:ind w:left="5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drawing>
          <wp:anchor distT="0" distB="0" distL="114300" distR="114300" simplePos="0" relativeHeight="251669504"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14" w:name="bookmark128"/>
      <w:bookmarkEnd w:id="114"/>
      <w:r>
        <w:rPr>
          <w:rFonts w:hint="eastAsia" w:ascii="宋体" w:hAnsi="宋体" w:eastAsia="宋体" w:cs="宋体"/>
          <w:b/>
          <w:bCs/>
          <w:color w:val="auto"/>
          <w:spacing w:val="0"/>
          <w:sz w:val="24"/>
          <w:szCs w:val="24"/>
          <w:highlight w:val="none"/>
        </w:rPr>
        <w:t xml:space="preserve">15.5  </w:t>
      </w:r>
      <w:r>
        <w:rPr>
          <w:rFonts w:hint="eastAsia" w:ascii="宋体" w:hAnsi="宋体" w:eastAsia="宋体" w:cs="宋体"/>
          <w:color w:val="auto"/>
          <w:spacing w:val="0"/>
          <w:sz w:val="24"/>
          <w:szCs w:val="24"/>
          <w:highlight w:val="none"/>
        </w:rPr>
        <w:t>详细评审阶段</w:t>
      </w:r>
    </w:p>
    <w:p w14:paraId="269EBC2C">
      <w:pPr>
        <w:keepNext w:val="0"/>
        <w:keepLines w:val="0"/>
        <w:pageBreakBefore w:val="0"/>
        <w:wordWrap w:val="0"/>
        <w:overflowPunct/>
        <w:topLinePunct w:val="0"/>
        <w:bidi w:val="0"/>
        <w:spacing w:before="81" w:line="211" w:lineRule="auto"/>
        <w:ind w:left="498"/>
        <w:outlineLvl w:val="9"/>
        <w:rPr>
          <w:rFonts w:hint="eastAsia" w:ascii="宋体" w:hAnsi="宋体" w:eastAsia="宋体" w:cs="宋体"/>
          <w:color w:val="auto"/>
          <w:spacing w:val="0"/>
          <w:sz w:val="25"/>
          <w:szCs w:val="25"/>
          <w:highlight w:val="none"/>
        </w:rPr>
      </w:pPr>
      <w:bookmarkStart w:id="115" w:name="_Toc10503"/>
      <w:bookmarkStart w:id="116" w:name="_Toc28572"/>
      <w:bookmarkStart w:id="117" w:name="_Toc4119"/>
      <w:bookmarkStart w:id="118" w:name="_Toc14991"/>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“综合评估法 ”评审程序</w:t>
      </w:r>
      <w:bookmarkEnd w:id="115"/>
      <w:bookmarkEnd w:id="116"/>
      <w:bookmarkEnd w:id="117"/>
      <w:bookmarkEnd w:id="118"/>
    </w:p>
    <w:p w14:paraId="40207E1F">
      <w:pPr>
        <w:keepNext w:val="0"/>
        <w:keepLines w:val="0"/>
        <w:pageBreakBefore w:val="0"/>
        <w:wordWrap w:val="0"/>
        <w:overflowPunct/>
        <w:topLinePunct w:val="0"/>
        <w:bidi w:val="0"/>
        <w:spacing w:before="152" w:line="329" w:lineRule="auto"/>
        <w:ind w:left="14" w:right="8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评审内容分为商务技术和投标报价两大部分。其中，商务技术合计满分</w:t>
      </w:r>
      <w:r>
        <w:rPr>
          <w:rFonts w:hint="eastAsia" w:ascii="宋体" w:hAnsi="宋体" w:eastAsia="宋体" w:cs="宋体"/>
          <w:color w:val="auto"/>
          <w:spacing w:val="0"/>
          <w:sz w:val="24"/>
          <w:szCs w:val="24"/>
          <w:highlight w:val="none"/>
          <w:lang w:eastAsia="zh-CN"/>
        </w:rPr>
        <w:t>100</w:t>
      </w:r>
      <w:r>
        <w:rPr>
          <w:rFonts w:hint="eastAsia" w:ascii="宋体" w:hAnsi="宋体" w:eastAsia="宋体" w:cs="宋体"/>
          <w:color w:val="auto"/>
          <w:spacing w:val="0"/>
          <w:sz w:val="24"/>
          <w:szCs w:val="24"/>
          <w:highlight w:val="none"/>
        </w:rPr>
        <w:t>分，权重为</w:t>
      </w:r>
      <w:r>
        <w:rPr>
          <w:rFonts w:hint="eastAsia" w:ascii="宋体" w:hAnsi="宋体" w:eastAsia="宋体" w:cs="宋体"/>
          <w:color w:val="auto"/>
          <w:spacing w:val="0"/>
          <w:sz w:val="24"/>
          <w:szCs w:val="24"/>
          <w:highlight w:val="none"/>
          <w:lang w:eastAsia="zh-CN"/>
        </w:rPr>
        <w:t>40</w:t>
      </w:r>
      <w:r>
        <w:rPr>
          <w:rFonts w:hint="eastAsia" w:ascii="宋体" w:hAnsi="宋体" w:eastAsia="宋体" w:cs="宋体"/>
          <w:color w:val="auto"/>
          <w:spacing w:val="0"/>
          <w:sz w:val="24"/>
          <w:szCs w:val="24"/>
          <w:highlight w:val="none"/>
        </w:rPr>
        <w:t>%；投标报价满分 100 分，权重为</w:t>
      </w:r>
      <w:r>
        <w:rPr>
          <w:rFonts w:hint="eastAsia" w:ascii="宋体" w:hAnsi="宋体" w:eastAsia="宋体" w:cs="宋体"/>
          <w:color w:val="auto"/>
          <w:spacing w:val="0"/>
          <w:sz w:val="24"/>
          <w:szCs w:val="24"/>
          <w:highlight w:val="none"/>
          <w:lang w:eastAsia="zh-CN"/>
        </w:rPr>
        <w:t>60</w:t>
      </w:r>
      <w:r>
        <w:rPr>
          <w:rFonts w:hint="eastAsia" w:ascii="宋体" w:hAnsi="宋体" w:eastAsia="宋体" w:cs="宋体"/>
          <w:color w:val="auto"/>
          <w:spacing w:val="0"/>
          <w:sz w:val="24"/>
          <w:szCs w:val="24"/>
          <w:highlight w:val="none"/>
        </w:rPr>
        <w:t>% 。两大部分权重之和应为 100%。</w:t>
      </w:r>
    </w:p>
    <w:p w14:paraId="17D2E71D">
      <w:pPr>
        <w:keepNext w:val="0"/>
        <w:keepLines w:val="0"/>
        <w:pageBreakBefore w:val="0"/>
        <w:wordWrap w:val="0"/>
        <w:overflowPunct/>
        <w:topLinePunct w:val="0"/>
        <w:bidi w:val="0"/>
        <w:spacing w:before="153" w:line="324" w:lineRule="auto"/>
        <w:ind w:left="14"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除特别注明外，综合得分以及商务技术得分、投标报价得分的中间过程计算值和最终值，均按“ 四舍五入 ”原则精确到两位小数。</w:t>
      </w:r>
    </w:p>
    <w:p w14:paraId="6D824175">
      <w:pPr>
        <w:keepNext w:val="0"/>
        <w:keepLines w:val="0"/>
        <w:pageBreakBefore w:val="0"/>
        <w:wordWrap w:val="0"/>
        <w:overflowPunct/>
        <w:topLinePunct w:val="0"/>
        <w:bidi w:val="0"/>
        <w:spacing w:before="38" w:line="220" w:lineRule="auto"/>
        <w:ind w:left="503"/>
        <w:outlineLvl w:val="9"/>
        <w:rPr>
          <w:rFonts w:hint="eastAsia" w:ascii="宋体" w:hAnsi="宋体" w:eastAsia="宋体" w:cs="宋体"/>
          <w:color w:val="auto"/>
          <w:spacing w:val="0"/>
          <w:sz w:val="24"/>
          <w:szCs w:val="24"/>
          <w:highlight w:val="none"/>
        </w:rPr>
      </w:pPr>
      <w:bookmarkStart w:id="119" w:name="_Toc18029"/>
      <w:bookmarkStart w:id="120" w:name="_Toc22949"/>
      <w:bookmarkStart w:id="121" w:name="_Toc17510"/>
      <w:bookmarkStart w:id="122" w:name="_Toc10398"/>
      <w:r>
        <w:rPr>
          <w:rFonts w:hint="eastAsia" w:ascii="宋体" w:hAnsi="宋体" w:eastAsia="宋体" w:cs="宋体"/>
          <w:color w:val="auto"/>
          <w:spacing w:val="0"/>
          <w:sz w:val="24"/>
          <w:szCs w:val="24"/>
          <w:highlight w:val="none"/>
        </w:rPr>
        <w:t>（1）商务技术得分 M</w:t>
      </w:r>
      <w:bookmarkEnd w:id="119"/>
      <w:bookmarkEnd w:id="120"/>
      <w:bookmarkEnd w:id="121"/>
      <w:bookmarkEnd w:id="122"/>
    </w:p>
    <w:p w14:paraId="120A17FE">
      <w:pPr>
        <w:keepNext w:val="0"/>
        <w:keepLines w:val="0"/>
        <w:pageBreakBefore w:val="0"/>
        <w:wordWrap w:val="0"/>
        <w:overflowPunct/>
        <w:topLinePunct w:val="0"/>
        <w:bidi w:val="0"/>
        <w:spacing w:before="153" w:line="279" w:lineRule="auto"/>
        <w:ind w:left="15" w:right="81"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．评标委员会按照《综合评分表》商务部分指定的评分标准对各评分因素进行打分。各评分因素得分之和即为某投标人的商务得分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w:t>
      </w:r>
    </w:p>
    <w:p w14:paraId="1339ADCB">
      <w:pPr>
        <w:keepNext w:val="0"/>
        <w:keepLines w:val="0"/>
        <w:pageBreakBefore w:val="0"/>
        <w:wordWrap w:val="0"/>
        <w:overflowPunct/>
        <w:topLinePunct w:val="0"/>
        <w:bidi w:val="0"/>
        <w:spacing w:before="154" w:line="299" w:lineRule="auto"/>
        <w:ind w:left="12" w:right="8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宋体" w:hAnsi="宋体" w:eastAsia="宋体" w:cs="宋体"/>
          <w:color w:val="auto"/>
          <w:spacing w:val="0"/>
          <w:position w:val="-1"/>
          <w:sz w:val="15"/>
          <w:szCs w:val="15"/>
          <w:highlight w:val="none"/>
        </w:rPr>
        <w:t>2</w:t>
      </w:r>
      <w:r>
        <w:rPr>
          <w:rFonts w:hint="eastAsia" w:ascii="宋体" w:hAnsi="宋体" w:eastAsia="宋体" w:cs="宋体"/>
          <w:color w:val="auto"/>
          <w:spacing w:val="0"/>
          <w:sz w:val="24"/>
          <w:szCs w:val="24"/>
          <w:highlight w:val="none"/>
        </w:rPr>
        <w:t>。</w:t>
      </w:r>
    </w:p>
    <w:p w14:paraId="0BBD9A29">
      <w:pPr>
        <w:keepNext w:val="0"/>
        <w:keepLines w:val="0"/>
        <w:pageBreakBefore w:val="0"/>
        <w:wordWrap w:val="0"/>
        <w:overflowPunct/>
        <w:topLinePunct w:val="0"/>
        <w:bidi w:val="0"/>
        <w:spacing w:before="155" w:line="231" w:lineRule="auto"/>
        <w:ind w:left="491"/>
        <w:rPr>
          <w:rFonts w:hint="eastAsia" w:ascii="宋体" w:hAnsi="宋体" w:eastAsia="宋体" w:cs="宋体"/>
          <w:color w:val="auto"/>
          <w:spacing w:val="0"/>
          <w:sz w:val="15"/>
          <w:szCs w:val="15"/>
          <w:highlight w:val="none"/>
        </w:rPr>
      </w:pPr>
      <w:r>
        <w:rPr>
          <w:rFonts w:hint="eastAsia" w:ascii="宋体" w:hAnsi="宋体" w:eastAsia="宋体" w:cs="宋体"/>
          <w:b/>
          <w:bCs/>
          <w:color w:val="auto"/>
          <w:spacing w:val="0"/>
          <w:sz w:val="24"/>
          <w:szCs w:val="24"/>
          <w:highlight w:val="none"/>
        </w:rPr>
        <w:t xml:space="preserve">c </w:t>
      </w:r>
      <w:r>
        <w:rPr>
          <w:rFonts w:hint="eastAsia" w:ascii="宋体" w:hAnsi="宋体" w:eastAsia="宋体" w:cs="宋体"/>
          <w:color w:val="auto"/>
          <w:spacing w:val="0"/>
          <w:sz w:val="24"/>
          <w:szCs w:val="24"/>
          <w:highlight w:val="none"/>
        </w:rPr>
        <w:t>．M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＋M</w:t>
      </w:r>
      <w:r>
        <w:rPr>
          <w:rFonts w:hint="eastAsia" w:ascii="宋体" w:hAnsi="宋体" w:eastAsia="宋体" w:cs="宋体"/>
          <w:color w:val="auto"/>
          <w:spacing w:val="0"/>
          <w:position w:val="-1"/>
          <w:sz w:val="15"/>
          <w:szCs w:val="15"/>
          <w:highlight w:val="none"/>
        </w:rPr>
        <w:t>2</w:t>
      </w:r>
    </w:p>
    <w:p w14:paraId="77066CCD">
      <w:pPr>
        <w:keepNext w:val="0"/>
        <w:keepLines w:val="0"/>
        <w:pageBreakBefore w:val="0"/>
        <w:wordWrap w:val="0"/>
        <w:overflowPunct/>
        <w:topLinePunct w:val="0"/>
        <w:bidi w:val="0"/>
        <w:spacing w:before="139"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为某投标人的商务得分，M</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为某投标人的技术得分。</w:t>
      </w:r>
    </w:p>
    <w:p w14:paraId="741F8731">
      <w:pPr>
        <w:keepNext w:val="0"/>
        <w:keepLines w:val="0"/>
        <w:pageBreakBefore w:val="0"/>
        <w:wordWrap w:val="0"/>
        <w:overflowPunct/>
        <w:topLinePunct w:val="0"/>
        <w:bidi w:val="0"/>
        <w:spacing w:before="153" w:line="219" w:lineRule="auto"/>
        <w:ind w:left="503"/>
        <w:outlineLvl w:val="9"/>
        <w:rPr>
          <w:rFonts w:hint="eastAsia" w:ascii="宋体" w:hAnsi="宋体" w:eastAsia="宋体" w:cs="宋体"/>
          <w:color w:val="auto"/>
          <w:spacing w:val="0"/>
          <w:sz w:val="24"/>
          <w:szCs w:val="24"/>
          <w:highlight w:val="none"/>
        </w:rPr>
      </w:pPr>
      <w:bookmarkStart w:id="123" w:name="_Toc16136"/>
      <w:bookmarkStart w:id="124" w:name="_Toc14059"/>
      <w:bookmarkStart w:id="125" w:name="_Toc27609"/>
      <w:bookmarkStart w:id="126" w:name="_Toc3958"/>
      <w:r>
        <w:rPr>
          <w:rFonts w:hint="eastAsia" w:ascii="宋体" w:hAnsi="宋体" w:eastAsia="宋体" w:cs="宋体"/>
          <w:color w:val="auto"/>
          <w:spacing w:val="0"/>
          <w:sz w:val="24"/>
          <w:szCs w:val="24"/>
          <w:highlight w:val="none"/>
        </w:rPr>
        <w:t>（2）投标报价得分 N</w:t>
      </w:r>
      <w:bookmarkEnd w:id="123"/>
      <w:bookmarkEnd w:id="124"/>
      <w:bookmarkEnd w:id="125"/>
      <w:bookmarkEnd w:id="126"/>
    </w:p>
    <w:p w14:paraId="786741F9">
      <w:pPr>
        <w:keepNext w:val="0"/>
        <w:keepLines w:val="0"/>
        <w:pageBreakBefore w:val="0"/>
        <w:wordWrap w:val="0"/>
        <w:overflowPunct/>
        <w:topLinePunct w:val="0"/>
        <w:bidi w:val="0"/>
        <w:spacing w:before="157"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．评标委员会按照《综合评分表》投标报价部分指定的方法计算评标基准价 D。</w:t>
      </w:r>
    </w:p>
    <w:p w14:paraId="4AA96151">
      <w:pPr>
        <w:keepNext w:val="0"/>
        <w:keepLines w:val="0"/>
        <w:pageBreakBefore w:val="0"/>
        <w:wordWrap w:val="0"/>
        <w:overflowPunct/>
        <w:topLinePunct w:val="0"/>
        <w:bidi w:val="0"/>
        <w:spacing w:before="155" w:line="299" w:lineRule="auto"/>
        <w:ind w:left="12" w:right="83"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 xml:space="preserve">．采用内插法计算某投标人的投标报价得分 N ，即当投标人的投标总价等于评标基准价时得 100 分，每高于评标基准价一个百分点扣 </w:t>
      </w:r>
      <w:r>
        <w:rPr>
          <w:rFonts w:hint="eastAsia" w:ascii="宋体" w:hAnsi="宋体" w:eastAsia="宋体" w:cs="宋体"/>
          <w:b/>
          <w:bCs/>
          <w:color w:val="auto"/>
          <w:spacing w:val="0"/>
          <w:sz w:val="24"/>
          <w:szCs w:val="24"/>
          <w:highlight w:val="none"/>
        </w:rPr>
        <w:t xml:space="preserve">1 分, </w:t>
      </w:r>
      <w:r>
        <w:rPr>
          <w:rFonts w:hint="eastAsia" w:ascii="宋体" w:hAnsi="宋体" w:eastAsia="宋体" w:cs="宋体"/>
          <w:color w:val="auto"/>
          <w:spacing w:val="0"/>
          <w:sz w:val="24"/>
          <w:szCs w:val="24"/>
          <w:highlight w:val="none"/>
        </w:rPr>
        <w:t xml:space="preserve">每低于评标基准价一个百分点扣 </w:t>
      </w:r>
      <w:r>
        <w:rPr>
          <w:rFonts w:hint="eastAsia" w:ascii="宋体" w:hAnsi="宋体" w:eastAsia="宋体" w:cs="宋体"/>
          <w:b/>
          <w:bCs/>
          <w:color w:val="auto"/>
          <w:spacing w:val="0"/>
          <w:sz w:val="24"/>
          <w:szCs w:val="24"/>
          <w:highlight w:val="none"/>
        </w:rPr>
        <w:t>0.5 分</w:t>
      </w:r>
      <w:r>
        <w:rPr>
          <w:rFonts w:hint="eastAsia" w:ascii="宋体" w:hAnsi="宋体" w:eastAsia="宋体" w:cs="宋体"/>
          <w:color w:val="auto"/>
          <w:spacing w:val="0"/>
          <w:sz w:val="24"/>
          <w:szCs w:val="24"/>
          <w:highlight w:val="none"/>
        </w:rPr>
        <w:t>，扣完为止。公式如下：</w:t>
      </w:r>
    </w:p>
    <w:p w14:paraId="26BB5A3A">
      <w:pPr>
        <w:keepNext w:val="0"/>
        <w:keepLines w:val="0"/>
        <w:pageBreakBefore w:val="0"/>
        <w:wordWrap w:val="0"/>
        <w:overflowPunct/>
        <w:topLinePunct w:val="0"/>
        <w:bidi w:val="0"/>
        <w:spacing w:before="118" w:line="333" w:lineRule="exact"/>
        <w:ind w:left="24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N ＝100－（| Di－D | ÷D） × 100×E</w:t>
      </w:r>
    </w:p>
    <w:p w14:paraId="3CCB328A">
      <w:pPr>
        <w:keepNext w:val="0"/>
        <w:keepLines w:val="0"/>
        <w:pageBreakBefore w:val="0"/>
        <w:wordWrap w:val="0"/>
        <w:overflowPunct/>
        <w:topLinePunct w:val="0"/>
        <w:bidi w:val="0"/>
        <w:spacing w:before="106" w:line="316" w:lineRule="auto"/>
        <w:ind w:left="7" w:right="17"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式中：D 为评标基准价；Di为某投标人的投标总价；E 为扣分因子，当 Di＞D时，E ＝</w:t>
      </w:r>
      <w:r>
        <w:rPr>
          <w:rFonts w:hint="eastAsia" w:ascii="宋体" w:hAnsi="宋体" w:eastAsia="宋体" w:cs="宋体"/>
          <w:b/>
          <w:bCs/>
          <w:color w:val="auto"/>
          <w:spacing w:val="0"/>
          <w:sz w:val="24"/>
          <w:szCs w:val="24"/>
          <w:highlight w:val="none"/>
        </w:rPr>
        <w:t>1 ；</w:t>
      </w:r>
      <w:r>
        <w:rPr>
          <w:rFonts w:hint="eastAsia" w:ascii="宋体" w:hAnsi="宋体" w:eastAsia="宋体" w:cs="宋体"/>
          <w:color w:val="auto"/>
          <w:spacing w:val="0"/>
          <w:sz w:val="24"/>
          <w:szCs w:val="24"/>
          <w:highlight w:val="none"/>
        </w:rPr>
        <w:t>当 Di＜D</w:t>
      </w:r>
      <w:r>
        <w:rPr>
          <w:rFonts w:hint="eastAsia" w:ascii="宋体" w:hAnsi="宋体" w:eastAsia="宋体" w:cs="宋体"/>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时，E </w:t>
      </w:r>
      <w:r>
        <w:rPr>
          <w:rFonts w:hint="eastAsia" w:ascii="宋体" w:hAnsi="宋体" w:eastAsia="宋体" w:cs="宋体"/>
          <w:b/>
          <w:bCs/>
          <w:color w:val="auto"/>
          <w:spacing w:val="0"/>
          <w:sz w:val="24"/>
          <w:szCs w:val="24"/>
          <w:highlight w:val="none"/>
        </w:rPr>
        <w:t>＝0.5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w:t>
      </w:r>
    </w:p>
    <w:p w14:paraId="43895868">
      <w:pPr>
        <w:keepNext w:val="0"/>
        <w:keepLines w:val="0"/>
        <w:pageBreakBefore w:val="0"/>
        <w:wordWrap w:val="0"/>
        <w:overflowPunct/>
        <w:topLinePunct w:val="0"/>
        <w:bidi w:val="0"/>
        <w:spacing w:before="95" w:line="220" w:lineRule="auto"/>
        <w:ind w:left="503"/>
        <w:outlineLvl w:val="9"/>
        <w:rPr>
          <w:rFonts w:hint="eastAsia" w:ascii="宋体" w:hAnsi="宋体" w:eastAsia="宋体" w:cs="宋体"/>
          <w:color w:val="auto"/>
          <w:spacing w:val="0"/>
          <w:sz w:val="24"/>
          <w:szCs w:val="24"/>
          <w:highlight w:val="none"/>
        </w:rPr>
      </w:pPr>
      <w:bookmarkStart w:id="127" w:name="_Toc4990"/>
      <w:bookmarkStart w:id="128" w:name="_Toc3861"/>
      <w:bookmarkStart w:id="129" w:name="_Toc576"/>
      <w:bookmarkStart w:id="130" w:name="_Toc7915"/>
      <w:r>
        <w:rPr>
          <w:rFonts w:hint="eastAsia" w:ascii="宋体" w:hAnsi="宋体" w:eastAsia="宋体" w:cs="宋体"/>
          <w:color w:val="auto"/>
          <w:spacing w:val="0"/>
          <w:sz w:val="24"/>
          <w:szCs w:val="24"/>
          <w:highlight w:val="none"/>
        </w:rPr>
        <w:t>（3）综合得分</w:t>
      </w:r>
      <w:bookmarkEnd w:id="127"/>
      <w:bookmarkEnd w:id="128"/>
      <w:bookmarkEnd w:id="129"/>
      <w:bookmarkEnd w:id="130"/>
    </w:p>
    <w:p w14:paraId="13D70E4A">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综合得分换算为百分制，满分 100 分，公式如下：</w:t>
      </w:r>
    </w:p>
    <w:p w14:paraId="2B96078E">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综合得分＝M÷商务技术合计满分×100×商务技术权重＋N×投标报价权重</w:t>
      </w:r>
    </w:p>
    <w:p w14:paraId="15423E52">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 为商务技术得分，N 为投标报价得分。</w:t>
      </w:r>
    </w:p>
    <w:p w14:paraId="2F23EBA4">
      <w:pPr>
        <w:keepNext w:val="0"/>
        <w:keepLines w:val="0"/>
        <w:pageBreakBefore w:val="0"/>
        <w:wordWrap w:val="0"/>
        <w:overflowPunct/>
        <w:topLinePunct w:val="0"/>
        <w:bidi w:val="0"/>
        <w:spacing w:before="78" w:line="329" w:lineRule="auto"/>
        <w:ind w:left="276" w:right="263" w:hanging="1"/>
        <w:jc w:val="both"/>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15.</w:t>
      </w:r>
      <w:r>
        <w:rPr>
          <w:rFonts w:hint="eastAsia" w:ascii="宋体" w:hAnsi="宋体" w:eastAsia="宋体" w:cs="宋体"/>
          <w:b/>
          <w:bCs/>
          <w:color w:val="auto"/>
          <w:spacing w:val="0"/>
          <w:sz w:val="24"/>
          <w:szCs w:val="24"/>
          <w:highlight w:val="none"/>
          <w:lang w:val="en-US" w:eastAsia="zh-CN"/>
        </w:rPr>
        <w:t>6 推荐定标候选人</w:t>
      </w:r>
    </w:p>
    <w:p w14:paraId="71B54385">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评审综合总得分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rPr>
        <w:t>低的</w:t>
      </w:r>
      <w:r>
        <w:rPr>
          <w:rFonts w:hint="eastAsia" w:ascii="宋体" w:hAnsi="宋体" w:eastAsia="宋体" w:cs="宋体"/>
          <w:color w:val="auto"/>
          <w:sz w:val="24"/>
          <w:highlight w:val="none"/>
          <w:lang w:eastAsia="zh-CN"/>
        </w:rPr>
        <w:t>原则</w:t>
      </w:r>
      <w:r>
        <w:rPr>
          <w:rFonts w:hint="eastAsia" w:ascii="宋体" w:hAnsi="宋体" w:eastAsia="宋体" w:cs="宋体"/>
          <w:color w:val="auto"/>
          <w:sz w:val="24"/>
          <w:highlight w:val="none"/>
        </w:rPr>
        <w:t>,向招标人推荐</w:t>
      </w:r>
      <w:r>
        <w:rPr>
          <w:rFonts w:hint="eastAsia" w:ascii="宋体" w:hAnsi="宋体" w:eastAsia="宋体" w:cs="宋体"/>
          <w:color w:val="auto"/>
          <w:sz w:val="24"/>
          <w:highlight w:val="none"/>
          <w:lang w:val="en-US" w:eastAsia="zh-CN"/>
        </w:rPr>
        <w:t>已明确的</w:t>
      </w:r>
      <w:r>
        <w:rPr>
          <w:rFonts w:hint="eastAsia" w:ascii="宋体" w:hAnsi="宋体" w:eastAsia="宋体" w:cs="宋体"/>
          <w:color w:val="auto"/>
          <w:sz w:val="24"/>
          <w:highlight w:val="none"/>
        </w:rPr>
        <w:t>定标候选人</w:t>
      </w: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val="en-US" w:eastAsia="zh-CN"/>
        </w:rPr>
        <w:t>标明</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3个工作日内将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公示时间不少于3个工作日。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0E2DF559">
      <w:pPr>
        <w:keepNext w:val="0"/>
        <w:keepLines w:val="0"/>
        <w:pageBreakBefore w:val="0"/>
        <w:widowControl/>
        <w:kinsoku w:val="0"/>
        <w:wordWrap w:val="0"/>
        <w:overflowPunct/>
        <w:topLinePunct w:val="0"/>
        <w:autoSpaceDE w:val="0"/>
        <w:autoSpaceDN w:val="0"/>
        <w:bidi w:val="0"/>
        <w:adjustRightInd w:val="0"/>
        <w:snapToGrid w:val="0"/>
        <w:spacing w:before="153" w:line="360" w:lineRule="auto"/>
        <w:ind w:left="493" w:firstLine="602" w:firstLineChars="200"/>
        <w:textAlignment w:val="baseline"/>
        <w:rPr>
          <w:rFonts w:hint="eastAsia"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br w:type="page"/>
      </w:r>
    </w:p>
    <w:p w14:paraId="6C62DB67">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t>综合评分表</w:t>
      </w:r>
      <w:bookmarkEnd w:id="87"/>
      <w:bookmarkEnd w:id="88"/>
      <w:bookmarkEnd w:id="89"/>
    </w:p>
    <w:tbl>
      <w:tblPr>
        <w:tblStyle w:val="15"/>
        <w:tblW w:w="10307" w:type="dxa"/>
        <w:jc w:val="center"/>
        <w:tblLayout w:type="fixed"/>
        <w:tblCellMar>
          <w:top w:w="0" w:type="dxa"/>
          <w:left w:w="108" w:type="dxa"/>
          <w:bottom w:w="0" w:type="dxa"/>
          <w:right w:w="108" w:type="dxa"/>
        </w:tblCellMar>
      </w:tblPr>
      <w:tblGrid>
        <w:gridCol w:w="1216"/>
        <w:gridCol w:w="3733"/>
        <w:gridCol w:w="5358"/>
      </w:tblGrid>
      <w:tr w14:paraId="3A11EBAA">
        <w:tblPrEx>
          <w:tblCellMar>
            <w:top w:w="0" w:type="dxa"/>
            <w:left w:w="108" w:type="dxa"/>
            <w:bottom w:w="0" w:type="dxa"/>
            <w:right w:w="108" w:type="dxa"/>
          </w:tblCellMar>
        </w:tblPrEx>
        <w:trPr>
          <w:trHeight w:val="58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28B1DA57">
            <w:pPr>
              <w:widowControl w:val="0"/>
              <w:tabs>
                <w:tab w:val="left" w:pos="1354"/>
                <w:tab w:val="left" w:pos="1459"/>
                <w:tab w:val="center" w:pos="3902"/>
                <w:tab w:val="right" w:pos="7805"/>
              </w:tabs>
              <w:wordWrap w:val="0"/>
              <w:spacing w:after="0" w:line="240" w:lineRule="auto"/>
              <w:jc w:val="both"/>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b/>
                <w:bCs/>
                <w:snapToGrid w:val="0"/>
                <w:kern w:val="0"/>
                <w:sz w:val="24"/>
                <w:szCs w:val="24"/>
                <w:highlight w:val="none"/>
                <w:lang w:val="en-US" w:eastAsia="zh-CN" w:bidi="ar-SA"/>
              </w:rPr>
              <w:t>商务部分，满分：</w:t>
            </w:r>
            <w:r>
              <w:rPr>
                <w:rFonts w:hint="eastAsia" w:asciiTheme="minorEastAsia" w:hAnsiTheme="minorEastAsia" w:eastAsiaTheme="minorEastAsia" w:cstheme="minorEastAsia"/>
                <w:b/>
                <w:bCs/>
                <w:snapToGrid w:val="0"/>
                <w:kern w:val="0"/>
                <w:sz w:val="24"/>
                <w:szCs w:val="24"/>
                <w:highlight w:val="none"/>
                <w:u w:val="single"/>
                <w:lang w:val="en-US" w:eastAsia="zh-CN" w:bidi="ar-SA"/>
              </w:rPr>
              <w:t xml:space="preserve">  80  </w:t>
            </w:r>
            <w:r>
              <w:rPr>
                <w:rFonts w:hint="eastAsia" w:asciiTheme="minorEastAsia" w:hAnsiTheme="minorEastAsia" w:eastAsiaTheme="minorEastAsia" w:cstheme="minorEastAsia"/>
                <w:b/>
                <w:bCs/>
                <w:snapToGrid w:val="0"/>
                <w:kern w:val="0"/>
                <w:sz w:val="24"/>
                <w:szCs w:val="24"/>
                <w:highlight w:val="none"/>
                <w:lang w:val="en-US" w:eastAsia="zh-CN" w:bidi="ar-SA"/>
              </w:rPr>
              <w:t>分。</w:t>
            </w:r>
          </w:p>
        </w:tc>
      </w:tr>
      <w:tr w14:paraId="12372085">
        <w:tblPrEx>
          <w:tblCellMar>
            <w:top w:w="0" w:type="dxa"/>
            <w:left w:w="108" w:type="dxa"/>
            <w:bottom w:w="0" w:type="dxa"/>
            <w:right w:w="108" w:type="dxa"/>
          </w:tblCellMar>
        </w:tblPrEx>
        <w:trPr>
          <w:trHeight w:val="583"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630ABC1">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B1D403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BCE2DC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备注</w:t>
            </w:r>
          </w:p>
        </w:tc>
      </w:tr>
      <w:tr w14:paraId="55F368F5">
        <w:tblPrEx>
          <w:tblCellMar>
            <w:top w:w="0" w:type="dxa"/>
            <w:left w:w="108" w:type="dxa"/>
            <w:bottom w:w="0" w:type="dxa"/>
            <w:right w:w="108" w:type="dxa"/>
          </w:tblCellMar>
        </w:tblPrEx>
        <w:trPr>
          <w:trHeight w:val="833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EF256C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企业奖项</w:t>
            </w:r>
          </w:p>
          <w:p w14:paraId="33FBA06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（10分）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牵头人</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B49BFA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yellow"/>
                <w:lang w:eastAsia="zh-CN"/>
              </w:rPr>
            </w:pPr>
            <w:r>
              <w:rPr>
                <w:rFonts w:hint="eastAsia" w:asciiTheme="minorEastAsia" w:hAnsiTheme="minorEastAsia" w:eastAsiaTheme="minorEastAsia" w:cstheme="minorEastAsia"/>
                <w:snapToGrid w:val="0"/>
                <w:kern w:val="0"/>
                <w:sz w:val="21"/>
                <w:szCs w:val="21"/>
                <w:highlight w:val="yellow"/>
                <w:lang w:eastAsia="zh-CN"/>
              </w:rPr>
              <w:t>企业近</w:t>
            </w:r>
            <w:r>
              <w:rPr>
                <w:rFonts w:hint="eastAsia" w:asciiTheme="minorEastAsia" w:hAnsiTheme="minorEastAsia" w:eastAsiaTheme="minorEastAsia" w:cstheme="minorEastAsia"/>
                <w:snapToGrid w:val="0"/>
                <w:kern w:val="0"/>
                <w:sz w:val="21"/>
                <w:szCs w:val="21"/>
                <w:highlight w:val="yellow"/>
                <w:u w:val="single"/>
                <w:lang w:eastAsia="zh-CN"/>
              </w:rPr>
              <w:t xml:space="preserve"> </w:t>
            </w:r>
            <w:r>
              <w:rPr>
                <w:rFonts w:hint="eastAsia" w:asciiTheme="minorEastAsia" w:hAnsiTheme="minorEastAsia" w:eastAsiaTheme="minorEastAsia" w:cstheme="minorEastAsia"/>
                <w:snapToGrid w:val="0"/>
                <w:kern w:val="0"/>
                <w:sz w:val="21"/>
                <w:szCs w:val="21"/>
                <w:highlight w:val="yellow"/>
                <w:u w:val="single"/>
                <w:lang w:val="en-US" w:eastAsia="zh-CN"/>
              </w:rPr>
              <w:t xml:space="preserve">5 </w:t>
            </w:r>
            <w:r>
              <w:rPr>
                <w:rFonts w:hint="eastAsia" w:asciiTheme="minorEastAsia" w:hAnsiTheme="minorEastAsia" w:eastAsiaTheme="minorEastAsia" w:cstheme="minorEastAsia"/>
                <w:snapToGrid w:val="0"/>
                <w:kern w:val="0"/>
                <w:sz w:val="21"/>
                <w:szCs w:val="21"/>
                <w:highlight w:val="yellow"/>
                <w:lang w:eastAsia="zh-CN"/>
              </w:rPr>
              <w:t>年来（202</w:t>
            </w:r>
            <w:r>
              <w:rPr>
                <w:rFonts w:hint="eastAsia" w:asciiTheme="minorEastAsia" w:hAnsiTheme="minorEastAsia" w:eastAsiaTheme="minorEastAsia" w:cstheme="minorEastAsia"/>
                <w:snapToGrid w:val="0"/>
                <w:kern w:val="0"/>
                <w:sz w:val="21"/>
                <w:szCs w:val="21"/>
                <w:highlight w:val="yellow"/>
                <w:lang w:val="en-US" w:eastAsia="zh-CN"/>
              </w:rPr>
              <w:t>2</w:t>
            </w:r>
            <w:r>
              <w:rPr>
                <w:rFonts w:hint="eastAsia" w:asciiTheme="minorEastAsia" w:hAnsiTheme="minorEastAsia" w:eastAsiaTheme="minorEastAsia" w:cstheme="minorEastAsia"/>
                <w:snapToGrid w:val="0"/>
                <w:kern w:val="0"/>
                <w:sz w:val="21"/>
                <w:szCs w:val="21"/>
                <w:highlight w:val="yellow"/>
                <w:lang w:eastAsia="zh-CN"/>
              </w:rPr>
              <w:t>年1月1日至今）获得工程奖项情况：</w:t>
            </w:r>
          </w:p>
          <w:p w14:paraId="2E03269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1．获得国家级奖项的，每个得</w:t>
            </w:r>
            <w:r>
              <w:rPr>
                <w:rFonts w:hint="eastAsia" w:asciiTheme="minorEastAsia" w:hAnsiTheme="minorEastAsia" w:eastAsiaTheme="minorEastAsia" w:cstheme="minorEastAsia"/>
                <w:snapToGrid w:val="0"/>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kern w:val="0"/>
                <w:sz w:val="21"/>
                <w:szCs w:val="21"/>
                <w:highlight w:val="none"/>
                <w:u w:val="single"/>
                <w:lang w:eastAsia="zh-CN"/>
              </w:rPr>
              <w:t>8</w:t>
            </w:r>
            <w:r>
              <w:rPr>
                <w:rFonts w:hint="eastAsia" w:asciiTheme="minorEastAsia" w:hAnsiTheme="minorEastAsia" w:eastAsiaTheme="minorEastAsia" w:cstheme="minorEastAsia"/>
                <w:snapToGrid w:val="0"/>
                <w:kern w:val="0"/>
                <w:sz w:val="21"/>
                <w:szCs w:val="21"/>
                <w:highlight w:val="none"/>
                <w:lang w:eastAsia="zh-CN"/>
              </w:rPr>
              <w:t>分。</w:t>
            </w:r>
          </w:p>
          <w:p w14:paraId="49EB717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2．获得省级奖项的，每个得</w:t>
            </w:r>
            <w:r>
              <w:rPr>
                <w:rFonts w:hint="eastAsia" w:asciiTheme="minorEastAsia" w:hAnsiTheme="minorEastAsia" w:eastAsiaTheme="minorEastAsia" w:cstheme="minorEastAsia"/>
                <w:snapToGrid w:val="0"/>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kern w:val="0"/>
                <w:sz w:val="21"/>
                <w:szCs w:val="21"/>
                <w:highlight w:val="none"/>
                <w:u w:val="single"/>
                <w:lang w:eastAsia="zh-CN"/>
              </w:rPr>
              <w:t>4</w:t>
            </w:r>
            <w:r>
              <w:rPr>
                <w:rFonts w:hint="eastAsia" w:asciiTheme="minorEastAsia" w:hAnsiTheme="minorEastAsia" w:eastAsiaTheme="minorEastAsia" w:cstheme="minorEastAsia"/>
                <w:snapToGrid w:val="0"/>
                <w:kern w:val="0"/>
                <w:sz w:val="21"/>
                <w:szCs w:val="21"/>
                <w:highlight w:val="none"/>
                <w:lang w:eastAsia="zh-CN"/>
              </w:rPr>
              <w:t>分。</w:t>
            </w:r>
          </w:p>
          <w:p w14:paraId="2E2D716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3．获得地市级奖项的，每个得</w:t>
            </w:r>
            <w:r>
              <w:rPr>
                <w:rFonts w:hint="eastAsia" w:asciiTheme="minorEastAsia" w:hAnsiTheme="minorEastAsia" w:eastAsiaTheme="minorEastAsia" w:cstheme="minorEastAsia"/>
                <w:snapToGrid w:val="0"/>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kern w:val="0"/>
                <w:sz w:val="21"/>
                <w:szCs w:val="21"/>
                <w:highlight w:val="none"/>
                <w:u w:val="single"/>
                <w:lang w:eastAsia="zh-CN"/>
              </w:rPr>
              <w:t>2</w:t>
            </w:r>
            <w:r>
              <w:rPr>
                <w:rFonts w:hint="eastAsia" w:asciiTheme="minorEastAsia" w:hAnsiTheme="minorEastAsia" w:eastAsiaTheme="minorEastAsia" w:cstheme="minorEastAsia"/>
                <w:snapToGrid w:val="0"/>
                <w:kern w:val="0"/>
                <w:sz w:val="21"/>
                <w:szCs w:val="21"/>
                <w:highlight w:val="none"/>
                <w:lang w:eastAsia="zh-CN"/>
              </w:rPr>
              <w:t>分。</w:t>
            </w:r>
          </w:p>
          <w:p w14:paraId="2DFB4F5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4．以上奖项均未获得的，不予计分。</w:t>
            </w:r>
          </w:p>
          <w:p w14:paraId="0F0E1BC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5．本项最高得10分。</w:t>
            </w:r>
          </w:p>
          <w:p w14:paraId="505CCCE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p>
          <w:p w14:paraId="60A8CFF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E059B3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1．允许投标人提交多个业绩，但同一业绩只按最高级别奖项计分一次。</w:t>
            </w:r>
          </w:p>
          <w:p w14:paraId="3F08282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2．需附有关奖项证明复印件（或打印件或扫描件)，</w:t>
            </w:r>
            <w:r>
              <w:rPr>
                <w:rFonts w:hint="eastAsia" w:asciiTheme="minorEastAsia" w:hAnsiTheme="minorEastAsia" w:eastAsiaTheme="minorEastAsia" w:cstheme="minorEastAsia"/>
                <w:b/>
                <w:bCs/>
                <w:snapToGrid w:val="0"/>
                <w:kern w:val="0"/>
                <w:sz w:val="21"/>
                <w:szCs w:val="21"/>
                <w:highlight w:val="none"/>
                <w:lang w:eastAsia="zh-CN"/>
              </w:rPr>
              <w:t>同时提供原件供核对。（奖项如电子证书的除外）</w:t>
            </w:r>
          </w:p>
          <w:p w14:paraId="2EAA468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3．颁发机构限定以下范围：</w:t>
            </w:r>
          </w:p>
          <w:p w14:paraId="43D12DA6">
            <w:pPr>
              <w:widowControl/>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①国家级奖项：</w:t>
            </w:r>
            <w:r>
              <w:rPr>
                <w:rFonts w:hint="eastAsia" w:asciiTheme="minorEastAsia" w:hAnsiTheme="minorEastAsia" w:eastAsiaTheme="minorEastAsia" w:cstheme="minorEastAsia"/>
                <w:kern w:val="2"/>
                <w:sz w:val="21"/>
                <w:szCs w:val="21"/>
                <w:highlight w:val="none"/>
                <w:u w:val="single"/>
                <w:lang w:val="en-US" w:eastAsia="zh-CN" w:bidi="ar-SA"/>
              </w:rPr>
              <w:t xml:space="preserve"> 国务院、住建部、国家级相关行业协会；</w:t>
            </w:r>
            <w:r>
              <w:rPr>
                <w:rFonts w:hint="eastAsia" w:asciiTheme="minorEastAsia" w:hAnsiTheme="minorEastAsia" w:eastAsiaTheme="minorEastAsia" w:cstheme="minorEastAsia"/>
                <w:b/>
                <w:bCs/>
                <w:kern w:val="2"/>
                <w:sz w:val="21"/>
                <w:szCs w:val="21"/>
                <w:highlight w:val="none"/>
                <w:lang w:val="en-US" w:eastAsia="zh-CN" w:bidi="ar-SA"/>
              </w:rPr>
              <w:t>（相关协会需经民政部门备案）</w:t>
            </w:r>
          </w:p>
          <w:p w14:paraId="70BC1370">
            <w:pPr>
              <w:widowControl/>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②省级奖项：</w:t>
            </w:r>
            <w:r>
              <w:rPr>
                <w:rFonts w:hint="eastAsia" w:asciiTheme="minorEastAsia" w:hAnsiTheme="minorEastAsia" w:eastAsiaTheme="minorEastAsia" w:cstheme="minorEastAsia"/>
                <w:kern w:val="2"/>
                <w:sz w:val="21"/>
                <w:szCs w:val="21"/>
                <w:highlight w:val="none"/>
                <w:u w:val="single"/>
                <w:lang w:val="en-US" w:eastAsia="zh-CN" w:bidi="ar-SA"/>
              </w:rPr>
              <w:t>省级人民政府、省级住建部门、省级相关行业协会；</w:t>
            </w:r>
            <w:r>
              <w:rPr>
                <w:rFonts w:hint="eastAsia" w:asciiTheme="minorEastAsia" w:hAnsiTheme="minorEastAsia" w:eastAsiaTheme="minorEastAsia" w:cstheme="minorEastAsia"/>
                <w:b/>
                <w:bCs/>
                <w:kern w:val="2"/>
                <w:sz w:val="21"/>
                <w:szCs w:val="21"/>
                <w:highlight w:val="none"/>
                <w:lang w:val="en-US" w:eastAsia="zh-CN" w:bidi="ar-SA"/>
              </w:rPr>
              <w:t>（相关协会需经民政部门备案）</w:t>
            </w:r>
          </w:p>
          <w:p w14:paraId="663AB83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③地市级奖项：</w:t>
            </w:r>
            <w:r>
              <w:rPr>
                <w:rFonts w:hint="eastAsia" w:asciiTheme="minorEastAsia" w:hAnsiTheme="minorEastAsia" w:eastAsiaTheme="minorEastAsia" w:cstheme="minorEastAsia"/>
                <w:snapToGrid/>
                <w:kern w:val="0"/>
                <w:sz w:val="21"/>
                <w:szCs w:val="21"/>
                <w:highlight w:val="none"/>
                <w:u w:val="single"/>
                <w:lang w:eastAsia="zh-CN"/>
              </w:rPr>
              <w:t xml:space="preserve"> 地市级人民政府、地市级住建部门、</w:t>
            </w:r>
            <w:r>
              <w:rPr>
                <w:rFonts w:hint="eastAsia" w:asciiTheme="minorEastAsia" w:hAnsiTheme="minorEastAsia" w:eastAsiaTheme="minorEastAsia" w:cstheme="minorEastAsia"/>
                <w:snapToGrid/>
                <w:kern w:val="0"/>
                <w:sz w:val="21"/>
                <w:szCs w:val="21"/>
                <w:highlight w:val="none"/>
                <w:u w:val="single"/>
                <w:lang w:val="en-US" w:eastAsia="zh-CN"/>
              </w:rPr>
              <w:t>地</w:t>
            </w:r>
            <w:r>
              <w:rPr>
                <w:rFonts w:hint="eastAsia" w:asciiTheme="minorEastAsia" w:hAnsiTheme="minorEastAsia" w:eastAsiaTheme="minorEastAsia" w:cstheme="minorEastAsia"/>
                <w:snapToGrid/>
                <w:kern w:val="0"/>
                <w:sz w:val="21"/>
                <w:szCs w:val="21"/>
                <w:highlight w:val="none"/>
                <w:u w:val="single"/>
                <w:lang w:eastAsia="zh-CN"/>
              </w:rPr>
              <w:t>市级相关行业协会。</w:t>
            </w:r>
            <w:r>
              <w:rPr>
                <w:rFonts w:hint="eastAsia" w:asciiTheme="minorEastAsia" w:hAnsiTheme="minorEastAsia" w:eastAsiaTheme="minorEastAsia" w:cstheme="minorEastAsia"/>
                <w:b/>
                <w:bCs/>
                <w:snapToGrid/>
                <w:kern w:val="0"/>
                <w:sz w:val="21"/>
                <w:szCs w:val="21"/>
                <w:highlight w:val="none"/>
                <w:lang w:eastAsia="zh-CN"/>
              </w:rPr>
              <w:t>（相关协会需经民政部门备案）</w:t>
            </w:r>
          </w:p>
          <w:p w14:paraId="5D3D200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4．获奖时间以奖项证明的落款日期为准。</w:t>
            </w:r>
          </w:p>
          <w:p w14:paraId="4BD10FB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5．任一奖项有以下情形之一的，该奖项视为无效，不予计分：</w:t>
            </w:r>
          </w:p>
          <w:p w14:paraId="486D222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①未提供奖项原件的；</w:t>
            </w:r>
          </w:p>
          <w:p w14:paraId="1D9680F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②奖项不属于指定类别的；</w:t>
            </w:r>
          </w:p>
          <w:p w14:paraId="5EE1EF0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③颁发机构不符合要求的；</w:t>
            </w:r>
          </w:p>
          <w:p w14:paraId="0635438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④获奖时间不符合要求的。</w:t>
            </w:r>
          </w:p>
          <w:p w14:paraId="6DA6BD7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6</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组成联合体时，由牵头人提供以上资料。</w:t>
            </w:r>
          </w:p>
          <w:p w14:paraId="1D9DF25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说明：以上所称“要求”均指本表评分标准及备注的要求，下同。</w:t>
            </w:r>
          </w:p>
        </w:tc>
      </w:tr>
      <w:tr w14:paraId="2069B978">
        <w:tblPrEx>
          <w:tblCellMar>
            <w:top w:w="0" w:type="dxa"/>
            <w:left w:w="108" w:type="dxa"/>
            <w:bottom w:w="0" w:type="dxa"/>
            <w:right w:w="108" w:type="dxa"/>
          </w:tblCellMar>
        </w:tblPrEx>
        <w:trPr>
          <w:trHeight w:val="390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B5584B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项目经理</w:t>
            </w:r>
          </w:p>
          <w:p w14:paraId="78E84D5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综合素质</w:t>
            </w:r>
          </w:p>
          <w:p w14:paraId="6624E74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（10分）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牵头人</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22A20E2">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bidi="ar"/>
              </w:rPr>
              <w:t xml:space="preserve">项目经理工程类技术职称情况： </w:t>
            </w:r>
          </w:p>
          <w:p w14:paraId="6B79ECA3">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w:t>
            </w:r>
            <w:r>
              <w:rPr>
                <w:rFonts w:hint="eastAsia" w:asciiTheme="minorEastAsia" w:hAnsiTheme="minorEastAsia" w:eastAsiaTheme="minorEastAsia" w:cstheme="minorEastAsia"/>
                <w:snapToGrid/>
                <w:kern w:val="0"/>
                <w:sz w:val="21"/>
                <w:szCs w:val="21"/>
                <w:highlight w:val="none"/>
                <w:lang w:eastAsia="zh-CN" w:bidi="ar"/>
              </w:rPr>
              <w:t>具备工程师或以上职称的，得</w:t>
            </w:r>
            <w:r>
              <w:rPr>
                <w:rFonts w:hint="eastAsia" w:asciiTheme="minorEastAsia" w:hAnsiTheme="minorEastAsia" w:eastAsiaTheme="minorEastAsia" w:cstheme="minorEastAsia"/>
                <w:snapToGrid/>
                <w:kern w:val="0"/>
                <w:sz w:val="21"/>
                <w:szCs w:val="21"/>
                <w:highlight w:val="none"/>
                <w:lang w:val="en-US" w:eastAsia="zh-CN" w:bidi="ar"/>
              </w:rPr>
              <w:t xml:space="preserve"> </w:t>
            </w:r>
            <w:r>
              <w:rPr>
                <w:rFonts w:hint="eastAsia" w:asciiTheme="minorEastAsia" w:hAnsiTheme="minorEastAsia" w:eastAsiaTheme="minorEastAsia" w:cstheme="minorEastAsia"/>
                <w:snapToGrid/>
                <w:kern w:val="0"/>
                <w:sz w:val="21"/>
                <w:szCs w:val="21"/>
                <w:highlight w:val="none"/>
                <w:u w:val="single"/>
                <w:lang w:val="en-US" w:eastAsia="zh-CN" w:bidi="ar"/>
              </w:rPr>
              <w:t>1</w:t>
            </w:r>
            <w:r>
              <w:rPr>
                <w:rFonts w:hint="eastAsia" w:asciiTheme="minorEastAsia" w:hAnsiTheme="minorEastAsia" w:eastAsiaTheme="minorEastAsia" w:cstheme="minorEastAsia"/>
                <w:snapToGrid/>
                <w:kern w:val="0"/>
                <w:sz w:val="21"/>
                <w:szCs w:val="21"/>
                <w:highlight w:val="none"/>
                <w:u w:val="single"/>
                <w:lang w:eastAsia="zh-CN" w:bidi="ar"/>
              </w:rPr>
              <w:t xml:space="preserve">0 </w:t>
            </w:r>
            <w:r>
              <w:rPr>
                <w:rFonts w:hint="eastAsia" w:asciiTheme="minorEastAsia" w:hAnsiTheme="minorEastAsia" w:eastAsiaTheme="minorEastAsia" w:cstheme="minorEastAsia"/>
                <w:snapToGrid/>
                <w:kern w:val="0"/>
                <w:sz w:val="21"/>
                <w:szCs w:val="21"/>
                <w:highlight w:val="none"/>
                <w:lang w:eastAsia="zh-CN" w:bidi="ar"/>
              </w:rPr>
              <w:t xml:space="preserve">分。 </w:t>
            </w:r>
          </w:p>
          <w:p w14:paraId="3803FA96">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bidi="ar"/>
              </w:rPr>
              <w:t>2</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kern w:val="0"/>
                <w:sz w:val="21"/>
                <w:szCs w:val="21"/>
                <w:highlight w:val="none"/>
                <w:lang w:eastAsia="zh-CN" w:bidi="ar"/>
              </w:rPr>
              <w:t>具备助理工程师职称的，得</w:t>
            </w:r>
            <w:r>
              <w:rPr>
                <w:rFonts w:hint="eastAsia" w:asciiTheme="minorEastAsia" w:hAnsiTheme="minorEastAsia" w:eastAsiaTheme="minorEastAsia" w:cstheme="minorEastAsia"/>
                <w:snapToGrid/>
                <w:kern w:val="0"/>
                <w:sz w:val="21"/>
                <w:szCs w:val="21"/>
                <w:highlight w:val="none"/>
                <w:u w:val="single"/>
                <w:lang w:eastAsia="zh-CN" w:bidi="ar"/>
              </w:rPr>
              <w:t xml:space="preserve"> 5 </w:t>
            </w:r>
            <w:r>
              <w:rPr>
                <w:rFonts w:hint="eastAsia" w:asciiTheme="minorEastAsia" w:hAnsiTheme="minorEastAsia" w:eastAsiaTheme="minorEastAsia" w:cstheme="minorEastAsia"/>
                <w:snapToGrid/>
                <w:kern w:val="0"/>
                <w:sz w:val="21"/>
                <w:szCs w:val="21"/>
                <w:highlight w:val="none"/>
                <w:lang w:eastAsia="zh-CN" w:bidi="ar"/>
              </w:rPr>
              <w:t xml:space="preserve">分。 </w:t>
            </w:r>
          </w:p>
          <w:p w14:paraId="1B5D4934">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kern w:val="0"/>
                <w:sz w:val="21"/>
                <w:szCs w:val="21"/>
                <w:highlight w:val="none"/>
                <w:lang w:eastAsia="zh-CN" w:bidi="ar"/>
              </w:rPr>
            </w:pPr>
            <w:r>
              <w:rPr>
                <w:rFonts w:hint="eastAsia" w:asciiTheme="minorEastAsia" w:hAnsiTheme="minorEastAsia" w:eastAsiaTheme="minorEastAsia" w:cstheme="minorEastAsia"/>
                <w:snapToGrid/>
                <w:kern w:val="0"/>
                <w:sz w:val="21"/>
                <w:szCs w:val="21"/>
                <w:highlight w:val="none"/>
                <w:lang w:eastAsia="zh-CN" w:bidi="ar"/>
              </w:rPr>
              <w:t>3</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kern w:val="0"/>
                <w:sz w:val="21"/>
                <w:szCs w:val="21"/>
                <w:highlight w:val="none"/>
                <w:lang w:eastAsia="zh-CN" w:bidi="ar"/>
              </w:rPr>
              <w:t>不具备以上职称的，或未提供职称证原件的，不予计分。</w:t>
            </w:r>
          </w:p>
          <w:p w14:paraId="14E75CB3">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b/>
                <w:bCs/>
                <w:snapToGrid/>
                <w:kern w:val="0"/>
                <w:sz w:val="21"/>
                <w:szCs w:val="21"/>
                <w:highlight w:val="none"/>
                <w:lang w:eastAsia="zh-CN" w:bidi="ar"/>
              </w:rPr>
              <w:t>4</w:t>
            </w:r>
            <w:r>
              <w:rPr>
                <w:rFonts w:hint="eastAsia" w:asciiTheme="minorEastAsia" w:hAnsiTheme="minorEastAsia" w:eastAsiaTheme="minorEastAsia" w:cstheme="minorEastAsia"/>
                <w:b/>
                <w:bCs/>
                <w:snapToGrid w:val="0"/>
                <w:kern w:val="0"/>
                <w:sz w:val="21"/>
                <w:szCs w:val="21"/>
                <w:highlight w:val="none"/>
                <w:lang w:eastAsia="zh-CN"/>
              </w:rPr>
              <w:t>．本项最高得10分。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B39FCF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1</w:t>
            </w:r>
            <w:r>
              <w:rPr>
                <w:rFonts w:hint="eastAsia" w:asciiTheme="minorEastAsia" w:hAnsiTheme="minorEastAsia" w:eastAsiaTheme="minorEastAsia" w:cstheme="minorEastAsia"/>
                <w:snapToGrid w:val="0"/>
                <w:kern w:val="0"/>
                <w:sz w:val="21"/>
                <w:szCs w:val="21"/>
                <w:highlight w:val="none"/>
                <w:lang w:eastAsia="zh-CN"/>
              </w:rPr>
              <w:t>．需附职称证复印件或打印件或扫描件，</w:t>
            </w:r>
            <w:r>
              <w:rPr>
                <w:rFonts w:hint="eastAsia" w:asciiTheme="minorEastAsia" w:hAnsiTheme="minorEastAsia" w:eastAsiaTheme="minorEastAsia" w:cstheme="minorEastAsia"/>
                <w:b/>
                <w:bCs/>
                <w:snapToGrid w:val="0"/>
                <w:kern w:val="0"/>
                <w:sz w:val="21"/>
                <w:szCs w:val="21"/>
                <w:highlight w:val="none"/>
                <w:lang w:eastAsia="zh-CN"/>
              </w:rPr>
              <w:t>同时提供原件供核对</w:t>
            </w:r>
            <w:r>
              <w:rPr>
                <w:rFonts w:hint="eastAsia" w:asciiTheme="minorEastAsia" w:hAnsiTheme="minorEastAsia" w:eastAsiaTheme="minorEastAsia" w:cstheme="minorEastAsia"/>
                <w:b/>
                <w:bCs/>
                <w:snapToGrid/>
                <w:kern w:val="2"/>
                <w:sz w:val="21"/>
                <w:szCs w:val="21"/>
                <w:highlight w:val="none"/>
                <w:lang w:eastAsia="zh-CN"/>
              </w:rPr>
              <w:t>（职称证为电子证书打印件的除外）</w:t>
            </w:r>
            <w:r>
              <w:rPr>
                <w:rFonts w:hint="eastAsia" w:asciiTheme="minorEastAsia" w:hAnsiTheme="minorEastAsia" w:eastAsiaTheme="minorEastAsia" w:cstheme="minorEastAsia"/>
                <w:b/>
                <w:bCs/>
                <w:snapToGrid w:val="0"/>
                <w:kern w:val="0"/>
                <w:sz w:val="21"/>
                <w:szCs w:val="21"/>
                <w:highlight w:val="none"/>
                <w:lang w:eastAsia="zh-CN"/>
              </w:rPr>
              <w:t>。</w:t>
            </w:r>
          </w:p>
          <w:p w14:paraId="28AA5FE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2</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组成联合体时，由牵头人提供以上资料。</w:t>
            </w:r>
          </w:p>
        </w:tc>
      </w:tr>
      <w:tr w14:paraId="4D3FFDC1">
        <w:tblPrEx>
          <w:tblCellMar>
            <w:top w:w="0" w:type="dxa"/>
            <w:left w:w="108" w:type="dxa"/>
            <w:bottom w:w="0" w:type="dxa"/>
            <w:right w:w="108" w:type="dxa"/>
          </w:tblCellMar>
        </w:tblPrEx>
        <w:trPr>
          <w:trHeight w:val="526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34BA38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企业业绩</w:t>
            </w:r>
          </w:p>
          <w:p w14:paraId="1610E0F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（1</w:t>
            </w:r>
            <w:r>
              <w:rPr>
                <w:rFonts w:hint="eastAsia" w:asciiTheme="minorEastAsia" w:hAnsiTheme="minorEastAsia" w:eastAsiaTheme="minorEastAsia" w:cstheme="minorEastAsia"/>
                <w:b/>
                <w:bCs/>
                <w:snapToGrid w:val="0"/>
                <w:kern w:val="0"/>
                <w:sz w:val="21"/>
                <w:szCs w:val="21"/>
                <w:highlight w:val="none"/>
                <w:lang w:val="en-US" w:eastAsia="zh-CN"/>
              </w:rPr>
              <w:t>0</w:t>
            </w:r>
            <w:r>
              <w:rPr>
                <w:rFonts w:hint="eastAsia" w:asciiTheme="minorEastAsia" w:hAnsiTheme="minorEastAsia" w:eastAsiaTheme="minorEastAsia" w:cstheme="minorEastAsia"/>
                <w:b/>
                <w:bCs/>
                <w:snapToGrid w:val="0"/>
                <w:kern w:val="0"/>
                <w:sz w:val="21"/>
                <w:szCs w:val="21"/>
                <w:highlight w:val="none"/>
                <w:lang w:eastAsia="zh-CN"/>
              </w:rPr>
              <w:t>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任意一方</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60B6B6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企业近</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u w:val="single"/>
                <w:lang w:val="en-US" w:eastAsia="zh-CN"/>
              </w:rPr>
              <w:t>5</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lang w:eastAsia="zh-CN"/>
              </w:rPr>
              <w:t>年来（202</w:t>
            </w:r>
            <w:r>
              <w:rPr>
                <w:rFonts w:hint="eastAsia" w:asciiTheme="minorEastAsia" w:hAnsiTheme="minorEastAsia" w:eastAsiaTheme="minorEastAsia" w:cstheme="minorEastAsia"/>
                <w:snapToGrid w:val="0"/>
                <w:kern w:val="0"/>
                <w:sz w:val="21"/>
                <w:szCs w:val="21"/>
                <w:highlight w:val="none"/>
                <w:lang w:val="en-US" w:eastAsia="zh-CN"/>
              </w:rPr>
              <w:t>1</w:t>
            </w:r>
            <w:r>
              <w:rPr>
                <w:rFonts w:hint="eastAsia" w:asciiTheme="minorEastAsia" w:hAnsiTheme="minorEastAsia" w:eastAsiaTheme="minorEastAsia" w:cstheme="minorEastAsia"/>
                <w:snapToGrid w:val="0"/>
                <w:kern w:val="0"/>
                <w:sz w:val="21"/>
                <w:szCs w:val="21"/>
                <w:highlight w:val="none"/>
                <w:lang w:eastAsia="zh-CN"/>
              </w:rPr>
              <w:t>年1月1日至今）业绩情况：</w:t>
            </w:r>
          </w:p>
          <w:p w14:paraId="7D7304D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w:t>
            </w:r>
            <w:r>
              <w:rPr>
                <w:rFonts w:hint="eastAsia" w:asciiTheme="minorEastAsia" w:hAnsiTheme="minorEastAsia" w:eastAsiaTheme="minorEastAsia" w:cstheme="minorEastAsia"/>
                <w:snapToGrid w:val="0"/>
                <w:kern w:val="0"/>
                <w:sz w:val="21"/>
                <w:szCs w:val="21"/>
                <w:highlight w:val="none"/>
                <w:u w:val="single"/>
                <w:lang w:eastAsia="zh-CN"/>
              </w:rPr>
              <w:t xml:space="preserve">承接 </w:t>
            </w:r>
            <w:r>
              <w:rPr>
                <w:rFonts w:hint="eastAsia" w:asciiTheme="minorEastAsia" w:hAnsiTheme="minorEastAsia" w:eastAsiaTheme="minorEastAsia" w:cstheme="minorEastAsia"/>
                <w:snapToGrid w:val="0"/>
                <w:kern w:val="0"/>
                <w:sz w:val="21"/>
                <w:szCs w:val="21"/>
                <w:highlight w:val="none"/>
                <w:lang w:eastAsia="zh-CN"/>
              </w:rPr>
              <w:t>过类似工程的，每个得</w:t>
            </w:r>
            <w:r>
              <w:rPr>
                <w:rFonts w:hint="eastAsia" w:asciiTheme="minorEastAsia" w:hAnsiTheme="minorEastAsia" w:eastAsiaTheme="minorEastAsia" w:cstheme="minorEastAsia"/>
                <w:snapToGrid w:val="0"/>
                <w:kern w:val="0"/>
                <w:sz w:val="21"/>
                <w:szCs w:val="21"/>
                <w:highlight w:val="none"/>
                <w:u w:val="single"/>
                <w:lang w:eastAsia="zh-CN"/>
              </w:rPr>
              <w:t xml:space="preserve"> 5 </w:t>
            </w:r>
            <w:r>
              <w:rPr>
                <w:rFonts w:hint="eastAsia" w:asciiTheme="minorEastAsia" w:hAnsiTheme="minorEastAsia" w:eastAsiaTheme="minorEastAsia" w:cstheme="minorEastAsia"/>
                <w:snapToGrid w:val="0"/>
                <w:kern w:val="0"/>
                <w:sz w:val="21"/>
                <w:szCs w:val="21"/>
                <w:highlight w:val="none"/>
                <w:lang w:eastAsia="zh-CN"/>
              </w:rPr>
              <w:t>分。</w:t>
            </w:r>
          </w:p>
          <w:p w14:paraId="47048D8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2．未</w:t>
            </w:r>
            <w:r>
              <w:rPr>
                <w:rFonts w:hint="eastAsia" w:asciiTheme="minorEastAsia" w:hAnsiTheme="minorEastAsia" w:eastAsiaTheme="minorEastAsia" w:cstheme="minorEastAsia"/>
                <w:snapToGrid w:val="0"/>
                <w:kern w:val="0"/>
                <w:sz w:val="21"/>
                <w:szCs w:val="21"/>
                <w:highlight w:val="none"/>
                <w:u w:val="single"/>
                <w:lang w:eastAsia="zh-CN"/>
              </w:rPr>
              <w:t xml:space="preserve"> 承接 </w:t>
            </w:r>
            <w:r>
              <w:rPr>
                <w:rFonts w:hint="eastAsia" w:asciiTheme="minorEastAsia" w:hAnsiTheme="minorEastAsia" w:eastAsiaTheme="minorEastAsia" w:cstheme="minorEastAsia"/>
                <w:snapToGrid w:val="0"/>
                <w:kern w:val="0"/>
                <w:sz w:val="21"/>
                <w:szCs w:val="21"/>
                <w:highlight w:val="none"/>
                <w:lang w:eastAsia="zh-CN"/>
              </w:rPr>
              <w:t>过类似工程的，不予计分。</w:t>
            </w:r>
          </w:p>
          <w:p w14:paraId="4575903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3．本项最高得1</w:t>
            </w:r>
            <w:r>
              <w:rPr>
                <w:rFonts w:hint="eastAsia" w:asciiTheme="minorEastAsia" w:hAnsiTheme="minorEastAsia" w:eastAsiaTheme="minorEastAsia" w:cstheme="minorEastAsia"/>
                <w:b/>
                <w:bCs/>
                <w:snapToGrid w:val="0"/>
                <w:kern w:val="0"/>
                <w:sz w:val="21"/>
                <w:szCs w:val="21"/>
                <w:highlight w:val="none"/>
                <w:lang w:val="en-US" w:eastAsia="zh-CN"/>
              </w:rPr>
              <w:t>0</w:t>
            </w:r>
            <w:r>
              <w:rPr>
                <w:rFonts w:hint="eastAsia" w:asciiTheme="minorEastAsia" w:hAnsiTheme="minorEastAsia" w:eastAsiaTheme="minorEastAsia" w:cstheme="minorEastAsia"/>
                <w:b/>
                <w:bCs/>
                <w:snapToGrid w:val="0"/>
                <w:kern w:val="0"/>
                <w:sz w:val="21"/>
                <w:szCs w:val="21"/>
                <w:highlight w:val="none"/>
                <w:lang w:eastAsia="zh-CN"/>
              </w:rPr>
              <w:t xml:space="preserve">分。 </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93702D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u w:val="single"/>
                <w:lang w:eastAsia="zh-CN"/>
              </w:rPr>
            </w:pPr>
            <w:r>
              <w:rPr>
                <w:rFonts w:hint="eastAsia" w:asciiTheme="minorEastAsia" w:hAnsiTheme="minorEastAsia" w:eastAsiaTheme="minorEastAsia" w:cstheme="minorEastAsia"/>
                <w:snapToGrid w:val="0"/>
                <w:kern w:val="0"/>
                <w:sz w:val="21"/>
                <w:szCs w:val="21"/>
                <w:highlight w:val="none"/>
                <w:lang w:eastAsia="zh-CN"/>
              </w:rPr>
              <w:t>1．类似工程指：</w:t>
            </w:r>
            <w:r>
              <w:rPr>
                <w:rFonts w:hint="eastAsia" w:asciiTheme="minorEastAsia" w:hAnsiTheme="minorEastAsia" w:eastAsiaTheme="minorEastAsia" w:cstheme="minorEastAsia"/>
                <w:snapToGrid/>
                <w:kern w:val="2"/>
                <w:sz w:val="21"/>
                <w:szCs w:val="21"/>
                <w:highlight w:val="none"/>
                <w:u w:val="single"/>
                <w:lang w:eastAsia="zh-CN"/>
              </w:rPr>
              <w:t>单项工程总造价≥</w:t>
            </w:r>
            <w:r>
              <w:rPr>
                <w:rFonts w:hint="eastAsia" w:asciiTheme="minorEastAsia" w:hAnsiTheme="minorEastAsia" w:eastAsiaTheme="minorEastAsia" w:cstheme="minorEastAsia"/>
                <w:snapToGrid/>
                <w:kern w:val="2"/>
                <w:sz w:val="21"/>
                <w:szCs w:val="21"/>
                <w:highlight w:val="none"/>
                <w:u w:val="single"/>
                <w:lang w:val="en-US" w:eastAsia="zh-CN"/>
              </w:rPr>
              <w:t>2</w:t>
            </w:r>
            <w:r>
              <w:rPr>
                <w:rFonts w:hint="eastAsia" w:asciiTheme="minorEastAsia" w:hAnsiTheme="minorEastAsia" w:eastAsiaTheme="minorEastAsia" w:cstheme="minorEastAsia"/>
                <w:snapToGrid/>
                <w:kern w:val="2"/>
                <w:sz w:val="21"/>
                <w:szCs w:val="21"/>
                <w:highlight w:val="none"/>
                <w:u w:val="single"/>
                <w:lang w:eastAsia="zh-CN"/>
              </w:rPr>
              <w:t>00万元的</w:t>
            </w:r>
            <w:r>
              <w:rPr>
                <w:rFonts w:hint="eastAsia" w:asciiTheme="minorEastAsia" w:hAnsiTheme="minorEastAsia" w:eastAsiaTheme="minorEastAsia" w:cstheme="minorEastAsia"/>
                <w:snapToGrid/>
                <w:kern w:val="2"/>
                <w:sz w:val="21"/>
                <w:szCs w:val="21"/>
                <w:highlight w:val="none"/>
                <w:u w:val="single"/>
                <w:lang w:val="en-US" w:eastAsia="zh-CN"/>
              </w:rPr>
              <w:t>桥梁</w:t>
            </w:r>
            <w:r>
              <w:rPr>
                <w:rFonts w:hint="eastAsia" w:asciiTheme="minorEastAsia" w:hAnsiTheme="minorEastAsia" w:eastAsiaTheme="minorEastAsia" w:cstheme="minorEastAsia"/>
                <w:snapToGrid/>
                <w:kern w:val="2"/>
                <w:sz w:val="21"/>
                <w:szCs w:val="21"/>
                <w:highlight w:val="none"/>
                <w:u w:val="single"/>
                <w:lang w:eastAsia="zh-CN"/>
              </w:rPr>
              <w:t>工程类</w:t>
            </w:r>
            <w:r>
              <w:rPr>
                <w:rFonts w:hint="eastAsia" w:asciiTheme="minorEastAsia" w:hAnsiTheme="minorEastAsia" w:eastAsiaTheme="minorEastAsia" w:cstheme="minorEastAsia"/>
                <w:snapToGrid/>
                <w:kern w:val="2"/>
                <w:sz w:val="21"/>
                <w:szCs w:val="21"/>
                <w:highlight w:val="none"/>
                <w:u w:val="single"/>
                <w:lang w:val="en-US" w:eastAsia="zh-CN"/>
              </w:rPr>
              <w:t>或桥梁加固、补强类</w:t>
            </w:r>
            <w:r>
              <w:rPr>
                <w:rFonts w:hint="eastAsia" w:asciiTheme="minorEastAsia" w:hAnsiTheme="minorEastAsia" w:eastAsiaTheme="minorEastAsia" w:cstheme="minorEastAsia"/>
                <w:snapToGrid w:val="0"/>
                <w:kern w:val="0"/>
                <w:sz w:val="21"/>
                <w:szCs w:val="21"/>
                <w:highlight w:val="none"/>
                <w:u w:val="single"/>
                <w:lang w:eastAsia="zh-CN"/>
              </w:rPr>
              <w:t>。</w:t>
            </w:r>
          </w:p>
          <w:p w14:paraId="201C0CE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i/>
                <w:i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2．需附有关业绩（仅限于以施工</w:t>
            </w:r>
            <w:r>
              <w:rPr>
                <w:rFonts w:hint="eastAsia" w:asciiTheme="minorEastAsia" w:hAnsiTheme="minorEastAsia" w:eastAsiaTheme="minorEastAsia" w:cstheme="minorEastAsia"/>
                <w:snapToGrid w:val="0"/>
                <w:kern w:val="0"/>
                <w:sz w:val="21"/>
                <w:szCs w:val="21"/>
                <w:highlight w:val="none"/>
                <w:u w:val="single"/>
                <w:lang w:eastAsia="zh-CN"/>
              </w:rPr>
              <w:t xml:space="preserve"> 总承包单位 </w:t>
            </w:r>
            <w:r>
              <w:rPr>
                <w:rFonts w:hint="eastAsia" w:asciiTheme="minorEastAsia" w:hAnsiTheme="minorEastAsia" w:eastAsiaTheme="minorEastAsia" w:cstheme="minorEastAsia"/>
                <w:snapToGrid w:val="0"/>
                <w:kern w:val="0"/>
                <w:sz w:val="21"/>
                <w:szCs w:val="21"/>
                <w:highlight w:val="none"/>
                <w:lang w:eastAsia="zh-CN"/>
              </w:rPr>
              <w:t>身份参建的项目）</w:t>
            </w:r>
            <w:r>
              <w:rPr>
                <w:rFonts w:hint="eastAsia" w:asciiTheme="minorEastAsia" w:hAnsiTheme="minorEastAsia" w:eastAsiaTheme="minorEastAsia" w:cstheme="minorEastAsia"/>
                <w:snapToGrid/>
                <w:kern w:val="0"/>
                <w:sz w:val="21"/>
                <w:szCs w:val="21"/>
                <w:highlight w:val="none"/>
                <w:lang w:eastAsia="zh-CN"/>
              </w:rPr>
              <w:t>合同协议书</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lang w:eastAsia="zh-CN"/>
              </w:rPr>
              <w:t>同时提供原件供核对</w:t>
            </w:r>
            <w:r>
              <w:rPr>
                <w:rFonts w:hint="eastAsia" w:asciiTheme="minorEastAsia" w:hAnsiTheme="minorEastAsia" w:eastAsiaTheme="minorEastAsia" w:cstheme="minorEastAsia"/>
                <w:snapToGrid w:val="0"/>
                <w:kern w:val="0"/>
                <w:sz w:val="21"/>
                <w:szCs w:val="21"/>
                <w:highlight w:val="none"/>
                <w:lang w:eastAsia="zh-CN"/>
              </w:rPr>
              <w:t>。</w:t>
            </w:r>
          </w:p>
          <w:p w14:paraId="10C4804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3．业绩时间以合同协议书日期为准。</w:t>
            </w:r>
          </w:p>
          <w:p w14:paraId="32D04DF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4．任一业绩有以下情形之一的，该业绩视为无效，不予计分：</w:t>
            </w:r>
          </w:p>
          <w:p w14:paraId="50D4EA1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①未提供业绩证明材料原件的；</w:t>
            </w:r>
          </w:p>
          <w:p w14:paraId="50B8ABA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②业绩不属于类似工程的；</w:t>
            </w:r>
          </w:p>
          <w:p w14:paraId="6DD0530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③不是以指定身份参建的；</w:t>
            </w:r>
          </w:p>
          <w:p w14:paraId="652B9B2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④业绩时间不符合要求的。</w:t>
            </w:r>
          </w:p>
          <w:p w14:paraId="5B42CCE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5</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组成联合体时，由牵头人提供以上资料。</w:t>
            </w:r>
          </w:p>
        </w:tc>
      </w:tr>
      <w:tr w14:paraId="0B330CD4">
        <w:tblPrEx>
          <w:tblCellMar>
            <w:top w:w="0" w:type="dxa"/>
            <w:left w:w="108" w:type="dxa"/>
            <w:bottom w:w="0" w:type="dxa"/>
            <w:right w:w="108" w:type="dxa"/>
          </w:tblCellMar>
        </w:tblPrEx>
        <w:trPr>
          <w:trHeight w:val="48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09189F7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企业银行</w:t>
            </w:r>
          </w:p>
          <w:p w14:paraId="46DEFF0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资信评级</w:t>
            </w:r>
          </w:p>
          <w:p w14:paraId="4D764F1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（10分）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牵头人</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7CF822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1．银行资信评级AAA的，得</w:t>
            </w:r>
            <w:r>
              <w:rPr>
                <w:rFonts w:hint="eastAsia" w:asciiTheme="minorEastAsia" w:hAnsiTheme="minorEastAsia" w:eastAsiaTheme="minorEastAsia" w:cstheme="minorEastAsia"/>
                <w:snapToGrid w:val="0"/>
                <w:kern w:val="0"/>
                <w:sz w:val="21"/>
                <w:szCs w:val="21"/>
                <w:highlight w:val="none"/>
                <w:u w:val="single"/>
                <w:lang w:eastAsia="zh-CN"/>
              </w:rPr>
              <w:t xml:space="preserve"> 10</w:t>
            </w:r>
            <w:r>
              <w:rPr>
                <w:rFonts w:hint="eastAsia" w:asciiTheme="minorEastAsia" w:hAnsiTheme="minorEastAsia" w:eastAsiaTheme="minorEastAsia" w:cstheme="minorEastAsia"/>
                <w:snapToGrid w:val="0"/>
                <w:kern w:val="0"/>
                <w:sz w:val="21"/>
                <w:szCs w:val="21"/>
                <w:highlight w:val="none"/>
                <w:lang w:eastAsia="zh-CN"/>
              </w:rPr>
              <w:t>分；</w:t>
            </w:r>
          </w:p>
          <w:p w14:paraId="20FBC11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2．银行资信评级AA（含AA＋、AA－）的，得</w:t>
            </w:r>
            <w:r>
              <w:rPr>
                <w:rFonts w:hint="eastAsia" w:asciiTheme="minorEastAsia" w:hAnsiTheme="minorEastAsia" w:eastAsiaTheme="minorEastAsia" w:cstheme="minorEastAsia"/>
                <w:snapToGrid w:val="0"/>
                <w:kern w:val="0"/>
                <w:sz w:val="21"/>
                <w:szCs w:val="21"/>
                <w:highlight w:val="none"/>
                <w:u w:val="single"/>
                <w:lang w:eastAsia="zh-CN"/>
              </w:rPr>
              <w:t xml:space="preserve"> 5 </w:t>
            </w:r>
            <w:r>
              <w:rPr>
                <w:rFonts w:hint="eastAsia" w:asciiTheme="minorEastAsia" w:hAnsiTheme="minorEastAsia" w:eastAsiaTheme="minorEastAsia" w:cstheme="minorEastAsia"/>
                <w:snapToGrid w:val="0"/>
                <w:kern w:val="0"/>
                <w:sz w:val="21"/>
                <w:szCs w:val="21"/>
                <w:highlight w:val="none"/>
                <w:lang w:eastAsia="zh-CN"/>
              </w:rPr>
              <w:t>分。</w:t>
            </w:r>
          </w:p>
          <w:p w14:paraId="19AA884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3．银行资信评级A（含A＋、A－）的，得</w:t>
            </w:r>
            <w:r>
              <w:rPr>
                <w:rFonts w:hint="eastAsia" w:asciiTheme="minorEastAsia" w:hAnsiTheme="minorEastAsia" w:eastAsiaTheme="minorEastAsia" w:cstheme="minorEastAsia"/>
                <w:snapToGrid w:val="0"/>
                <w:kern w:val="0"/>
                <w:sz w:val="21"/>
                <w:szCs w:val="21"/>
                <w:highlight w:val="none"/>
                <w:u w:val="single"/>
                <w:lang w:eastAsia="zh-CN"/>
              </w:rPr>
              <w:t xml:space="preserve"> 3 </w:t>
            </w:r>
            <w:r>
              <w:rPr>
                <w:rFonts w:hint="eastAsia" w:asciiTheme="minorEastAsia" w:hAnsiTheme="minorEastAsia" w:eastAsiaTheme="minorEastAsia" w:cstheme="minorEastAsia"/>
                <w:snapToGrid w:val="0"/>
                <w:kern w:val="0"/>
                <w:sz w:val="21"/>
                <w:szCs w:val="21"/>
                <w:highlight w:val="none"/>
                <w:lang w:eastAsia="zh-CN"/>
              </w:rPr>
              <w:t>分。</w:t>
            </w:r>
          </w:p>
          <w:p w14:paraId="09244F5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4．未获得过以上评级的，或评级证书无效的，不予计分。</w:t>
            </w:r>
          </w:p>
          <w:p w14:paraId="725C9D9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5．本项最高得10分。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B42978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1．需附在有效期内的资信评级证书（证明）复印件（或打印件或扫描件)，</w:t>
            </w:r>
            <w:r>
              <w:rPr>
                <w:rFonts w:hint="eastAsia" w:asciiTheme="minorEastAsia" w:hAnsiTheme="minorEastAsia" w:eastAsiaTheme="minorEastAsia" w:cstheme="minorEastAsia"/>
                <w:b/>
                <w:bCs/>
                <w:snapToGrid w:val="0"/>
                <w:kern w:val="0"/>
                <w:sz w:val="21"/>
                <w:szCs w:val="21"/>
                <w:highlight w:val="none"/>
                <w:lang w:eastAsia="zh-CN"/>
              </w:rPr>
              <w:t>同时提供原件供核对</w:t>
            </w:r>
            <w:r>
              <w:rPr>
                <w:rFonts w:hint="eastAsia" w:asciiTheme="minorEastAsia" w:hAnsiTheme="minorEastAsia" w:eastAsiaTheme="minorEastAsia" w:cstheme="minorEastAsia"/>
                <w:snapToGrid w:val="0"/>
                <w:kern w:val="0"/>
                <w:sz w:val="21"/>
                <w:szCs w:val="21"/>
                <w:highlight w:val="none"/>
                <w:lang w:eastAsia="zh-CN"/>
              </w:rPr>
              <w:t>。</w:t>
            </w:r>
          </w:p>
          <w:p w14:paraId="78F080C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2．评级证书（证明）须由</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kern w:val="0"/>
                <w:sz w:val="21"/>
                <w:szCs w:val="21"/>
                <w:highlight w:val="none"/>
                <w:u w:val="single"/>
                <w:lang w:eastAsia="zh-CN"/>
              </w:rPr>
              <w:t>企业基本账户开户银行</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lang w:eastAsia="zh-CN"/>
              </w:rPr>
              <w:t>出具。</w:t>
            </w:r>
          </w:p>
          <w:p w14:paraId="27623ED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3．评级证书（证明）有以下情形之一的，视为无效：</w:t>
            </w:r>
          </w:p>
          <w:p w14:paraId="29F6914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①未提供评级证书（证明）原件的；</w:t>
            </w:r>
          </w:p>
          <w:p w14:paraId="685A632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②评级证书（证明）不在有效期内的；</w:t>
            </w:r>
          </w:p>
          <w:p w14:paraId="02913DC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③出具机构不符合要求的。</w:t>
            </w:r>
          </w:p>
          <w:p w14:paraId="2AB55F8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4</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组成联合体时，由牵头人提供以上资料。</w:t>
            </w:r>
          </w:p>
        </w:tc>
      </w:tr>
      <w:tr w14:paraId="008689E8">
        <w:tblPrEx>
          <w:tblCellMar>
            <w:top w:w="0" w:type="dxa"/>
            <w:left w:w="108" w:type="dxa"/>
            <w:bottom w:w="0" w:type="dxa"/>
            <w:right w:w="108" w:type="dxa"/>
          </w:tblCellMar>
        </w:tblPrEx>
        <w:trPr>
          <w:trHeight w:val="346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6058D3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企业管理</w:t>
            </w:r>
          </w:p>
          <w:p w14:paraId="495E413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体系认证</w:t>
            </w:r>
          </w:p>
          <w:p w14:paraId="4A4DA37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（6分）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牵头人</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4E26CF3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1．质量管理体系认证、职业健康安全管理体系认证、环境管理体系认证中，每获得1项认证得</w:t>
            </w:r>
            <w:r>
              <w:rPr>
                <w:rFonts w:hint="eastAsia" w:asciiTheme="minorEastAsia" w:hAnsiTheme="minorEastAsia" w:eastAsiaTheme="minorEastAsia" w:cstheme="minorEastAsia"/>
                <w:snapToGrid w:val="0"/>
                <w:kern w:val="0"/>
                <w:sz w:val="21"/>
                <w:szCs w:val="21"/>
                <w:highlight w:val="none"/>
                <w:u w:val="single"/>
                <w:lang w:eastAsia="zh-CN"/>
              </w:rPr>
              <w:t xml:space="preserve"> 2 </w:t>
            </w:r>
            <w:r>
              <w:rPr>
                <w:rFonts w:hint="eastAsia" w:asciiTheme="minorEastAsia" w:hAnsiTheme="minorEastAsia" w:eastAsiaTheme="minorEastAsia" w:cstheme="minorEastAsia"/>
                <w:snapToGrid w:val="0"/>
                <w:kern w:val="0"/>
                <w:sz w:val="21"/>
                <w:szCs w:val="21"/>
                <w:highlight w:val="none"/>
                <w:lang w:eastAsia="zh-CN"/>
              </w:rPr>
              <w:t>分，最高得</w:t>
            </w:r>
            <w:r>
              <w:rPr>
                <w:rFonts w:hint="eastAsia" w:asciiTheme="minorEastAsia" w:hAnsiTheme="minorEastAsia" w:eastAsiaTheme="minorEastAsia" w:cstheme="minorEastAsia"/>
                <w:snapToGrid w:val="0"/>
                <w:kern w:val="0"/>
                <w:sz w:val="21"/>
                <w:szCs w:val="21"/>
                <w:highlight w:val="none"/>
                <w:u w:val="single"/>
                <w:lang w:eastAsia="zh-CN"/>
              </w:rPr>
              <w:t xml:space="preserve"> 6 </w:t>
            </w:r>
            <w:r>
              <w:rPr>
                <w:rFonts w:hint="eastAsia" w:asciiTheme="minorEastAsia" w:hAnsiTheme="minorEastAsia" w:eastAsiaTheme="minorEastAsia" w:cstheme="minorEastAsia"/>
                <w:snapToGrid w:val="0"/>
                <w:kern w:val="0"/>
                <w:sz w:val="21"/>
                <w:szCs w:val="21"/>
                <w:highlight w:val="none"/>
                <w:lang w:eastAsia="zh-CN"/>
              </w:rPr>
              <w:t>分。</w:t>
            </w:r>
          </w:p>
          <w:p w14:paraId="7C2F401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2．未获得以上认证的，不予计分。</w:t>
            </w:r>
          </w:p>
          <w:p w14:paraId="25D3F1B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3．本项最高得6分。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ACA121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1．需附在有效期内的认证证书复印件（或打印件或扫描件)，</w:t>
            </w:r>
            <w:r>
              <w:rPr>
                <w:rFonts w:hint="eastAsia" w:asciiTheme="minorEastAsia" w:hAnsiTheme="minorEastAsia" w:eastAsiaTheme="minorEastAsia" w:cstheme="minorEastAsia"/>
                <w:b/>
                <w:bCs/>
                <w:snapToGrid w:val="0"/>
                <w:kern w:val="0"/>
                <w:sz w:val="21"/>
                <w:szCs w:val="21"/>
                <w:highlight w:val="none"/>
                <w:lang w:eastAsia="zh-CN"/>
              </w:rPr>
              <w:t>同时提供原件供核对（证书为电子证书的除外）</w:t>
            </w:r>
            <w:r>
              <w:rPr>
                <w:rFonts w:hint="eastAsia" w:asciiTheme="minorEastAsia" w:hAnsiTheme="minorEastAsia" w:eastAsiaTheme="minorEastAsia" w:cstheme="minorEastAsia"/>
                <w:snapToGrid w:val="0"/>
                <w:kern w:val="0"/>
                <w:sz w:val="21"/>
                <w:szCs w:val="21"/>
                <w:highlight w:val="none"/>
                <w:lang w:eastAsia="zh-CN"/>
              </w:rPr>
              <w:t>。</w:t>
            </w:r>
          </w:p>
          <w:p w14:paraId="45BEAA6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2．任一认证证书有以下情形之一的，该认证证书视为无效，不予计分：</w:t>
            </w:r>
          </w:p>
          <w:p w14:paraId="5D27336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①未提供认证证书原件的；</w:t>
            </w:r>
          </w:p>
          <w:p w14:paraId="47282A6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②认证证书不在有效期内的。</w:t>
            </w:r>
          </w:p>
          <w:p w14:paraId="046BB62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组成联合体时，由牵头人提供以上资料。</w:t>
            </w:r>
          </w:p>
        </w:tc>
      </w:tr>
      <w:tr w14:paraId="71EE4CF0">
        <w:tblPrEx>
          <w:tblCellMar>
            <w:top w:w="0" w:type="dxa"/>
            <w:left w:w="108" w:type="dxa"/>
            <w:bottom w:w="0" w:type="dxa"/>
            <w:right w:w="108" w:type="dxa"/>
          </w:tblCellMar>
        </w:tblPrEx>
        <w:trPr>
          <w:trHeight w:val="568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F2EC0D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w:t>
            </w:r>
          </w:p>
          <w:p w14:paraId="5409F26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trike/>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财务状况</w:t>
            </w:r>
          </w:p>
          <w:p w14:paraId="52D19AB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（9分）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牵头人</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AA0BC63">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1．提供不少于</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u w:val="single"/>
                <w:lang w:val="en-US" w:eastAsia="zh-CN"/>
              </w:rPr>
              <w:t>50</w:t>
            </w:r>
            <w:r>
              <w:rPr>
                <w:rFonts w:hint="eastAsia" w:asciiTheme="minorEastAsia" w:hAnsiTheme="minorEastAsia" w:eastAsiaTheme="minorEastAsia" w:cstheme="minorEastAsia"/>
                <w:snapToGrid w:val="0"/>
                <w:kern w:val="0"/>
                <w:sz w:val="21"/>
                <w:szCs w:val="21"/>
                <w:highlight w:val="none"/>
                <w:lang w:eastAsia="zh-CN"/>
              </w:rPr>
              <w:t>万元银行授信证明的，得4分。</w:t>
            </w:r>
          </w:p>
          <w:p w14:paraId="59903DF3">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2．提供投标人基本账户在本项目招标公告发布之日起至投标截止时间期间出现过至少连续3日不少于</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u w:val="single"/>
                <w:lang w:val="en-US" w:eastAsia="zh-CN"/>
              </w:rPr>
              <w:t>50</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lang w:eastAsia="zh-CN"/>
              </w:rPr>
              <w:t>万元存款余额资金流水证明的，得5分。</w:t>
            </w:r>
          </w:p>
          <w:p w14:paraId="38AB0B6B">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b/>
                <w:bCs/>
                <w:snapToGrid/>
                <w:kern w:val="2"/>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3．本项最高得9分。</w:t>
            </w:r>
          </w:p>
          <w:p w14:paraId="5336D171">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kern w:val="2"/>
                <w:sz w:val="21"/>
                <w:szCs w:val="21"/>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5E3211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1．需附在有效期内的有关证明复印件（或打印件或扫描件)，</w:t>
            </w:r>
            <w:r>
              <w:rPr>
                <w:rFonts w:hint="eastAsia" w:asciiTheme="minorEastAsia" w:hAnsiTheme="minorEastAsia" w:eastAsiaTheme="minorEastAsia" w:cstheme="minorEastAsia"/>
                <w:b/>
                <w:bCs/>
                <w:snapToGrid w:val="0"/>
                <w:kern w:val="0"/>
                <w:sz w:val="21"/>
                <w:szCs w:val="21"/>
                <w:highlight w:val="none"/>
                <w:lang w:eastAsia="zh-CN"/>
              </w:rPr>
              <w:t>同时提供原件供核对</w:t>
            </w:r>
            <w:r>
              <w:rPr>
                <w:rFonts w:hint="eastAsia" w:asciiTheme="minorEastAsia" w:hAnsiTheme="minorEastAsia" w:eastAsiaTheme="minorEastAsia" w:cstheme="minorEastAsia"/>
                <w:snapToGrid w:val="0"/>
                <w:kern w:val="0"/>
                <w:sz w:val="21"/>
                <w:szCs w:val="21"/>
                <w:highlight w:val="none"/>
                <w:lang w:eastAsia="zh-CN"/>
              </w:rPr>
              <w:t>。</w:t>
            </w:r>
          </w:p>
          <w:p w14:paraId="4A6E85B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2．银行授信证明有以下情形之一的，视为无效，不予计分：</w:t>
            </w:r>
          </w:p>
          <w:p w14:paraId="46400B7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①未提供授信证明原件的；</w:t>
            </w:r>
          </w:p>
          <w:p w14:paraId="0E5F99F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②授信证明不在有效期内的；</w:t>
            </w:r>
          </w:p>
          <w:p w14:paraId="58EFC1A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③授信额度不符合要求的；</w:t>
            </w:r>
          </w:p>
          <w:p w14:paraId="45B150E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3．存款余额资金流水证明有以下情形之一的，视为无效，不予计分：</w:t>
            </w:r>
          </w:p>
          <w:p w14:paraId="73768CB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①未提供存款证明原件的；</w:t>
            </w:r>
          </w:p>
          <w:p w14:paraId="7291C65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②存款账户不是基本账户的；</w:t>
            </w:r>
          </w:p>
          <w:p w14:paraId="3436D29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③存款时间不符合要求的；</w:t>
            </w:r>
          </w:p>
          <w:p w14:paraId="51BA465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④存款额度不符合要求的。</w:t>
            </w:r>
          </w:p>
          <w:p w14:paraId="470EA77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4</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组成联合体时，由牵头人提供以上资料。</w:t>
            </w:r>
          </w:p>
        </w:tc>
      </w:tr>
      <w:tr w14:paraId="6CB6C465">
        <w:tblPrEx>
          <w:tblCellMar>
            <w:top w:w="0" w:type="dxa"/>
            <w:left w:w="108" w:type="dxa"/>
            <w:bottom w:w="0" w:type="dxa"/>
            <w:right w:w="108" w:type="dxa"/>
          </w:tblCellMar>
        </w:tblPrEx>
        <w:trPr>
          <w:trHeight w:val="1289" w:hRule="atLeast"/>
          <w:jc w:val="center"/>
        </w:trPr>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3D57BDB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招标人</w:t>
            </w:r>
          </w:p>
          <w:p w14:paraId="1DE38E2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自选项</w:t>
            </w:r>
          </w:p>
          <w:p w14:paraId="742822A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（2</w:t>
            </w:r>
            <w:r>
              <w:rPr>
                <w:rFonts w:hint="eastAsia" w:asciiTheme="minorEastAsia" w:hAnsiTheme="minorEastAsia" w:eastAsiaTheme="minorEastAsia" w:cstheme="minorEastAsia"/>
                <w:b/>
                <w:bCs/>
                <w:snapToGrid w:val="0"/>
                <w:kern w:val="0"/>
                <w:sz w:val="21"/>
                <w:szCs w:val="21"/>
                <w:highlight w:val="none"/>
                <w:lang w:val="en-US" w:eastAsia="zh-CN"/>
              </w:rPr>
              <w:t>5</w:t>
            </w:r>
            <w:r>
              <w:rPr>
                <w:rFonts w:hint="eastAsia" w:asciiTheme="minorEastAsia" w:hAnsiTheme="minorEastAsia" w:eastAsiaTheme="minorEastAsia" w:cstheme="minorEastAsia"/>
                <w:b/>
                <w:bCs/>
                <w:snapToGrid w:val="0"/>
                <w:kern w:val="0"/>
                <w:sz w:val="21"/>
                <w:szCs w:val="21"/>
                <w:highlight w:val="none"/>
                <w:lang w:eastAsia="zh-CN"/>
              </w:rPr>
              <w:t>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牵头人</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D95BC17">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eastAsia="zh-CN"/>
              </w:rPr>
            </w:pPr>
            <w:r>
              <w:rPr>
                <w:rFonts w:hint="eastAsia" w:asciiTheme="minorEastAsia" w:hAnsiTheme="minorEastAsia" w:eastAsiaTheme="minorEastAsia" w:cstheme="minorEastAsia"/>
                <w:snapToGrid w:val="0"/>
                <w:color w:val="000000"/>
                <w:kern w:val="0"/>
                <w:sz w:val="21"/>
                <w:szCs w:val="21"/>
                <w:highlight w:val="none"/>
                <w:lang w:eastAsia="zh-CN"/>
              </w:rPr>
              <w:t xml:space="preserve">1．企业近 </w:t>
            </w:r>
            <w:r>
              <w:rPr>
                <w:rFonts w:hint="eastAsia" w:asciiTheme="minorEastAsia" w:hAnsiTheme="minorEastAsia" w:eastAsiaTheme="minorEastAsia" w:cstheme="minorEastAsia"/>
                <w:snapToGrid w:val="0"/>
                <w:color w:val="000000"/>
                <w:kern w:val="0"/>
                <w:sz w:val="21"/>
                <w:szCs w:val="21"/>
                <w:highlight w:val="none"/>
                <w:lang w:val="en-US" w:eastAsia="zh-CN"/>
              </w:rPr>
              <w:t>5</w:t>
            </w:r>
            <w:r>
              <w:rPr>
                <w:rFonts w:hint="eastAsia" w:asciiTheme="minorEastAsia" w:hAnsiTheme="minorEastAsia" w:eastAsiaTheme="minorEastAsia" w:cstheme="minorEastAsia"/>
                <w:snapToGrid w:val="0"/>
                <w:color w:val="000000"/>
                <w:kern w:val="0"/>
                <w:sz w:val="21"/>
                <w:szCs w:val="21"/>
                <w:highlight w:val="none"/>
                <w:lang w:eastAsia="zh-CN"/>
              </w:rPr>
              <w:t>年（202</w:t>
            </w:r>
            <w:r>
              <w:rPr>
                <w:rFonts w:hint="eastAsia" w:asciiTheme="minorEastAsia" w:hAnsiTheme="minorEastAsia" w:eastAsiaTheme="minorEastAsia" w:cstheme="minorEastAsia"/>
                <w:snapToGrid w:val="0"/>
                <w:color w:val="000000"/>
                <w:kern w:val="0"/>
                <w:sz w:val="21"/>
                <w:szCs w:val="21"/>
                <w:highlight w:val="none"/>
                <w:lang w:val="en-US" w:eastAsia="zh-CN"/>
              </w:rPr>
              <w:t>1</w:t>
            </w:r>
            <w:r>
              <w:rPr>
                <w:rFonts w:hint="eastAsia" w:asciiTheme="minorEastAsia" w:hAnsiTheme="minorEastAsia" w:eastAsiaTheme="minorEastAsia" w:cstheme="minorEastAsia"/>
                <w:snapToGrid w:val="0"/>
                <w:color w:val="000000"/>
                <w:kern w:val="0"/>
                <w:sz w:val="21"/>
                <w:szCs w:val="21"/>
                <w:highlight w:val="none"/>
                <w:lang w:eastAsia="zh-CN"/>
              </w:rPr>
              <w:t>年</w:t>
            </w:r>
            <w:r>
              <w:rPr>
                <w:rFonts w:hint="eastAsia" w:asciiTheme="minorEastAsia" w:hAnsiTheme="minorEastAsia" w:eastAsiaTheme="minorEastAsia" w:cstheme="minorEastAsia"/>
                <w:snapToGrid w:val="0"/>
                <w:color w:val="000000"/>
                <w:kern w:val="0"/>
                <w:sz w:val="21"/>
                <w:szCs w:val="21"/>
                <w:highlight w:val="none"/>
                <w:lang w:val="en-US" w:eastAsia="zh-CN"/>
              </w:rPr>
              <w:t>1月1日</w:t>
            </w:r>
            <w:r>
              <w:rPr>
                <w:rFonts w:hint="eastAsia" w:asciiTheme="minorEastAsia" w:hAnsiTheme="minorEastAsia" w:eastAsiaTheme="minorEastAsia" w:cstheme="minorEastAsia"/>
                <w:snapToGrid w:val="0"/>
                <w:color w:val="000000"/>
                <w:kern w:val="0"/>
                <w:sz w:val="21"/>
                <w:szCs w:val="21"/>
                <w:highlight w:val="none"/>
                <w:lang w:eastAsia="zh-CN"/>
              </w:rPr>
              <w:t>度至</w:t>
            </w:r>
            <w:r>
              <w:rPr>
                <w:rFonts w:hint="eastAsia" w:asciiTheme="minorEastAsia" w:hAnsiTheme="minorEastAsia" w:eastAsiaTheme="minorEastAsia" w:cstheme="minorEastAsia"/>
                <w:snapToGrid w:val="0"/>
                <w:color w:val="000000"/>
                <w:kern w:val="0"/>
                <w:sz w:val="21"/>
                <w:szCs w:val="21"/>
                <w:highlight w:val="none"/>
                <w:lang w:val="en-US" w:eastAsia="zh-CN"/>
              </w:rPr>
              <w:t>今</w:t>
            </w:r>
            <w:r>
              <w:rPr>
                <w:rFonts w:hint="eastAsia" w:asciiTheme="minorEastAsia" w:hAnsiTheme="minorEastAsia" w:eastAsiaTheme="minorEastAsia" w:cstheme="minorEastAsia"/>
                <w:snapToGrid w:val="0"/>
                <w:color w:val="000000"/>
                <w:kern w:val="0"/>
                <w:sz w:val="21"/>
                <w:szCs w:val="21"/>
                <w:highlight w:val="none"/>
                <w:lang w:eastAsia="zh-CN"/>
              </w:rPr>
              <w:t>）获得过省级或以上市政行业协</w:t>
            </w:r>
          </w:p>
          <w:p w14:paraId="683DAAA3">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eastAsia="zh-CN"/>
              </w:rPr>
            </w:pPr>
            <w:r>
              <w:rPr>
                <w:rFonts w:hint="eastAsia" w:asciiTheme="minorEastAsia" w:hAnsiTheme="minorEastAsia" w:eastAsiaTheme="minorEastAsia" w:cstheme="minorEastAsia"/>
                <w:snapToGrid w:val="0"/>
                <w:color w:val="000000"/>
                <w:kern w:val="0"/>
                <w:sz w:val="21"/>
                <w:szCs w:val="21"/>
                <w:highlight w:val="none"/>
                <w:lang w:eastAsia="zh-CN"/>
              </w:rPr>
              <w:t>会颁发的市政行业协会先进单位证书</w:t>
            </w:r>
          </w:p>
          <w:p w14:paraId="60EA5634">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eastAsia="zh-CN"/>
              </w:rPr>
            </w:pPr>
            <w:r>
              <w:rPr>
                <w:rFonts w:hint="eastAsia" w:asciiTheme="minorEastAsia" w:hAnsiTheme="minorEastAsia" w:eastAsiaTheme="minorEastAsia" w:cstheme="minorEastAsia"/>
                <w:snapToGrid w:val="0"/>
                <w:color w:val="000000"/>
                <w:kern w:val="0"/>
                <w:sz w:val="21"/>
                <w:szCs w:val="21"/>
                <w:highlight w:val="none"/>
                <w:lang w:eastAsia="zh-CN"/>
              </w:rPr>
              <w:t>的，得5分；</w:t>
            </w:r>
          </w:p>
          <w:p w14:paraId="12FE1F98">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eastAsia="zh-CN"/>
              </w:rPr>
            </w:pPr>
            <w:r>
              <w:rPr>
                <w:rFonts w:hint="eastAsia" w:asciiTheme="minorEastAsia" w:hAnsiTheme="minorEastAsia" w:eastAsiaTheme="minorEastAsia" w:cstheme="minorEastAsia"/>
                <w:snapToGrid w:val="0"/>
                <w:color w:val="000000"/>
                <w:kern w:val="0"/>
                <w:sz w:val="21"/>
                <w:szCs w:val="21"/>
                <w:highlight w:val="none"/>
                <w:lang w:eastAsia="zh-CN"/>
              </w:rPr>
              <w:t>2．其他情形的，不予计分；</w:t>
            </w:r>
          </w:p>
          <w:p w14:paraId="62026E36">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color w:val="000000"/>
                <w:kern w:val="0"/>
                <w:sz w:val="21"/>
                <w:szCs w:val="21"/>
                <w:highlight w:val="none"/>
                <w:lang w:eastAsia="zh-CN"/>
              </w:rPr>
              <w:t>3．本项最高得</w:t>
            </w:r>
            <w:r>
              <w:rPr>
                <w:rFonts w:hint="eastAsia" w:asciiTheme="minorEastAsia" w:hAnsiTheme="minorEastAsia" w:eastAsiaTheme="minorEastAsia" w:cstheme="minorEastAsia"/>
                <w:b/>
                <w:bCs/>
                <w:snapToGrid w:val="0"/>
                <w:color w:val="000000"/>
                <w:kern w:val="0"/>
                <w:sz w:val="21"/>
                <w:szCs w:val="21"/>
                <w:highlight w:val="none"/>
                <w:lang w:val="en-US" w:eastAsia="zh-CN"/>
              </w:rPr>
              <w:t>5</w:t>
            </w:r>
            <w:r>
              <w:rPr>
                <w:rFonts w:hint="eastAsia" w:asciiTheme="minorEastAsia" w:hAnsiTheme="minorEastAsia" w:eastAsiaTheme="minorEastAsia" w:cstheme="minorEastAsia"/>
                <w:b/>
                <w:bCs/>
                <w:snapToGrid w:val="0"/>
                <w:color w:val="000000"/>
                <w:kern w:val="0"/>
                <w:sz w:val="21"/>
                <w:szCs w:val="21"/>
                <w:highlight w:val="none"/>
                <w:lang w:eastAsia="zh-CN"/>
              </w:rPr>
              <w:t>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1AFDC8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1．证书由省级或以上市政行业协会颁发，须提</w:t>
            </w:r>
          </w:p>
          <w:p w14:paraId="3637D59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供有关证书及通知彩色扫描件。</w:t>
            </w:r>
          </w:p>
          <w:p w14:paraId="7FE48EC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2．颁发机构不符合要求的，按第2项标准处</w:t>
            </w:r>
          </w:p>
          <w:p w14:paraId="73BEB9E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理。</w:t>
            </w:r>
          </w:p>
        </w:tc>
      </w:tr>
      <w:tr w14:paraId="27669AAE">
        <w:tblPrEx>
          <w:tblCellMar>
            <w:top w:w="0" w:type="dxa"/>
            <w:left w:w="108" w:type="dxa"/>
            <w:bottom w:w="0" w:type="dxa"/>
            <w:right w:w="108" w:type="dxa"/>
          </w:tblCellMar>
        </w:tblPrEx>
        <w:trPr>
          <w:trHeight w:val="2177" w:hRule="atLeast"/>
          <w:jc w:val="center"/>
        </w:trPr>
        <w:tc>
          <w:tcPr>
            <w:tcW w:w="1216" w:type="dxa"/>
            <w:vMerge w:val="continue"/>
            <w:tcBorders>
              <w:left w:val="single" w:color="auto" w:sz="4" w:space="0"/>
              <w:right w:val="single" w:color="auto" w:sz="4" w:space="0"/>
            </w:tcBorders>
            <w:noWrap w:val="0"/>
            <w:vAlign w:val="center"/>
          </w:tcPr>
          <w:p w14:paraId="1289DFE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b/>
                <w:bCs/>
                <w:snapToGrid/>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F3F85F6">
            <w:pPr>
              <w:keepNext w:val="0"/>
              <w:keepLines w:val="0"/>
              <w:widowControl/>
              <w:suppressLineNumbers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000000"/>
                <w:kern w:val="2"/>
                <w:sz w:val="21"/>
                <w:szCs w:val="21"/>
                <w:highlight w:val="none"/>
                <w:lang w:val="en-US" w:eastAsia="zh-CN" w:bidi="ar-SA"/>
              </w:rPr>
            </w:pPr>
            <w:r>
              <w:rPr>
                <w:rFonts w:hint="eastAsia" w:asciiTheme="minorEastAsia" w:hAnsiTheme="minorEastAsia" w:eastAsiaTheme="minorEastAsia" w:cstheme="minorEastAsia"/>
                <w:snapToGrid/>
                <w:color w:val="000000"/>
                <w:kern w:val="2"/>
                <w:sz w:val="21"/>
                <w:szCs w:val="21"/>
                <w:highlight w:val="none"/>
                <w:lang w:val="en-US" w:eastAsia="zh-CN" w:bidi="ar-SA"/>
              </w:rPr>
              <w:t>1.企业连续8年或8年以上获得纳税信</w:t>
            </w:r>
          </w:p>
          <w:p w14:paraId="6047C064">
            <w:pPr>
              <w:keepNext w:val="0"/>
              <w:keepLines w:val="0"/>
              <w:widowControl/>
              <w:suppressLineNumbers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000000"/>
                <w:kern w:val="2"/>
                <w:sz w:val="21"/>
                <w:szCs w:val="21"/>
                <w:highlight w:val="none"/>
                <w:lang w:val="en-US" w:eastAsia="zh-CN" w:bidi="ar-SA"/>
              </w:rPr>
            </w:pPr>
            <w:r>
              <w:rPr>
                <w:rFonts w:hint="eastAsia" w:asciiTheme="minorEastAsia" w:hAnsiTheme="minorEastAsia" w:eastAsiaTheme="minorEastAsia" w:cstheme="minorEastAsia"/>
                <w:snapToGrid/>
                <w:color w:val="000000"/>
                <w:kern w:val="2"/>
                <w:sz w:val="21"/>
                <w:szCs w:val="21"/>
                <w:highlight w:val="none"/>
                <w:lang w:val="en-US" w:eastAsia="zh-CN" w:bidi="ar-SA"/>
              </w:rPr>
              <w:t>用A级纳税人的，得5分。（其中必须</w:t>
            </w:r>
          </w:p>
          <w:p w14:paraId="7610512D">
            <w:pPr>
              <w:keepNext w:val="0"/>
              <w:keepLines w:val="0"/>
              <w:widowControl/>
              <w:suppressLineNumbers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000000"/>
                <w:kern w:val="2"/>
                <w:sz w:val="21"/>
                <w:szCs w:val="21"/>
                <w:highlight w:val="none"/>
                <w:lang w:val="en-US" w:eastAsia="zh-CN" w:bidi="ar-SA"/>
              </w:rPr>
            </w:pPr>
            <w:r>
              <w:rPr>
                <w:rFonts w:hint="eastAsia" w:asciiTheme="minorEastAsia" w:hAnsiTheme="minorEastAsia" w:eastAsiaTheme="minorEastAsia" w:cstheme="minorEastAsia"/>
                <w:snapToGrid/>
                <w:color w:val="000000"/>
                <w:kern w:val="2"/>
                <w:sz w:val="21"/>
                <w:szCs w:val="21"/>
                <w:highlight w:val="none"/>
                <w:lang w:val="en-US" w:eastAsia="zh-CN" w:bidi="ar-SA"/>
              </w:rPr>
              <w:t>有2024年度）</w:t>
            </w:r>
          </w:p>
          <w:p w14:paraId="2FB6083F">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2．其他情形的，不予计分。</w:t>
            </w:r>
          </w:p>
          <w:p w14:paraId="19FE76C0">
            <w:pPr>
              <w:keepNext w:val="0"/>
              <w:keepLines w:val="0"/>
              <w:widowControl/>
              <w:suppressLineNumbers w:val="0"/>
              <w:kinsoku/>
              <w:autoSpaceDE/>
              <w:autoSpaceDN/>
              <w:adjustRightInd/>
              <w:snapToGrid/>
              <w:spacing w:line="360" w:lineRule="auto"/>
              <w:jc w:val="left"/>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b/>
                <w:bCs/>
                <w:snapToGrid w:val="0"/>
                <w:color w:val="000000"/>
                <w:kern w:val="0"/>
                <w:sz w:val="21"/>
                <w:szCs w:val="21"/>
                <w:highlight w:val="none"/>
                <w:lang w:val="en-US" w:eastAsia="zh-CN"/>
              </w:rPr>
              <w:t>3．本项最高得5分。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29B0BB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1．必须提供企业纳税信用A级纳税人证明材料</w:t>
            </w:r>
          </w:p>
          <w:p w14:paraId="28D0ABF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（或证书）彩色扫描件及国家税务总局（或省级</w:t>
            </w:r>
          </w:p>
          <w:p w14:paraId="1AADCD0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电子税务局）网上查询截图，否则不得分。</w:t>
            </w:r>
          </w:p>
          <w:p w14:paraId="63E7206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2．只计算投标人自身（不计算投标人的分公司、</w:t>
            </w:r>
          </w:p>
          <w:p w14:paraId="4658F64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子公司及分支机构）。</w:t>
            </w:r>
          </w:p>
        </w:tc>
      </w:tr>
      <w:tr w14:paraId="153314B6">
        <w:tblPrEx>
          <w:tblCellMar>
            <w:top w:w="0" w:type="dxa"/>
            <w:left w:w="108" w:type="dxa"/>
            <w:bottom w:w="0" w:type="dxa"/>
            <w:right w:w="108" w:type="dxa"/>
          </w:tblCellMar>
        </w:tblPrEx>
        <w:trPr>
          <w:trHeight w:val="90" w:hRule="atLeast"/>
          <w:jc w:val="center"/>
        </w:trPr>
        <w:tc>
          <w:tcPr>
            <w:tcW w:w="1216" w:type="dxa"/>
            <w:vMerge w:val="continue"/>
            <w:tcBorders>
              <w:left w:val="single" w:color="auto" w:sz="4" w:space="0"/>
              <w:right w:val="single" w:color="auto" w:sz="4" w:space="0"/>
            </w:tcBorders>
            <w:noWrap w:val="0"/>
            <w:vAlign w:val="center"/>
          </w:tcPr>
          <w:p w14:paraId="22DE6E5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b/>
                <w:bCs/>
                <w:snapToGrid/>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743F481">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eastAsia="zh-CN"/>
              </w:rPr>
              <w:t>1.</w:t>
            </w:r>
            <w:r>
              <w:rPr>
                <w:rFonts w:hint="eastAsia" w:asciiTheme="minorEastAsia" w:hAnsiTheme="minorEastAsia" w:eastAsiaTheme="minorEastAsia" w:cstheme="minorEastAsia"/>
                <w:snapToGrid w:val="0"/>
                <w:color w:val="000000"/>
                <w:kern w:val="0"/>
                <w:sz w:val="21"/>
                <w:szCs w:val="21"/>
                <w:highlight w:val="none"/>
                <w:lang w:val="en-US" w:eastAsia="zh-CN"/>
              </w:rPr>
              <w:t>企业近5年来（2021年1月1日至今）</w:t>
            </w:r>
          </w:p>
          <w:p w14:paraId="74059C56">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连续三年以上（含三年）获得过地市</w:t>
            </w:r>
          </w:p>
          <w:p w14:paraId="3256ADC1">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级或以上建筑协会颁发"优秀典型施</w:t>
            </w:r>
          </w:p>
          <w:p w14:paraId="0695110B">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工企业"的，得5分。</w:t>
            </w:r>
          </w:p>
          <w:p w14:paraId="0B874351">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2．其他情形的，不予计分。</w:t>
            </w:r>
          </w:p>
          <w:p w14:paraId="0BAEFAE0">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b/>
                <w:bCs/>
                <w:snapToGrid w:val="0"/>
                <w:color w:val="000000"/>
                <w:kern w:val="0"/>
                <w:sz w:val="21"/>
                <w:szCs w:val="21"/>
                <w:highlight w:val="none"/>
                <w:lang w:val="en-US" w:eastAsia="zh-CN"/>
              </w:rPr>
              <w:t>3．本项最高得5分。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21EC738">
            <w:pPr>
              <w:widowControl w:val="0"/>
              <w:kinsoku/>
              <w:wordWrap w:val="0"/>
              <w:autoSpaceDE/>
              <w:autoSpaceDN/>
              <w:adjustRightInd w:val="0"/>
              <w:snapToGrid w:val="0"/>
              <w:spacing w:after="120" w:line="240" w:lineRule="auto"/>
              <w:jc w:val="both"/>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1．需提供有关证书彩色扫描件。同时提供原件供</w:t>
            </w:r>
          </w:p>
          <w:p w14:paraId="7CAB624A">
            <w:pPr>
              <w:widowControl w:val="0"/>
              <w:kinsoku/>
              <w:wordWrap w:val="0"/>
              <w:autoSpaceDE/>
              <w:autoSpaceDN/>
              <w:adjustRightInd w:val="0"/>
              <w:snapToGrid w:val="0"/>
              <w:spacing w:after="120" w:line="240" w:lineRule="auto"/>
              <w:jc w:val="both"/>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核对（证书为电子证书的除外）。</w:t>
            </w:r>
          </w:p>
          <w:p w14:paraId="35422DB7">
            <w:pPr>
              <w:widowControl w:val="0"/>
              <w:kinsoku/>
              <w:wordWrap w:val="0"/>
              <w:autoSpaceDE/>
              <w:autoSpaceDN/>
              <w:adjustRightInd w:val="0"/>
              <w:snapToGrid w:val="0"/>
              <w:spacing w:after="120" w:line="240" w:lineRule="auto"/>
              <w:jc w:val="both"/>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2．提供建筑行业协会或建设行政主管部门网站</w:t>
            </w:r>
          </w:p>
          <w:p w14:paraId="72DA4418">
            <w:pPr>
              <w:widowControl w:val="0"/>
              <w:kinsoku/>
              <w:wordWrap w:val="0"/>
              <w:autoSpaceDE/>
              <w:autoSpaceDN/>
              <w:adjustRightInd w:val="0"/>
              <w:snapToGrid w:val="0"/>
              <w:spacing w:after="120" w:line="240" w:lineRule="auto"/>
              <w:jc w:val="both"/>
              <w:textAlignment w:val="auto"/>
              <w:rPr>
                <w:rFonts w:hint="eastAsia" w:asciiTheme="minorEastAsia" w:hAnsiTheme="minorEastAsia" w:eastAsiaTheme="minorEastAsia" w:cstheme="minorEastAsia"/>
                <w:b w:val="0"/>
                <w:bCs w:val="0"/>
                <w:snapToGrid/>
                <w:color w:val="000000"/>
                <w:kern w:val="0"/>
                <w:sz w:val="21"/>
                <w:szCs w:val="21"/>
                <w:highlight w:val="none"/>
                <w:lang w:eastAsia="zh-CN" w:bidi="ar"/>
              </w:rPr>
            </w:pPr>
            <w:r>
              <w:rPr>
                <w:rFonts w:hint="eastAsia" w:asciiTheme="minorEastAsia" w:hAnsiTheme="minorEastAsia" w:eastAsiaTheme="minorEastAsia" w:cstheme="minorEastAsia"/>
                <w:snapToGrid w:val="0"/>
                <w:kern w:val="0"/>
                <w:sz w:val="21"/>
                <w:szCs w:val="21"/>
                <w:highlight w:val="none"/>
                <w:lang w:val="en-US" w:eastAsia="zh-CN"/>
              </w:rPr>
              <w:t>截图。</w:t>
            </w:r>
          </w:p>
        </w:tc>
      </w:tr>
      <w:tr w14:paraId="047331B0">
        <w:tblPrEx>
          <w:tblCellMar>
            <w:top w:w="0" w:type="dxa"/>
            <w:left w:w="108" w:type="dxa"/>
            <w:bottom w:w="0" w:type="dxa"/>
            <w:right w:w="108" w:type="dxa"/>
          </w:tblCellMar>
        </w:tblPrEx>
        <w:trPr>
          <w:trHeight w:val="2055" w:hRule="atLeast"/>
          <w:jc w:val="center"/>
        </w:trPr>
        <w:tc>
          <w:tcPr>
            <w:tcW w:w="1216" w:type="dxa"/>
            <w:vMerge w:val="continue"/>
            <w:tcBorders>
              <w:left w:val="single" w:color="auto" w:sz="4" w:space="0"/>
              <w:right w:val="single" w:color="auto" w:sz="4" w:space="0"/>
            </w:tcBorders>
            <w:noWrap w:val="0"/>
            <w:vAlign w:val="center"/>
          </w:tcPr>
          <w:p w14:paraId="417C9A5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b/>
                <w:bCs/>
                <w:snapToGrid/>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B27A71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1．企业近5年来（2021年1月1日至</w:t>
            </w:r>
          </w:p>
          <w:p w14:paraId="588DBA5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今）获得过省级或以上商业联合会颁</w:t>
            </w:r>
          </w:p>
          <w:p w14:paraId="3D8F899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发的诚信兴商证书的，得5分。</w:t>
            </w:r>
          </w:p>
          <w:p w14:paraId="7BAB09D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000000"/>
                <w:kern w:val="0"/>
                <w:sz w:val="21"/>
                <w:szCs w:val="21"/>
                <w:highlight w:val="none"/>
                <w:lang w:val="en-US" w:eastAsia="zh-CN"/>
              </w:rPr>
            </w:pPr>
            <w:r>
              <w:rPr>
                <w:rFonts w:hint="eastAsia" w:asciiTheme="minorEastAsia" w:hAnsiTheme="minorEastAsia" w:eastAsiaTheme="minorEastAsia" w:cstheme="minorEastAsia"/>
                <w:snapToGrid/>
                <w:kern w:val="0"/>
                <w:sz w:val="21"/>
                <w:szCs w:val="21"/>
                <w:highlight w:val="none"/>
                <w:lang w:eastAsia="zh-CN"/>
              </w:rPr>
              <w:t>2．其他情形的，不予计分。</w:t>
            </w:r>
            <w:r>
              <w:rPr>
                <w:rFonts w:hint="eastAsia" w:asciiTheme="minorEastAsia" w:hAnsiTheme="minorEastAsia" w:eastAsiaTheme="minorEastAsia" w:cstheme="minorEastAsia"/>
                <w:snapToGrid/>
                <w:kern w:val="0"/>
                <w:sz w:val="21"/>
                <w:szCs w:val="21"/>
                <w:highlight w:val="none"/>
                <w:lang w:eastAsia="zh-CN"/>
              </w:rPr>
              <w:br w:type="textWrapping"/>
            </w:r>
            <w:r>
              <w:rPr>
                <w:rFonts w:hint="eastAsia" w:asciiTheme="minorEastAsia" w:hAnsiTheme="minorEastAsia" w:eastAsiaTheme="minorEastAsia" w:cstheme="minorEastAsia"/>
                <w:b/>
                <w:bCs/>
                <w:snapToGrid w:val="0"/>
                <w:color w:val="000000"/>
                <w:kern w:val="0"/>
                <w:sz w:val="21"/>
                <w:szCs w:val="21"/>
                <w:highlight w:val="none"/>
                <w:lang w:val="en-US" w:eastAsia="zh-CN"/>
              </w:rPr>
              <w:t>3．本项最高得5分。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28AFE263">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1．证书由省级或以上商业联合会颁发，须提供有</w:t>
            </w:r>
          </w:p>
          <w:p w14:paraId="05B43994">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关证书彩色扫描件。</w:t>
            </w:r>
          </w:p>
          <w:p w14:paraId="36290086">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2．颁发机构不符合要求的，按第2项标准处理。</w:t>
            </w:r>
          </w:p>
        </w:tc>
      </w:tr>
      <w:tr w14:paraId="5C21B6FE">
        <w:tblPrEx>
          <w:tblCellMar>
            <w:top w:w="0" w:type="dxa"/>
            <w:left w:w="108" w:type="dxa"/>
            <w:bottom w:w="0" w:type="dxa"/>
            <w:right w:w="108" w:type="dxa"/>
          </w:tblCellMar>
        </w:tblPrEx>
        <w:trPr>
          <w:trHeight w:val="438"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37B740F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937BE3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val="en-US" w:eastAsia="zh-CN"/>
              </w:rPr>
              <w:t>1.</w:t>
            </w:r>
            <w:r>
              <w:rPr>
                <w:rFonts w:hint="eastAsia" w:asciiTheme="minorEastAsia" w:hAnsiTheme="minorEastAsia" w:eastAsiaTheme="minorEastAsia" w:cstheme="minorEastAsia"/>
                <w:snapToGrid/>
                <w:kern w:val="0"/>
                <w:sz w:val="21"/>
                <w:szCs w:val="21"/>
                <w:highlight w:val="none"/>
                <w:lang w:eastAsia="zh-CN"/>
              </w:rPr>
              <w:t>企业近5年来（2021年1月1日至今）</w:t>
            </w:r>
          </w:p>
          <w:p w14:paraId="49BEEC8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获得过专精特新中小企业的，得5分。</w:t>
            </w:r>
            <w:r>
              <w:rPr>
                <w:rFonts w:hint="eastAsia" w:asciiTheme="minorEastAsia" w:hAnsiTheme="minorEastAsia" w:eastAsiaTheme="minorEastAsia" w:cstheme="minorEastAsia"/>
                <w:snapToGrid/>
                <w:kern w:val="0"/>
                <w:sz w:val="21"/>
                <w:szCs w:val="21"/>
                <w:highlight w:val="none"/>
                <w:lang w:eastAsia="zh-CN"/>
              </w:rPr>
              <w:br w:type="textWrapping"/>
            </w:r>
            <w:r>
              <w:rPr>
                <w:rFonts w:hint="eastAsia" w:asciiTheme="minorEastAsia" w:hAnsiTheme="minorEastAsia" w:eastAsiaTheme="minorEastAsia" w:cstheme="minorEastAsia"/>
                <w:snapToGrid/>
                <w:kern w:val="0"/>
                <w:sz w:val="21"/>
                <w:szCs w:val="21"/>
                <w:highlight w:val="none"/>
                <w:lang w:eastAsia="zh-CN"/>
              </w:rPr>
              <w:t>2．其他情形的，不予计分。</w:t>
            </w:r>
            <w:r>
              <w:rPr>
                <w:rFonts w:hint="eastAsia" w:asciiTheme="minorEastAsia" w:hAnsiTheme="minorEastAsia" w:eastAsiaTheme="minorEastAsia" w:cstheme="minorEastAsia"/>
                <w:snapToGrid/>
                <w:kern w:val="0"/>
                <w:sz w:val="21"/>
                <w:szCs w:val="21"/>
                <w:highlight w:val="none"/>
                <w:lang w:eastAsia="zh-CN"/>
              </w:rPr>
              <w:br w:type="textWrapping"/>
            </w:r>
            <w:r>
              <w:rPr>
                <w:rFonts w:hint="eastAsia" w:asciiTheme="minorEastAsia" w:hAnsiTheme="minorEastAsia" w:eastAsiaTheme="minorEastAsia" w:cstheme="minorEastAsia"/>
                <w:b/>
                <w:bCs/>
                <w:snapToGrid w:val="0"/>
                <w:color w:val="000000"/>
                <w:kern w:val="0"/>
                <w:sz w:val="21"/>
                <w:szCs w:val="21"/>
                <w:highlight w:val="none"/>
                <w:lang w:val="en-US" w:eastAsia="zh-CN"/>
              </w:rPr>
              <w:t>3．本项最高得5分。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44754294">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1.需提供省级或以上政府评定部门网站的通告或</w:t>
            </w:r>
          </w:p>
          <w:p w14:paraId="0D0D517F">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通知截图，否则不得分。</w:t>
            </w:r>
          </w:p>
        </w:tc>
      </w:tr>
      <w:tr w14:paraId="4CF3F82A">
        <w:tblPrEx>
          <w:tblCellMar>
            <w:top w:w="0" w:type="dxa"/>
            <w:left w:w="108" w:type="dxa"/>
            <w:bottom w:w="0" w:type="dxa"/>
            <w:right w:w="108" w:type="dxa"/>
          </w:tblCellMar>
        </w:tblPrEx>
        <w:trPr>
          <w:trHeight w:val="56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08818D0D">
            <w:pPr>
              <w:widowControl w:val="0"/>
              <w:wordWrap w:val="0"/>
              <w:adjustRightInd w:val="0"/>
              <w:snapToGrid w:val="0"/>
              <w:spacing w:after="0" w:line="440" w:lineRule="exact"/>
              <w:jc w:val="left"/>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b/>
                <w:bCs/>
                <w:kern w:val="0"/>
                <w:sz w:val="24"/>
                <w:szCs w:val="24"/>
                <w:highlight w:val="none"/>
                <w:lang w:val="en-US" w:eastAsia="zh-CN" w:bidi="ar-SA"/>
              </w:rPr>
              <w:t>技术部分（施工组织设计），满分：</w:t>
            </w:r>
            <w:r>
              <w:rPr>
                <w:rFonts w:hint="eastAsia" w:asciiTheme="minorEastAsia" w:hAnsiTheme="minorEastAsia" w:eastAsiaTheme="minorEastAsia" w:cstheme="minorEastAsia"/>
                <w:b/>
                <w:bCs/>
                <w:kern w:val="0"/>
                <w:sz w:val="24"/>
                <w:szCs w:val="24"/>
                <w:highlight w:val="none"/>
                <w:u w:val="single"/>
                <w:lang w:val="en-US" w:eastAsia="zh-CN" w:bidi="ar-SA"/>
              </w:rPr>
              <w:t xml:space="preserve">  20  </w:t>
            </w:r>
            <w:r>
              <w:rPr>
                <w:rFonts w:hint="eastAsia" w:asciiTheme="minorEastAsia" w:hAnsiTheme="minorEastAsia" w:eastAsiaTheme="minorEastAsia" w:cstheme="minorEastAsia"/>
                <w:b/>
                <w:bCs/>
                <w:kern w:val="0"/>
                <w:sz w:val="24"/>
                <w:szCs w:val="24"/>
                <w:highlight w:val="none"/>
                <w:lang w:val="en-US" w:eastAsia="zh-CN" w:bidi="ar-SA"/>
              </w:rPr>
              <w:t>分。</w:t>
            </w:r>
          </w:p>
        </w:tc>
      </w:tr>
      <w:tr w14:paraId="4B66BDA5">
        <w:tblPrEx>
          <w:tblCellMar>
            <w:top w:w="0" w:type="dxa"/>
            <w:left w:w="108" w:type="dxa"/>
            <w:bottom w:w="0" w:type="dxa"/>
            <w:right w:w="108" w:type="dxa"/>
          </w:tblCellMar>
        </w:tblPrEx>
        <w:trPr>
          <w:trHeight w:val="680"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DB8F929">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3398D18">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B742C69">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备注</w:t>
            </w:r>
          </w:p>
        </w:tc>
      </w:tr>
      <w:tr w14:paraId="0A9DFC21">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EEE0D3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 xml:space="preserve"> 总体概述</w:t>
            </w:r>
          </w:p>
          <w:p w14:paraId="6105431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650D14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36B2B92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722A250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7A5D4422">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A2DDC8D">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【优】对项目总体有深刻认识，表述清晰、完整、严谨、合理，措施先进、具体、有效、成熟，采用了新技术、新工艺、新材料、新设备；施工段划分呼应总体表述，划分清晰、合理，符合规范要求。</w:t>
            </w:r>
          </w:p>
          <w:p w14:paraId="0F9DBA93">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【良】对项目总体有一定认识，表述清晰、完整，措施具体有效；施工段划分呼应总体表述，划分清晰，符合规范要求。</w:t>
            </w:r>
          </w:p>
          <w:p w14:paraId="2DF4D804">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【中】对项目总体有认识，有一定的措施但部分不具体；施工段划分较合理，符合规范要求。</w:t>
            </w:r>
          </w:p>
          <w:p w14:paraId="7AB15B10">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【差】对项目认识不足，表述不清晰，措施不具体；施工段划分不合理。</w:t>
            </w:r>
          </w:p>
        </w:tc>
      </w:tr>
      <w:tr w14:paraId="4566FD7B">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E965F5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施工总进</w:t>
            </w:r>
          </w:p>
          <w:p w14:paraId="1F0C67D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度计划及</w:t>
            </w:r>
          </w:p>
          <w:p w14:paraId="754D65D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保证措施</w:t>
            </w:r>
          </w:p>
          <w:p w14:paraId="2C0A1F6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5497DE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33A9466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3B0C729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07B838C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21E2E9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snapToGrid w:val="0"/>
                <w:kern w:val="0"/>
                <w:sz w:val="21"/>
                <w:szCs w:val="21"/>
                <w:highlight w:val="none"/>
                <w:lang w:eastAsia="zh-CN"/>
              </w:rPr>
              <w:t>经济赔偿合理。</w:t>
            </w:r>
          </w:p>
          <w:p w14:paraId="19C1FB4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snapToGrid w:val="0"/>
                <w:kern w:val="0"/>
                <w:sz w:val="21"/>
                <w:szCs w:val="21"/>
                <w:highlight w:val="none"/>
                <w:lang w:eastAsia="zh-CN"/>
              </w:rPr>
              <w:t>经济赔偿较合理。</w:t>
            </w:r>
          </w:p>
          <w:p w14:paraId="0EE5FB5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63E8EF0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【差】关键线路不准确，计划编制不合理。关键节点的控制不可行。人、材、机需求和进场计划与进度计划不相呼应，不能满足施工需要。没有违约责任承诺。</w:t>
            </w:r>
          </w:p>
        </w:tc>
      </w:tr>
      <w:tr w14:paraId="5199214C">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009F87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质量</w:t>
            </w:r>
          </w:p>
          <w:p w14:paraId="4F89884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保证措施</w:t>
            </w:r>
          </w:p>
          <w:p w14:paraId="388AF86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（4</w:t>
            </w:r>
            <w:r>
              <w:rPr>
                <w:rFonts w:hint="eastAsia" w:asciiTheme="minorEastAsia" w:hAnsiTheme="minorEastAsia" w:eastAsiaTheme="minorEastAsia" w:cstheme="minorEastAsia"/>
                <w:b/>
                <w:bCs/>
                <w:snapToGrid w:val="0"/>
                <w:kern w:val="0"/>
                <w:sz w:val="21"/>
                <w:szCs w:val="21"/>
                <w:highlight w:val="none"/>
                <w:u w:val="single"/>
                <w:lang w:eastAsia="zh-CN"/>
              </w:rPr>
              <w:t xml:space="preserve">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2E1534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583686F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00AE193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3C44AEB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B9CFCF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【优】应用新技术、新工艺、新材料、新设备，针对项目实际提出先进、可行、具体的保证措施。超过招标文件的质量要求。</w:t>
            </w:r>
          </w:p>
          <w:p w14:paraId="08993DC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【良】针对项目实际提出先进、可行、具体的保证措施。满足招标文件的质量要求。</w:t>
            </w:r>
          </w:p>
          <w:p w14:paraId="351AD0B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【中】具体措施可行。满足招标文件的质量要求。</w:t>
            </w:r>
          </w:p>
          <w:p w14:paraId="37BC574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【差】措施不可行，没有质量违约责任承诺。</w:t>
            </w:r>
          </w:p>
        </w:tc>
      </w:tr>
      <w:tr w14:paraId="30A926CA">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5B9AA1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施工</w:t>
            </w:r>
          </w:p>
          <w:p w14:paraId="550948C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技术措施</w:t>
            </w:r>
          </w:p>
          <w:p w14:paraId="611D30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316F20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1549636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6438807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6488DCA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1C08F8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snapToGrid w:val="0"/>
                <w:kern w:val="0"/>
                <w:sz w:val="21"/>
                <w:szCs w:val="21"/>
                <w:highlight w:val="none"/>
                <w:lang w:eastAsia="zh-CN"/>
              </w:rPr>
              <w:t>经济赔偿合理。</w:t>
            </w:r>
          </w:p>
          <w:p w14:paraId="3FE56E5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snapToGrid w:val="0"/>
                <w:kern w:val="0"/>
                <w:sz w:val="21"/>
                <w:szCs w:val="21"/>
                <w:highlight w:val="none"/>
                <w:lang w:eastAsia="zh-CN"/>
              </w:rPr>
              <w:t>经济赔偿较合理。</w:t>
            </w:r>
          </w:p>
          <w:p w14:paraId="589B379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3A6F76C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【差】对项目关键技术有表述，对重点、难点有建议，解决方案不可行。采用的新技术针对性不强或验证材料不可靠，对节约投资、工期没有具体收益。无违约责任承诺。</w:t>
            </w:r>
          </w:p>
        </w:tc>
      </w:tr>
      <w:tr w14:paraId="472B5554">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3672BA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绿色施工、</w:t>
            </w:r>
          </w:p>
          <w:p w14:paraId="5D8F7C5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安全防护、</w:t>
            </w:r>
          </w:p>
          <w:p w14:paraId="72B5CBB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文明施工</w:t>
            </w:r>
          </w:p>
          <w:p w14:paraId="203F93D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措施计划</w:t>
            </w:r>
          </w:p>
          <w:p w14:paraId="7754528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9CDE7B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2191867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2E5C72B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1792058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B2C4E0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【优】针对项目实际情况，有先进、具体、完整、可行的措施，采用规范准确、清晰。</w:t>
            </w:r>
          </w:p>
          <w:p w14:paraId="16146B0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【良】针对项目实际情况，有合理的措施且具体、完整，采用规范准确。</w:t>
            </w:r>
          </w:p>
          <w:p w14:paraId="1D6C023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【中】有基本合理的措施，采用规范准确。</w:t>
            </w:r>
          </w:p>
          <w:p w14:paraId="62A08F0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【差】措施不力，采用规范不正确。</w:t>
            </w:r>
          </w:p>
        </w:tc>
      </w:tr>
      <w:tr w14:paraId="14298529">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7194A0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施工平面</w:t>
            </w:r>
          </w:p>
          <w:p w14:paraId="4DBB0C1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布置和临时设施布置</w:t>
            </w:r>
          </w:p>
          <w:p w14:paraId="4384538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2DA81A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7EE10BF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33C82DB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2FA5008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08E838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【优】总体布置有针对性、合理，较好满足施工需要，符合绿色施工、安全防护、文明施工要求。</w:t>
            </w:r>
          </w:p>
          <w:p w14:paraId="4C2E618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【良】总体布置合理，能满足施工需要，基本符合绿色施工、安全防护、文明施工要求。</w:t>
            </w:r>
          </w:p>
          <w:p w14:paraId="7E4A1B7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【中】总体布置基本合理，基本满足施工需要。</w:t>
            </w:r>
          </w:p>
          <w:p w14:paraId="61A9298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【差】总体布置不合理，不符合绿色施工、安全防护、文明施工要求。</w:t>
            </w:r>
          </w:p>
        </w:tc>
      </w:tr>
      <w:tr w14:paraId="30544851">
        <w:tblPrEx>
          <w:tblCellMar>
            <w:top w:w="0" w:type="dxa"/>
            <w:left w:w="108" w:type="dxa"/>
            <w:bottom w:w="0" w:type="dxa"/>
            <w:right w:w="108" w:type="dxa"/>
          </w:tblCellMar>
        </w:tblPrEx>
        <w:trPr>
          <w:trHeight w:val="709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33095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项目</w:t>
            </w:r>
          </w:p>
          <w:p w14:paraId="794CB4A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管理机构</w:t>
            </w:r>
          </w:p>
          <w:p w14:paraId="05265A3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FAE949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57897A8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1C8A769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16361E1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583BBE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【优】组织机构形式合理，有完善的指挥系统，生产及质量、绿色施工、安全、文明施工、创优达标监控系统、联络协调系统，项目管理人员内高级职称人员20%（含20%）以上、中级职称人员</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60%（含60%）以上。</w:t>
            </w:r>
          </w:p>
          <w:p w14:paraId="32B87F3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【良】组织机构形式合理，指挥系统，生产及质量、绿色施工、安全、文明施工、创优达标监控系统、联络协调系统齐全，项目管理人员内高级职称人员15%～20%（含15%）、中级职称</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人员50%～60%（含50%）。</w:t>
            </w:r>
          </w:p>
          <w:p w14:paraId="54429B2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【中】组织机构形式基本合理，有指挥系统，生产及质量、绿色施工、安全、文明施工、创优达标监控系统、联络协调系统，项目管理人员内高级职称人员10%～15%（含10%）、中级职称人员</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40%～50%（含40%）。</w:t>
            </w:r>
          </w:p>
          <w:p w14:paraId="6DAB4E5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【差】组织机构形式合理，指挥系统，生产及质量、绿色施工、安全、文明施工、创优达标监控系统、联络协调系统不齐全，项目管理人员内高级职称人员10%以下、中级职称人员</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40%以下。</w:t>
            </w:r>
          </w:p>
        </w:tc>
      </w:tr>
      <w:tr w14:paraId="61D74F99">
        <w:tblPrEx>
          <w:tblCellMar>
            <w:top w:w="0" w:type="dxa"/>
            <w:left w:w="108" w:type="dxa"/>
            <w:bottom w:w="0" w:type="dxa"/>
            <w:right w:w="108" w:type="dxa"/>
          </w:tblCellMar>
        </w:tblPrEx>
        <w:trPr>
          <w:trHeight w:val="554"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2B57F38F">
            <w:pPr>
              <w:widowControl w:val="0"/>
              <w:wordWrap w:val="0"/>
              <w:adjustRightInd w:val="0"/>
              <w:snapToGrid w:val="0"/>
              <w:spacing w:line="400" w:lineRule="exact"/>
              <w:jc w:val="both"/>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b/>
                <w:bCs/>
                <w:snapToGrid w:val="0"/>
                <w:kern w:val="0"/>
                <w:sz w:val="24"/>
                <w:szCs w:val="24"/>
                <w:highlight w:val="none"/>
                <w:lang w:val="en-US" w:eastAsia="zh-CN" w:bidi="ar-SA"/>
              </w:rPr>
              <w:t>投标报价部分，满分：100分。</w:t>
            </w:r>
          </w:p>
        </w:tc>
      </w:tr>
      <w:tr w14:paraId="158278BC">
        <w:tblPrEx>
          <w:tblCellMar>
            <w:top w:w="0" w:type="dxa"/>
            <w:left w:w="108" w:type="dxa"/>
            <w:bottom w:w="0" w:type="dxa"/>
            <w:right w:w="108" w:type="dxa"/>
          </w:tblCellMar>
        </w:tblPrEx>
        <w:trPr>
          <w:trHeight w:val="451"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9EEAEA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评分事项</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40B053FD">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评分方法</w:t>
            </w:r>
          </w:p>
        </w:tc>
      </w:tr>
      <w:tr w14:paraId="7C84A66C">
        <w:tblPrEx>
          <w:tblCellMar>
            <w:top w:w="0" w:type="dxa"/>
            <w:left w:w="108" w:type="dxa"/>
            <w:bottom w:w="0" w:type="dxa"/>
            <w:right w:w="108" w:type="dxa"/>
          </w:tblCellMar>
        </w:tblPrEx>
        <w:trPr>
          <w:trHeight w:val="6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517D891">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评标基准价D</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18C1D6FE">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（1）确定</w:t>
            </w:r>
            <w:r>
              <w:rPr>
                <w:rFonts w:hint="eastAsia" w:asciiTheme="minorEastAsia" w:hAnsiTheme="minorEastAsia" w:eastAsiaTheme="minorEastAsia" w:cstheme="minorEastAsia"/>
                <w:snapToGrid/>
                <w:kern w:val="0"/>
                <w:sz w:val="21"/>
                <w:szCs w:val="21"/>
                <w:highlight w:val="none"/>
                <w:lang w:val="en-US" w:eastAsia="zh-CN"/>
              </w:rPr>
              <w:t>最高投标限价</w:t>
            </w:r>
            <w:r>
              <w:rPr>
                <w:rFonts w:hint="eastAsia" w:asciiTheme="minorEastAsia" w:hAnsiTheme="minorEastAsia" w:eastAsiaTheme="minorEastAsia" w:cstheme="minorEastAsia"/>
                <w:snapToGrid/>
                <w:kern w:val="0"/>
                <w:sz w:val="21"/>
                <w:szCs w:val="21"/>
                <w:highlight w:val="none"/>
                <w:lang w:eastAsia="zh-CN"/>
              </w:rPr>
              <w:t>下浮系数n：用1～21号球分别代表一个下浮系数，由评委代表从这21个号码中随机抽取 3 次，每次抽取1个号码，抽出的号球不参与下次抽取。所抽取的3个号码对应下浮系数的算术平均值作为</w:t>
            </w:r>
            <w:r>
              <w:rPr>
                <w:rFonts w:hint="eastAsia" w:asciiTheme="minorEastAsia" w:hAnsiTheme="minorEastAsia" w:eastAsiaTheme="minorEastAsia" w:cstheme="minorEastAsia"/>
                <w:snapToGrid/>
                <w:kern w:val="0"/>
                <w:sz w:val="21"/>
                <w:szCs w:val="21"/>
                <w:highlight w:val="none"/>
                <w:lang w:val="en-US" w:eastAsia="zh-CN"/>
              </w:rPr>
              <w:t>最高投标限价</w:t>
            </w:r>
            <w:r>
              <w:rPr>
                <w:rFonts w:hint="eastAsia" w:asciiTheme="minorEastAsia" w:hAnsiTheme="minorEastAsia" w:eastAsiaTheme="minorEastAsia" w:cstheme="minorEastAsia"/>
                <w:snapToGrid/>
                <w:kern w:val="0"/>
                <w:sz w:val="21"/>
                <w:szCs w:val="21"/>
                <w:highlight w:val="none"/>
                <w:lang w:eastAsia="zh-CN"/>
              </w:rPr>
              <w:t>下浮系数n。具体号码对应的下浮系数见下表。</w:t>
            </w:r>
          </w:p>
          <w:tbl>
            <w:tblPr>
              <w:tblStyle w:val="15"/>
              <w:tblW w:w="0" w:type="auto"/>
              <w:tblInd w:w="113" w:type="dxa"/>
              <w:tblLayout w:type="fixed"/>
              <w:tblCellMar>
                <w:top w:w="0" w:type="dxa"/>
                <w:left w:w="108" w:type="dxa"/>
                <w:bottom w:w="0" w:type="dxa"/>
                <w:right w:w="108" w:type="dxa"/>
              </w:tblCellMar>
            </w:tblPr>
            <w:tblGrid>
              <w:gridCol w:w="1731"/>
              <w:gridCol w:w="938"/>
              <w:gridCol w:w="1100"/>
              <w:gridCol w:w="1050"/>
              <w:gridCol w:w="987"/>
              <w:gridCol w:w="1038"/>
              <w:gridCol w:w="925"/>
              <w:gridCol w:w="850"/>
            </w:tblGrid>
            <w:tr w14:paraId="191B2DE9">
              <w:tblPrEx>
                <w:tblCellMar>
                  <w:top w:w="0" w:type="dxa"/>
                  <w:left w:w="108" w:type="dxa"/>
                  <w:bottom w:w="0" w:type="dxa"/>
                  <w:right w:w="108" w:type="dxa"/>
                </w:tblCellMar>
              </w:tblPrEx>
              <w:trPr>
                <w:trHeight w:val="446"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33B3354F">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7A2D15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C04022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41C67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EA2E5A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275DAA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E7C29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C76CFF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7</w:t>
                  </w:r>
                </w:p>
              </w:tc>
            </w:tr>
            <w:tr w14:paraId="06C62F3C">
              <w:tblPrEx>
                <w:tblCellMar>
                  <w:top w:w="0" w:type="dxa"/>
                  <w:left w:w="108" w:type="dxa"/>
                  <w:bottom w:w="0" w:type="dxa"/>
                  <w:right w:w="108" w:type="dxa"/>
                </w:tblCellMar>
              </w:tblPrEx>
              <w:trPr>
                <w:trHeight w:val="637"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16208630">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D7480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8F2A23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9FE41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706024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02DB1F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3B4A6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28A58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1.6</w:t>
                  </w:r>
                </w:p>
              </w:tc>
            </w:tr>
            <w:tr w14:paraId="4BED358B">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F5B9A2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8DFE12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927AB8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93D8A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10</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F2EAD3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7D1069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12</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1DB84C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A02131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14</w:t>
                  </w:r>
                </w:p>
              </w:tc>
            </w:tr>
            <w:tr w14:paraId="4245F957">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52D38D3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76C407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519A4D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74A72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7CD743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2.0</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9742E1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2.1</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EF5DFE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E38BC3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2.3</w:t>
                  </w:r>
                </w:p>
              </w:tc>
            </w:tr>
            <w:tr w14:paraId="063A84B1">
              <w:tblPrEx>
                <w:tblCellMar>
                  <w:top w:w="0" w:type="dxa"/>
                  <w:left w:w="108" w:type="dxa"/>
                  <w:bottom w:w="0" w:type="dxa"/>
                  <w:right w:w="108" w:type="dxa"/>
                </w:tblCellMar>
              </w:tblPrEx>
              <w:trPr>
                <w:trHeight w:val="522"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2771BA6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5CF197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A65808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CDD72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17</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A3B7B4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18</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0BC042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19</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02A819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8FDC2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21</w:t>
                  </w:r>
                </w:p>
              </w:tc>
            </w:tr>
            <w:tr w14:paraId="583A524D">
              <w:tblPrEx>
                <w:tblCellMar>
                  <w:top w:w="0" w:type="dxa"/>
                  <w:left w:w="108" w:type="dxa"/>
                  <w:bottom w:w="0" w:type="dxa"/>
                  <w:right w:w="108" w:type="dxa"/>
                </w:tblCellMar>
              </w:tblPrEx>
              <w:trPr>
                <w:trHeight w:val="675"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90E2A4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0C7451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922E6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0D992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A6CFC5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CB0FD5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AD22F2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1F0B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3.0</w:t>
                  </w:r>
                </w:p>
              </w:tc>
            </w:tr>
          </w:tbl>
          <w:p w14:paraId="604F1991">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（2）评标基准价D＝</w:t>
            </w:r>
            <w:r>
              <w:rPr>
                <w:rFonts w:hint="eastAsia" w:asciiTheme="minorEastAsia" w:hAnsiTheme="minorEastAsia" w:eastAsiaTheme="minorEastAsia" w:cstheme="minorEastAsia"/>
                <w:snapToGrid/>
                <w:kern w:val="0"/>
                <w:sz w:val="21"/>
                <w:szCs w:val="21"/>
                <w:highlight w:val="none"/>
                <w:lang w:val="en-US" w:eastAsia="zh-CN"/>
              </w:rPr>
              <w:t>最高投标限价</w:t>
            </w:r>
            <w:r>
              <w:rPr>
                <w:rFonts w:hint="eastAsia" w:asciiTheme="minorEastAsia" w:hAnsiTheme="minorEastAsia" w:eastAsiaTheme="minorEastAsia" w:cstheme="minorEastAsia"/>
                <w:snapToGrid/>
                <w:kern w:val="0"/>
                <w:sz w:val="21"/>
                <w:szCs w:val="21"/>
                <w:highlight w:val="none"/>
                <w:lang w:eastAsia="zh-CN"/>
              </w:rPr>
              <w:t>×（1－n）</w:t>
            </w:r>
          </w:p>
        </w:tc>
      </w:tr>
      <w:tr w14:paraId="601E7FAF">
        <w:tblPrEx>
          <w:tblCellMar>
            <w:top w:w="0" w:type="dxa"/>
            <w:left w:w="108" w:type="dxa"/>
            <w:bottom w:w="0" w:type="dxa"/>
            <w:right w:w="108" w:type="dxa"/>
          </w:tblCellMar>
        </w:tblPrEx>
        <w:trPr>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0E2DAA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投标报价</w:t>
            </w:r>
          </w:p>
          <w:p w14:paraId="67DA420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得分N</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5CC7694C">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采用内插法计算某投标人的投标报价得分N，即当投标人的投标总价等于评标基准价时得100分，每高于评标基准价一个百分点扣</w:t>
            </w:r>
            <w:r>
              <w:rPr>
                <w:rFonts w:hint="eastAsia" w:asciiTheme="minorEastAsia" w:hAnsiTheme="minorEastAsia" w:eastAsiaTheme="minorEastAsia" w:cstheme="minorEastAsia"/>
                <w:b/>
                <w:bCs/>
                <w:snapToGrid/>
                <w:kern w:val="0"/>
                <w:sz w:val="21"/>
                <w:szCs w:val="21"/>
                <w:highlight w:val="none"/>
                <w:lang w:eastAsia="zh-CN"/>
              </w:rPr>
              <w:t>1分</w:t>
            </w:r>
            <w:r>
              <w:rPr>
                <w:rFonts w:hint="eastAsia" w:asciiTheme="minorEastAsia" w:hAnsiTheme="minorEastAsia" w:eastAsiaTheme="minorEastAsia" w:cstheme="minorEastAsia"/>
                <w:snapToGrid/>
                <w:kern w:val="0"/>
                <w:sz w:val="21"/>
                <w:szCs w:val="21"/>
                <w:highlight w:val="none"/>
                <w:lang w:eastAsia="zh-CN"/>
              </w:rPr>
              <w:t>, 每低于评标基准价一个百分点扣</w:t>
            </w:r>
            <w:r>
              <w:rPr>
                <w:rFonts w:hint="eastAsia" w:asciiTheme="minorEastAsia" w:hAnsiTheme="minorEastAsia" w:eastAsiaTheme="minorEastAsia" w:cstheme="minorEastAsia"/>
                <w:b/>
                <w:bCs/>
                <w:snapToGrid/>
                <w:kern w:val="0"/>
                <w:sz w:val="21"/>
                <w:szCs w:val="21"/>
                <w:highlight w:val="none"/>
                <w:lang w:eastAsia="zh-CN"/>
              </w:rPr>
              <w:t>0.5分</w:t>
            </w:r>
            <w:r>
              <w:rPr>
                <w:rFonts w:hint="eastAsia" w:asciiTheme="minorEastAsia" w:hAnsiTheme="minorEastAsia" w:eastAsiaTheme="minorEastAsia" w:cstheme="minorEastAsia"/>
                <w:snapToGrid/>
                <w:kern w:val="0"/>
                <w:sz w:val="21"/>
                <w:szCs w:val="21"/>
                <w:highlight w:val="none"/>
                <w:lang w:eastAsia="zh-CN"/>
              </w:rPr>
              <w:t>，扣完为止。公式如下：</w:t>
            </w:r>
          </w:p>
          <w:p w14:paraId="56931477">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N＝100－（| Di－D | ÷D）×100×E</w:t>
            </w:r>
          </w:p>
          <w:p w14:paraId="398AFD9E">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式中：D为评标基准价；Di为某投标人的投标总价；E为扣分因子，当Di＞D时，E＝</w:t>
            </w:r>
            <w:r>
              <w:rPr>
                <w:rFonts w:hint="eastAsia" w:asciiTheme="minorEastAsia" w:hAnsiTheme="minorEastAsia" w:eastAsiaTheme="minorEastAsia" w:cstheme="minorEastAsia"/>
                <w:b/>
                <w:bCs/>
                <w:snapToGrid/>
                <w:kern w:val="0"/>
                <w:sz w:val="21"/>
                <w:szCs w:val="21"/>
                <w:highlight w:val="none"/>
                <w:lang w:eastAsia="zh-CN"/>
              </w:rPr>
              <w:t>1</w:t>
            </w:r>
            <w:r>
              <w:rPr>
                <w:rFonts w:hint="eastAsia" w:asciiTheme="minorEastAsia" w:hAnsiTheme="minorEastAsia" w:eastAsiaTheme="minorEastAsia" w:cstheme="minorEastAsia"/>
                <w:snapToGrid/>
                <w:kern w:val="0"/>
                <w:sz w:val="21"/>
                <w:szCs w:val="21"/>
                <w:highlight w:val="none"/>
                <w:lang w:eastAsia="zh-CN"/>
              </w:rPr>
              <w:t xml:space="preserve"> ；当Di＜D时，E＝</w:t>
            </w:r>
            <w:r>
              <w:rPr>
                <w:rFonts w:hint="eastAsia" w:asciiTheme="minorEastAsia" w:hAnsiTheme="minorEastAsia" w:eastAsiaTheme="minorEastAsia" w:cstheme="minorEastAsia"/>
                <w:b/>
                <w:bCs/>
                <w:snapToGrid/>
                <w:kern w:val="0"/>
                <w:sz w:val="21"/>
                <w:szCs w:val="21"/>
                <w:highlight w:val="none"/>
                <w:lang w:eastAsia="zh-CN"/>
              </w:rPr>
              <w:t>0.5</w:t>
            </w:r>
            <w:r>
              <w:rPr>
                <w:rFonts w:hint="eastAsia" w:asciiTheme="minorEastAsia" w:hAnsiTheme="minorEastAsia" w:eastAsiaTheme="minorEastAsia" w:cstheme="minorEastAsia"/>
                <w:snapToGrid/>
                <w:kern w:val="0"/>
                <w:sz w:val="21"/>
                <w:szCs w:val="21"/>
                <w:highlight w:val="none"/>
                <w:lang w:eastAsia="zh-CN"/>
              </w:rPr>
              <w:t>。</w:t>
            </w:r>
          </w:p>
        </w:tc>
      </w:tr>
    </w:tbl>
    <w:p w14:paraId="07EBEFB9">
      <w:pPr>
        <w:pStyle w:val="25"/>
        <w:jc w:val="both"/>
        <w:rPr>
          <w:rFonts w:hint="eastAsia"/>
          <w:highlight w:val="none"/>
        </w:rPr>
      </w:pPr>
    </w:p>
    <w:p w14:paraId="1121F9B5">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auto"/>
          <w:spacing w:val="0"/>
          <w:sz w:val="30"/>
          <w:szCs w:val="30"/>
          <w:highlight w:val="none"/>
        </w:rPr>
      </w:pPr>
    </w:p>
    <w:p w14:paraId="1C0C5678">
      <w:pPr>
        <w:keepNext w:val="0"/>
        <w:keepLines w:val="0"/>
        <w:pageBreakBefore w:val="0"/>
        <w:wordWrap w:val="0"/>
        <w:overflowPunct/>
        <w:topLinePunct w:val="0"/>
        <w:bidi w:val="0"/>
        <w:spacing w:before="5"/>
        <w:rPr>
          <w:rFonts w:hint="eastAsia" w:ascii="宋体" w:hAnsi="宋体" w:eastAsia="宋体" w:cs="宋体"/>
          <w:color w:val="auto"/>
          <w:spacing w:val="0"/>
          <w:highlight w:val="none"/>
        </w:rPr>
      </w:pPr>
    </w:p>
    <w:p w14:paraId="008A750B">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131" w:name="_Toc9725"/>
      <w:bookmarkStart w:id="132" w:name="_Toc17436"/>
      <w:bookmarkStart w:id="133" w:name="_Toc31744"/>
      <w:bookmarkStart w:id="134" w:name="_Toc5769"/>
      <w:r>
        <w:rPr>
          <w:rFonts w:hint="eastAsia" w:ascii="宋体" w:hAnsi="宋体" w:eastAsia="宋体" w:cs="宋体"/>
          <w:b/>
          <w:bCs/>
          <w:color w:val="auto"/>
          <w:spacing w:val="0"/>
          <w:sz w:val="24"/>
          <w:szCs w:val="24"/>
          <w:highlight w:val="none"/>
        </w:rPr>
        <w:br w:type="page"/>
      </w:r>
    </w:p>
    <w:bookmarkEnd w:id="131"/>
    <w:bookmarkEnd w:id="132"/>
    <w:bookmarkEnd w:id="133"/>
    <w:bookmarkEnd w:id="134"/>
    <w:p w14:paraId="4C2E53D2">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auto"/>
          <w:spacing w:val="0"/>
          <w:sz w:val="25"/>
          <w:szCs w:val="25"/>
          <w:highlight w:val="none"/>
        </w:rPr>
      </w:pPr>
      <w:bookmarkStart w:id="135" w:name="bookmark138"/>
      <w:bookmarkEnd w:id="135"/>
      <w:bookmarkStart w:id="136" w:name="bookmark137"/>
      <w:bookmarkEnd w:id="136"/>
      <w:r>
        <w:rPr>
          <w:rFonts w:hint="eastAsia" w:ascii="宋体" w:hAnsi="宋体" w:eastAsia="宋体" w:cs="宋体"/>
          <w:b/>
          <w:bCs/>
          <w:color w:val="auto"/>
          <w:spacing w:val="0"/>
          <w:sz w:val="24"/>
          <w:szCs w:val="24"/>
          <w:highlight w:val="none"/>
        </w:rPr>
        <w:t xml:space="preserve">15.5.2  </w:t>
      </w:r>
      <w:r>
        <w:rPr>
          <w:rFonts w:hint="eastAsia" w:ascii="宋体" w:hAnsi="宋体" w:eastAsia="宋体" w:cs="宋体"/>
          <w:color w:val="auto"/>
          <w:spacing w:val="0"/>
          <w:sz w:val="24"/>
          <w:szCs w:val="24"/>
          <w:highlight w:val="none"/>
        </w:rPr>
        <w:t>否决投标说明</w:t>
      </w:r>
    </w:p>
    <w:p w14:paraId="1C3B22D9">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4B1E3531">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温馨提示</w:t>
      </w:r>
      <w:r>
        <w:rPr>
          <w:rFonts w:hint="eastAsia" w:ascii="宋体" w:hAnsi="宋体" w:eastAsia="宋体" w:cs="宋体"/>
          <w:b/>
          <w:bCs/>
          <w:color w:val="auto"/>
          <w:spacing w:val="0"/>
          <w:sz w:val="24"/>
          <w:szCs w:val="24"/>
          <w:highlight w:val="none"/>
        </w:rPr>
        <w:t>：投标人在详细评审阶段根据评分方法提供的佐证材料，其合法性、有效性和准确性不符合要求的，有关量化因素（或评分因素）的折算、调整（或评分）按相应量化标准（或评分标准）处理，但不否决投标。</w:t>
      </w:r>
    </w:p>
    <w:p w14:paraId="69E9356F">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lang w:eastAsia="zh-CN"/>
        </w:rPr>
      </w:pPr>
      <w:bookmarkStart w:id="137" w:name="_Toc16384"/>
      <w:bookmarkStart w:id="138" w:name="_Toc1221"/>
      <w:bookmarkStart w:id="139" w:name="_Toc6322"/>
      <w:r>
        <w:rPr>
          <w:rFonts w:hint="eastAsia" w:ascii="宋体" w:hAnsi="宋体" w:eastAsia="宋体" w:cs="宋体"/>
          <w:b/>
          <w:bCs/>
          <w:color w:val="auto"/>
          <w:spacing w:val="0"/>
          <w:sz w:val="24"/>
          <w:szCs w:val="24"/>
          <w:highlight w:val="none"/>
        </w:rPr>
        <w:t>16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bookmarkEnd w:id="137"/>
      <w:bookmarkEnd w:id="138"/>
      <w:bookmarkEnd w:id="139"/>
    </w:p>
    <w:p w14:paraId="6E4542A3">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16.</w:t>
      </w:r>
      <w:r>
        <w:rPr>
          <w:rFonts w:hint="eastAsia" w:ascii="宋体" w:hAnsi="宋体" w:eastAsia="宋体" w:cs="宋体"/>
          <w:b/>
          <w:bCs/>
          <w:color w:val="auto"/>
          <w:spacing w:val="0"/>
          <w:sz w:val="24"/>
          <w:szCs w:val="24"/>
          <w:highlight w:val="none"/>
          <w:lang w:val="en-US" w:eastAsia="zh-CN"/>
        </w:rPr>
        <w:t>1</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定标办法</w:t>
      </w:r>
    </w:p>
    <w:p w14:paraId="6368293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strike w:val="0"/>
          <w:dstrike w:val="0"/>
          <w:color w:val="auto"/>
          <w:kern w:val="2"/>
          <w:sz w:val="24"/>
          <w:szCs w:val="24"/>
          <w:highlight w:val="none"/>
          <w:u w:val="none"/>
          <w:lang w:val="en-US" w:eastAsia="zh-CN" w:bidi="ar-SA"/>
        </w:rPr>
        <w:t>本项目定标办法由招标人按本投标人须知前附表的规定确定。</w:t>
      </w:r>
    </w:p>
    <w:p w14:paraId="53903B96">
      <w:pPr>
        <w:pStyle w:val="13"/>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line="360" w:lineRule="auto"/>
        <w:ind w:left="0" w:leftChars="0" w:right="0" w:rightChars="0" w:firstLine="48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定标依据：</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（1）现行的法律、法规、规章、规范性文件及国家、省、市各级政府部门工作文件规定；</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（2）招标文件及其他补充通知和补充资料；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（3）评标报告以及定标候选人推荐名单；</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（4）定标候选人的投标文件；</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（5）开、评标全过程资料；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（6）对定标候选人的考察评价资料（如有）；</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（7）关于本工程的其他相关资料。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定标监督小组：</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strike w:val="0"/>
          <w:dstrike w:val="0"/>
          <w:color w:val="auto"/>
          <w:kern w:val="2"/>
          <w:sz w:val="24"/>
          <w:szCs w:val="24"/>
          <w:highlight w:val="none"/>
          <w:u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531CF4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3</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定标委员会：</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1E7D2BB">
      <w:pPr>
        <w:keepNext w:val="0"/>
        <w:keepLines w:val="0"/>
        <w:pageBreakBefore w:val="0"/>
        <w:widowControl/>
        <w:kinsoku w:val="0"/>
        <w:wordWrap w:val="0"/>
        <w:overflowPunct/>
        <w:topLinePunct w:val="0"/>
        <w:autoSpaceDE w:val="0"/>
        <w:autoSpaceDN w:val="0"/>
        <w:bidi w:val="0"/>
        <w:adjustRightInd w:val="0"/>
        <w:snapToGrid w:val="0"/>
        <w:spacing w:before="0" w:beforeLines="100" w:line="360" w:lineRule="auto"/>
        <w:ind w:left="239" w:leftChars="114" w:right="0" w:firstLine="241" w:firstLineChars="100"/>
        <w:jc w:val="left"/>
        <w:textAlignment w:val="baseline"/>
        <w:rPr>
          <w:rFonts w:hint="default" w:ascii="宋体" w:hAnsi="宋体" w:eastAsia="宋体" w:cs="宋体"/>
          <w:color w:val="auto"/>
          <w:spacing w:val="0"/>
          <w:sz w:val="24"/>
          <w:szCs w:val="24"/>
          <w:highlight w:val="none"/>
          <w:lang w:val="en-US"/>
        </w:rPr>
      </w:pPr>
      <w:r>
        <w:rPr>
          <w:rFonts w:hint="eastAsia" w:ascii="宋体" w:hAnsi="宋体" w:eastAsia="宋体" w:cs="宋体"/>
          <w:b/>
          <w:bCs/>
          <w:color w:val="auto"/>
          <w:spacing w:val="0"/>
          <w:sz w:val="24"/>
          <w:szCs w:val="24"/>
          <w:highlight w:val="none"/>
          <w:lang w:val="en-US" w:eastAsia="zh-CN"/>
        </w:rPr>
        <w:t>16.4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细则</w:t>
      </w:r>
    </w:p>
    <w:p w14:paraId="36FC19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3CAC4D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16.4.1票决数量法程序</w:t>
      </w:r>
    </w:p>
    <w:p w14:paraId="63AA32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17640A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16.4.2</w:t>
      </w:r>
      <w:r>
        <w:rPr>
          <w:rFonts w:hint="eastAsia" w:ascii="宋体" w:hAnsi="宋体" w:eastAsia="宋体" w:cs="宋体"/>
          <w:b/>
          <w:bCs/>
          <w:color w:val="auto"/>
          <w:sz w:val="24"/>
          <w:szCs w:val="24"/>
          <w:highlight w:val="none"/>
          <w:u w:val="none"/>
          <w:shd w:val="clear" w:color="auto" w:fill="FFFFFF"/>
        </w:rPr>
        <w:t>项目情况介绍</w:t>
      </w:r>
    </w:p>
    <w:p w14:paraId="360C77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165E1C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16.4.3</w:t>
      </w:r>
      <w:r>
        <w:rPr>
          <w:rFonts w:hint="eastAsia" w:ascii="宋体" w:hAnsi="宋体" w:eastAsia="宋体" w:cs="宋体"/>
          <w:b/>
          <w:bCs/>
          <w:color w:val="auto"/>
          <w:sz w:val="24"/>
          <w:szCs w:val="24"/>
          <w:highlight w:val="none"/>
          <w:u w:val="none"/>
          <w:shd w:val="clear" w:color="auto" w:fill="FFFFFF"/>
        </w:rPr>
        <w:t>审阅定标资料</w:t>
      </w:r>
    </w:p>
    <w:p w14:paraId="62F8DE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31A79E1D">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28"/>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16.4.4</w:t>
      </w:r>
      <w:r>
        <w:rPr>
          <w:rFonts w:hint="eastAsia" w:ascii="宋体" w:hAnsi="宋体" w:eastAsia="宋体" w:cs="宋体"/>
          <w:b/>
          <w:bCs/>
          <w:color w:val="auto"/>
          <w:sz w:val="24"/>
          <w:szCs w:val="24"/>
          <w:highlight w:val="none"/>
          <w:u w:val="none"/>
          <w:shd w:val="clear" w:color="auto" w:fill="FFFFFF"/>
        </w:rPr>
        <w:t>疑问澄清</w:t>
      </w:r>
    </w:p>
    <w:p w14:paraId="6B4CFD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B6C0B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16.4.5投票，收票，点票和汇总</w:t>
      </w:r>
    </w:p>
    <w:p w14:paraId="5858F5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4497B4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16.4.6公布结果和出具定标报告</w:t>
      </w:r>
    </w:p>
    <w:p w14:paraId="50825F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04452160">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16.4.7</w:t>
      </w:r>
      <w:r>
        <w:rPr>
          <w:rFonts w:hint="eastAsia" w:ascii="宋体" w:hAnsi="宋体" w:eastAsia="宋体" w:cs="宋体"/>
          <w:b/>
          <w:bCs/>
          <w:color w:val="auto"/>
          <w:sz w:val="24"/>
          <w:szCs w:val="24"/>
          <w:highlight w:val="none"/>
          <w:u w:val="none"/>
          <w:shd w:val="clear" w:color="auto" w:fill="FFFFFF"/>
        </w:rPr>
        <w:t>全程监督</w:t>
      </w:r>
    </w:p>
    <w:p w14:paraId="143742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FC840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16.5定标因素</w:t>
      </w:r>
    </w:p>
    <w:p w14:paraId="6856A3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06B000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16.5.1</w:t>
      </w:r>
      <w:r>
        <w:rPr>
          <w:rFonts w:hint="eastAsia" w:ascii="宋体" w:hAnsi="宋体" w:eastAsia="宋体" w:cs="宋体"/>
          <w:b w:val="0"/>
          <w:bCs w:val="0"/>
          <w:color w:val="auto"/>
          <w:spacing w:val="0"/>
          <w:position w:val="0"/>
          <w:sz w:val="24"/>
          <w:szCs w:val="24"/>
          <w:highlight w:val="none"/>
          <w:u w:val="none" w:color="auto"/>
          <w:lang w:val="en-US" w:eastAsia="zh-CN"/>
        </w:rPr>
        <w:t>拟派团队管理能力与水平（履约能力）</w:t>
      </w:r>
    </w:p>
    <w:p w14:paraId="0B1A86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5717E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16.5.2</w:t>
      </w:r>
      <w:r>
        <w:rPr>
          <w:rFonts w:hint="eastAsia" w:ascii="宋体" w:hAnsi="宋体" w:eastAsia="宋体" w:cs="宋体"/>
          <w:b w:val="0"/>
          <w:bCs w:val="0"/>
          <w:color w:val="auto"/>
          <w:spacing w:val="0"/>
          <w:position w:val="0"/>
          <w:sz w:val="24"/>
          <w:szCs w:val="24"/>
          <w:highlight w:val="none"/>
          <w:u w:val="none" w:color="auto"/>
          <w:lang w:val="en-US" w:eastAsia="zh-CN"/>
        </w:rPr>
        <w:t>企业信誉</w:t>
      </w:r>
    </w:p>
    <w:p w14:paraId="6C4063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63B51B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16.5.3</w:t>
      </w:r>
      <w:r>
        <w:rPr>
          <w:rFonts w:hint="eastAsia" w:ascii="宋体" w:hAnsi="宋体" w:eastAsia="宋体" w:cs="宋体"/>
          <w:b w:val="0"/>
          <w:bCs w:val="0"/>
          <w:color w:val="auto"/>
          <w:spacing w:val="0"/>
          <w:position w:val="0"/>
          <w:sz w:val="24"/>
          <w:szCs w:val="24"/>
          <w:highlight w:val="none"/>
          <w:u w:val="none" w:color="auto"/>
          <w:lang w:val="en-US" w:eastAsia="zh-CN"/>
        </w:rPr>
        <w:t>农民工工资保障情况</w:t>
      </w:r>
    </w:p>
    <w:p w14:paraId="715526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相对标准：农民工工资保障情况好的定标候选人优于农民工工资保障情况差的定标候选人（结合定标候选人提交的证明材料和招标人查询的材料进行评审）。</w:t>
      </w:r>
    </w:p>
    <w:p w14:paraId="796C44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16.5.4</w:t>
      </w:r>
      <w:r>
        <w:rPr>
          <w:rFonts w:hint="eastAsia" w:ascii="宋体" w:hAnsi="宋体" w:eastAsia="宋体" w:cs="宋体"/>
          <w:b w:val="0"/>
          <w:bCs w:val="0"/>
          <w:color w:val="auto"/>
          <w:spacing w:val="0"/>
          <w:position w:val="0"/>
          <w:sz w:val="24"/>
          <w:szCs w:val="24"/>
          <w:highlight w:val="none"/>
          <w:u w:val="none" w:color="auto"/>
          <w:lang w:val="en-US" w:eastAsia="zh-CN"/>
        </w:rPr>
        <w:t>企业实力</w:t>
      </w:r>
    </w:p>
    <w:p w14:paraId="189FE3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实力包括企业规模较大、行业主管部门的行业排名比较靠前（如有）、资质等级较高、专业技术人员规模较大、过往业绩（含业绩影响力、难易程度）等方面较多、按时按质完成项目的能力较强、施工期间现场服务及时性较强的定标候选人优于企业实力包括企业规模较小、行业主管部门的行业排名比较靠后（如有）、资质等级较低、专业技术人员规模较小、过往业绩（含业绩影响力、难易程度）等方面较少、按时按质完成项目的能力较弱、施工期间现场服务及时性较弱的定标候选人。</w:t>
      </w:r>
    </w:p>
    <w:p w14:paraId="406773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16.5.5</w:t>
      </w:r>
      <w:r>
        <w:rPr>
          <w:rFonts w:hint="eastAsia" w:ascii="宋体" w:hAnsi="宋体" w:eastAsia="宋体" w:cs="宋体"/>
          <w:b w:val="0"/>
          <w:bCs w:val="0"/>
          <w:color w:val="auto"/>
          <w:spacing w:val="0"/>
          <w:position w:val="0"/>
          <w:sz w:val="24"/>
          <w:szCs w:val="24"/>
          <w:highlight w:val="none"/>
          <w:u w:val="none" w:color="auto"/>
          <w:lang w:val="en-US" w:eastAsia="zh-CN"/>
        </w:rPr>
        <w:t>技术方案</w:t>
      </w:r>
    </w:p>
    <w:p w14:paraId="5C2F9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技术方案的定标候选人优于技术方案一般的定标候选人。（技术方案对保证措施、施工计划和技术、工艺及工程项目实施的重点、难点分析和解决方案、安全文明施工措施、新技术应用、质量保证和违约责任承诺等的充分考虑，技术方案合理性、科学性、表述清晰、完整、具体、有效并实施可行。）</w:t>
      </w:r>
    </w:p>
    <w:p w14:paraId="78EC39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16.5.6</w:t>
      </w:r>
      <w:r>
        <w:rPr>
          <w:rFonts w:hint="eastAsia" w:ascii="宋体" w:hAnsi="宋体" w:eastAsia="宋体" w:cs="宋体"/>
          <w:b w:val="0"/>
          <w:bCs w:val="0"/>
          <w:color w:val="auto"/>
          <w:spacing w:val="0"/>
          <w:position w:val="0"/>
          <w:sz w:val="24"/>
          <w:szCs w:val="24"/>
          <w:highlight w:val="none"/>
          <w:u w:val="none" w:color="auto"/>
          <w:lang w:val="en-US" w:eastAsia="zh-CN"/>
        </w:rPr>
        <w:t>评标报告</w:t>
      </w:r>
    </w:p>
    <w:p w14:paraId="00EA2B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722502B1">
      <w:pPr>
        <w:keepNext w:val="0"/>
        <w:keepLines w:val="0"/>
        <w:pageBreakBefore w:val="0"/>
        <w:wordWrap w:val="0"/>
        <w:overflowPunct/>
        <w:topLinePunct w:val="0"/>
        <w:bidi w:val="0"/>
        <w:spacing w:before="78" w:line="220" w:lineRule="auto"/>
        <w:ind w:left="496"/>
        <w:outlineLvl w:val="2"/>
        <w:rPr>
          <w:rFonts w:hint="eastAsia" w:ascii="宋体" w:hAnsi="宋体" w:eastAsia="宋体" w:cs="宋体"/>
          <w:b/>
          <w:bCs/>
          <w:color w:val="auto"/>
          <w:spacing w:val="0"/>
          <w:sz w:val="24"/>
          <w:szCs w:val="24"/>
          <w:highlight w:val="none"/>
        </w:rPr>
      </w:pPr>
      <w:bookmarkStart w:id="140" w:name="_Toc6260"/>
      <w:r>
        <w:rPr>
          <w:rFonts w:hint="eastAsia" w:ascii="宋体" w:hAnsi="宋体" w:eastAsia="宋体" w:cs="宋体"/>
          <w:b/>
          <w:bCs/>
          <w:color w:val="auto"/>
          <w:spacing w:val="0"/>
          <w:sz w:val="24"/>
          <w:szCs w:val="24"/>
          <w:highlight w:val="none"/>
          <w:lang w:val="en-US" w:eastAsia="zh-CN"/>
        </w:rPr>
        <w:t>17</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结果</w:t>
      </w:r>
      <w:r>
        <w:rPr>
          <w:rFonts w:hint="eastAsia" w:ascii="宋体" w:hAnsi="宋体" w:eastAsia="宋体" w:cs="宋体"/>
          <w:b/>
          <w:bCs/>
          <w:color w:val="auto"/>
          <w:spacing w:val="0"/>
          <w:sz w:val="24"/>
          <w:szCs w:val="24"/>
          <w:highlight w:val="none"/>
        </w:rPr>
        <w:t>公示</w:t>
      </w:r>
      <w:bookmarkEnd w:id="140"/>
    </w:p>
    <w:p w14:paraId="7351A8F5">
      <w:pPr>
        <w:keepNext w:val="0"/>
        <w:keepLines w:val="0"/>
        <w:pageBreakBefore w:val="0"/>
        <w:widowControl/>
        <w:kinsoku w:val="0"/>
        <w:wordWrap w:val="0"/>
        <w:overflowPunct/>
        <w:topLinePunct w:val="0"/>
        <w:autoSpaceDE w:val="0"/>
        <w:autoSpaceDN w:val="0"/>
        <w:bidi w:val="0"/>
        <w:adjustRightInd w:val="0"/>
        <w:snapToGrid w:val="0"/>
        <w:spacing w:before="60" w:line="360" w:lineRule="auto"/>
        <w:ind w:left="567" w:right="108"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定标委员会完成定标后，招标人应于定标会结束后3日内将中标候选人和定标情况在</w:t>
      </w:r>
      <w:r>
        <w:rPr>
          <w:rFonts w:hint="eastAsia" w:ascii="宋体" w:hAnsi="宋体" w:eastAsia="宋体" w:cs="宋体"/>
          <w:color w:val="auto"/>
          <w:spacing w:val="0"/>
          <w:sz w:val="24"/>
          <w:szCs w:val="24"/>
          <w:highlight w:val="none"/>
        </w:rPr>
        <w:t>广东省招标投标监管网（http://zbtb.gd.gov.cn）、全国公共资源交易平台（广东省 ·韶关市）（https://ygp.gdzwfw.gov.cn/ggzy-portal/#/440200/index）进行公示。</w:t>
      </w:r>
    </w:p>
    <w:p w14:paraId="6806CAA5">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BE61F7A">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auto"/>
          <w:spacing w:val="0"/>
          <w:sz w:val="24"/>
          <w:szCs w:val="24"/>
          <w:highlight w:val="none"/>
        </w:rPr>
      </w:pPr>
      <w:bookmarkStart w:id="141" w:name="_Toc1505"/>
      <w:r>
        <w:rPr>
          <w:rFonts w:hint="eastAsia" w:ascii="宋体" w:hAnsi="宋体" w:eastAsia="宋体" w:cs="宋体"/>
          <w:b/>
          <w:bCs/>
          <w:color w:val="auto"/>
          <w:spacing w:val="0"/>
          <w:sz w:val="24"/>
          <w:szCs w:val="24"/>
          <w:highlight w:val="none"/>
        </w:rPr>
        <w:t>第四节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否决投标条件</w:t>
      </w:r>
      <w:bookmarkEnd w:id="141"/>
    </w:p>
    <w:p w14:paraId="3301580C">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5AA9DA86">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本节所集中列示的否决投标条件，是本章第三节“投标人须知正文 ”的组成部分，是对本章第三节所规定的否决投标条件的总结和补充。</w:t>
      </w:r>
      <w:r>
        <w:rPr>
          <w:rFonts w:hint="eastAsia" w:ascii="宋体" w:hAnsi="宋体" w:eastAsia="宋体" w:cs="宋体"/>
          <w:b/>
          <w:bCs/>
          <w:color w:val="auto"/>
          <w:spacing w:val="0"/>
          <w:sz w:val="24"/>
          <w:szCs w:val="24"/>
          <w:highlight w:val="none"/>
        </w:rPr>
        <w:t>投标人未有列入本节情形的，评标时一律不得否决其投标。</w:t>
      </w:r>
      <w:r>
        <w:rPr>
          <w:rFonts w:hint="eastAsia" w:ascii="宋体" w:hAnsi="宋体" w:eastAsia="宋体" w:cs="宋体"/>
          <w:color w:val="auto"/>
          <w:spacing w:val="0"/>
          <w:sz w:val="24"/>
          <w:szCs w:val="24"/>
          <w:highlight w:val="none"/>
        </w:rPr>
        <w:t>本节所称“规定 ”均指招标文件的规定。</w:t>
      </w:r>
    </w:p>
    <w:p w14:paraId="1BAA8A6A">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auto"/>
          <w:spacing w:val="0"/>
          <w:sz w:val="24"/>
          <w:szCs w:val="24"/>
          <w:highlight w:val="none"/>
        </w:rPr>
      </w:pPr>
      <w:bookmarkStart w:id="142" w:name="_Toc7264"/>
      <w:r>
        <w:rPr>
          <w:rFonts w:hint="eastAsia" w:ascii="宋体" w:hAnsi="宋体" w:eastAsia="宋体" w:cs="宋体"/>
          <w:b/>
          <w:bCs/>
          <w:color w:val="auto"/>
          <w:spacing w:val="0"/>
          <w:sz w:val="24"/>
          <w:szCs w:val="24"/>
          <w:highlight w:val="none"/>
        </w:rPr>
        <w:t>1 ．资格评审环节</w:t>
      </w:r>
      <w:bookmarkEnd w:id="142"/>
    </w:p>
    <w:p w14:paraId="5FDBADCB">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投标人有下列情形之一的，评标委员会应否决其投标。被否决的投标人，不进入形式评审环节。</w:t>
      </w:r>
    </w:p>
    <w:p w14:paraId="6224D28D">
      <w:pPr>
        <w:keepNext w:val="0"/>
        <w:keepLines w:val="0"/>
        <w:pageBreakBefore w:val="0"/>
        <w:wordWrap w:val="0"/>
        <w:overflowPunct/>
        <w:topLinePunct w:val="0"/>
        <w:bidi w:val="0"/>
        <w:spacing w:before="32" w:line="219"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（1）有本章第三节第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”规定的任何一种情形；</w:t>
      </w:r>
    </w:p>
    <w:p w14:paraId="5A8A84D3">
      <w:pPr>
        <w:keepNext w:val="0"/>
        <w:keepLines w:val="0"/>
        <w:pageBreakBefore w:val="0"/>
        <w:wordWrap w:val="0"/>
        <w:overflowPunct/>
        <w:topLinePunct w:val="0"/>
        <w:bidi w:val="0"/>
        <w:spacing w:before="154" w:line="22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（2）投标人资质不符合规定的；</w:t>
      </w:r>
    </w:p>
    <w:p w14:paraId="2EEF5389">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5957D489">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7D8899C">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auto"/>
          <w:spacing w:val="0"/>
          <w:sz w:val="24"/>
          <w:szCs w:val="24"/>
          <w:highlight w:val="none"/>
          <w:lang w:eastAsia="zh-CN"/>
        </w:rPr>
        <w:t>字确认。</w:t>
      </w:r>
    </w:p>
    <w:p w14:paraId="45D2AAF1">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温馨提示：建造师打印电子证书后，应在个人签名处手写本人签名，未手写签名或与签名图像笔迹不一致的，该电子证书无效。</w:t>
      </w:r>
    </w:p>
    <w:p w14:paraId="47B1AA25">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项目经理简历表》中拟派项目经理与《开标一览表》不一致的；拟派的项目经理未在投标文件《项目经理简历表》中签字确认；一级建造师的注册证书不是国家住建部颁发的；建造师的注册单位与投标人不一致的；项目管理班子组成人员的各类证书、证件、证明不在有效期内的（</w:t>
      </w:r>
      <w:r>
        <w:rPr>
          <w:rFonts w:hint="eastAsia" w:ascii="宋体" w:hAnsi="宋体" w:eastAsia="宋体" w:cs="宋体"/>
          <w:b/>
          <w:bCs/>
          <w:color w:val="auto"/>
          <w:spacing w:val="0"/>
          <w:sz w:val="24"/>
          <w:szCs w:val="24"/>
          <w:highlight w:val="none"/>
        </w:rPr>
        <w:t>建造师注册证书不在使用有效期内的</w:t>
      </w:r>
      <w:r>
        <w:rPr>
          <w:rFonts w:hint="eastAsia" w:ascii="宋体" w:hAnsi="宋体" w:eastAsia="宋体" w:cs="宋体"/>
          <w:color w:val="auto"/>
          <w:spacing w:val="0"/>
          <w:sz w:val="24"/>
          <w:szCs w:val="24"/>
          <w:highlight w:val="none"/>
        </w:rPr>
        <w:t>）；擅自修改、遗漏《项目经理任职声明》实质性内容的；</w:t>
      </w:r>
    </w:p>
    <w:p w14:paraId="0512EB6D">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注：投标人已经工商变更，但其员工执业资格注册证书的注册单位名称未完成变更的，不得否决其投标。</w:t>
      </w:r>
    </w:p>
    <w:p w14:paraId="574B858F">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auto"/>
          <w:spacing w:val="0"/>
          <w:sz w:val="24"/>
          <w:szCs w:val="24"/>
          <w:highlight w:val="none"/>
        </w:rPr>
      </w:pPr>
      <w:bookmarkStart w:id="143" w:name="OLE_LINK27"/>
      <w:r>
        <w:rPr>
          <w:rFonts w:hint="eastAsia" w:ascii="宋体" w:hAnsi="宋体" w:eastAsia="宋体" w:cs="宋体"/>
          <w:b/>
          <w:bCs/>
          <w:color w:val="auto"/>
          <w:spacing w:val="0"/>
          <w:sz w:val="24"/>
          <w:szCs w:val="24"/>
          <w:highlight w:val="none"/>
        </w:rPr>
        <w:t>鉴于目前继续教育开展的实际情况，建筑和市政工程施工现场专业人员（例如：施</w:t>
      </w:r>
      <w:bookmarkStart w:id="144" w:name="bookmark139"/>
      <w:bookmarkEnd w:id="144"/>
      <w:r>
        <w:rPr>
          <w:rFonts w:hint="eastAsia" w:ascii="宋体" w:hAnsi="宋体" w:eastAsia="宋体" w:cs="宋体"/>
          <w:b/>
          <w:bCs/>
          <w:color w:val="auto"/>
          <w:spacing w:val="0"/>
          <w:sz w:val="24"/>
          <w:szCs w:val="24"/>
          <w:highlight w:val="none"/>
        </w:rPr>
        <w:t>工员、质量员、材料员、资料员）的岗位证书或培训证书不审查其证书的有效期。</w:t>
      </w:r>
      <w:bookmarkEnd w:id="143"/>
    </w:p>
    <w:p w14:paraId="6DA43A0A">
      <w:pPr>
        <w:keepNext w:val="0"/>
        <w:keepLines w:val="0"/>
        <w:pageBreakBefore w:val="0"/>
        <w:wordWrap w:val="0"/>
        <w:overflowPunct/>
        <w:topLinePunct w:val="0"/>
        <w:bidi w:val="0"/>
        <w:spacing w:before="146" w:line="220" w:lineRule="auto"/>
        <w:ind w:left="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（6）招标文件规定不接受联合体投标，但以联合体投标的；</w:t>
      </w:r>
    </w:p>
    <w:p w14:paraId="5EA3DA3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（7）联合体投标，未提交《联合体协议书》的；擅自修改、遗漏《联合体协议书》实质性内容的；联合体成员的数量、资质不符合规定的；联合体成员同时以自己名义单独投标或者参加其他联合体投标的；</w:t>
      </w:r>
    </w:p>
    <w:p w14:paraId="546A374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）投标人为外省建筑企业，但未提供“进粤企业和人员诚信信息登记平台 ”企业和拟派人员信息情况打印页或网页截图的。</w:t>
      </w:r>
    </w:p>
    <w:p w14:paraId="47B412EA">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auto"/>
          <w:spacing w:val="0"/>
          <w:sz w:val="24"/>
          <w:szCs w:val="24"/>
          <w:highlight w:val="none"/>
        </w:rPr>
      </w:pPr>
      <w:bookmarkStart w:id="145" w:name="_Toc29694"/>
      <w:r>
        <w:rPr>
          <w:rFonts w:hint="eastAsia" w:ascii="宋体" w:hAnsi="宋体" w:eastAsia="宋体" w:cs="宋体"/>
          <w:b/>
          <w:bCs/>
          <w:color w:val="auto"/>
          <w:spacing w:val="0"/>
          <w:sz w:val="24"/>
          <w:szCs w:val="24"/>
          <w:highlight w:val="none"/>
        </w:rPr>
        <w:t>2 ．形式评审环节</w:t>
      </w:r>
      <w:bookmarkEnd w:id="145"/>
    </w:p>
    <w:p w14:paraId="4C071E88">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投标人有下列情形之一的，评标委员会应否决其投标。被否决的投标人，不进入响应性评审环节。</w:t>
      </w:r>
    </w:p>
    <w:p w14:paraId="2CCA680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（1）各分册没按招标文件规定加盖电子印章；</w:t>
      </w:r>
    </w:p>
    <w:p w14:paraId="3016EC44">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（2）本章第三节第 </w:t>
      </w:r>
      <w:r>
        <w:rPr>
          <w:rFonts w:hint="eastAsia" w:ascii="宋体" w:hAnsi="宋体" w:eastAsia="宋体" w:cs="宋体"/>
          <w:b/>
          <w:bCs/>
          <w:color w:val="auto"/>
          <w:spacing w:val="0"/>
          <w:sz w:val="24"/>
          <w:szCs w:val="24"/>
          <w:highlight w:val="none"/>
        </w:rPr>
        <w:t>10.2.2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10.3.2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10.4.3</w:t>
      </w:r>
      <w:r>
        <w:rPr>
          <w:rFonts w:hint="eastAsia" w:ascii="宋体" w:hAnsi="宋体" w:eastAsia="宋体" w:cs="宋体"/>
          <w:color w:val="auto"/>
          <w:spacing w:val="0"/>
          <w:sz w:val="24"/>
          <w:szCs w:val="24"/>
          <w:highlight w:val="none"/>
        </w:rPr>
        <w:t xml:space="preserve"> 目中规定的“所有投标人均应提供 ”的组成内容（包括该组成内容的所附资料）中，任何一项有缺漏的；</w:t>
      </w:r>
    </w:p>
    <w:p w14:paraId="32F511B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2562D028">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（4）投标文件未按规定签字、盖章的。</w:t>
      </w:r>
    </w:p>
    <w:p w14:paraId="018E6E23">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（5）招标文件规定施工组织设计采用“暗标 ”方式进行评审，但施工组织设计的规格颜色、文字排版、正文篇幅（若有）不符合规定的；其任何部位出现手写以及涂改、 行间插字或删除痕迹的；其任何部位出现投标人的名称和其它可识别投标人身份的字符、徽标、人员名称以及其他特殊标记的。</w:t>
      </w:r>
    </w:p>
    <w:p w14:paraId="5756AE48">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auto"/>
          <w:spacing w:val="0"/>
          <w:sz w:val="24"/>
          <w:szCs w:val="24"/>
          <w:highlight w:val="none"/>
        </w:rPr>
      </w:pPr>
      <w:bookmarkStart w:id="146" w:name="_Toc13699"/>
      <w:r>
        <w:rPr>
          <w:rFonts w:hint="eastAsia" w:ascii="宋体" w:hAnsi="宋体" w:eastAsia="宋体" w:cs="宋体"/>
          <w:b/>
          <w:bCs/>
          <w:color w:val="auto"/>
          <w:spacing w:val="0"/>
          <w:sz w:val="24"/>
          <w:szCs w:val="24"/>
          <w:highlight w:val="none"/>
        </w:rPr>
        <w:t>3 ．响应性评审环节</w:t>
      </w:r>
      <w:bookmarkEnd w:id="146"/>
    </w:p>
    <w:p w14:paraId="24A371D1">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投标人有下列情形之一的，评标委员会应否决其投标。被否决的投标人，不进入详细评审阶段。</w:t>
      </w:r>
    </w:p>
    <w:p w14:paraId="328C80C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（1）承诺的投标有效期短于规定的；质量标准低于规定的；工期超出规定的；擅自修改、遗漏《投标函》《各项承诺一览表》实质性内容的；</w:t>
      </w:r>
    </w:p>
    <w:p w14:paraId="51AA35F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（2）编制《投标总价》的造价工程师，其注册证书不是</w:t>
      </w:r>
      <w:r>
        <w:rPr>
          <w:rFonts w:hint="eastAsia" w:ascii="宋体" w:hAnsi="宋体" w:eastAsia="宋体" w:cs="宋体"/>
          <w:b/>
          <w:bCs/>
          <w:color w:val="auto"/>
          <w:spacing w:val="0"/>
          <w:sz w:val="24"/>
          <w:szCs w:val="24"/>
          <w:highlight w:val="none"/>
        </w:rPr>
        <w:t>住建部门</w:t>
      </w:r>
      <w:r>
        <w:rPr>
          <w:rFonts w:hint="eastAsia" w:ascii="宋体" w:hAnsi="宋体" w:eastAsia="宋体" w:cs="宋体"/>
          <w:color w:val="auto"/>
          <w:spacing w:val="0"/>
          <w:sz w:val="24"/>
          <w:szCs w:val="24"/>
          <w:highlight w:val="none"/>
        </w:rPr>
        <w:t>颁发的；其注册单位与投标人（或造价咨询人）不一致的；其注册证书不在有效期内的。</w:t>
      </w:r>
    </w:p>
    <w:p w14:paraId="57DA17C2">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注：投标人（或造价咨询人）已经工商变更，但其员工的执业资格注册证书的注册单位名称未完成变更的，不得否决其投标。</w:t>
      </w:r>
    </w:p>
    <w:p w14:paraId="1C0F15DB">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（3）投标人委托造价咨询单位编制《投标总价》，但未在《投标总价扉页》（即扉—3）“投标人 ”栏目加盖造价咨询人公章的；未提供造价咨询人的营业执照副本彩色扫描件；</w:t>
      </w:r>
    </w:p>
    <w:p w14:paraId="28A4F595">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（4）出现两个或两个以上投标总价的（同一个投标总价大、小写不一致的除外）； 投标总价超出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0C1C1D63">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（5）在施工组织设计评审中，评标委员会认定质量、进度保障措施与国家和省市现行有关规范、规定、标准有重大偏差，</w:t>
      </w:r>
      <w:r>
        <w:rPr>
          <w:rFonts w:hint="eastAsia" w:ascii="宋体" w:hAnsi="宋体" w:eastAsia="宋体" w:cs="宋体"/>
          <w:b/>
          <w:bCs/>
          <w:color w:val="auto"/>
          <w:spacing w:val="0"/>
          <w:sz w:val="24"/>
          <w:szCs w:val="24"/>
          <w:highlight w:val="none"/>
        </w:rPr>
        <w:t>且该种过错将导致工程质量、进度管理目标无法实现的</w:t>
      </w:r>
      <w:r>
        <w:rPr>
          <w:rFonts w:hint="eastAsia" w:ascii="宋体" w:hAnsi="宋体" w:eastAsia="宋体" w:cs="宋体"/>
          <w:color w:val="auto"/>
          <w:spacing w:val="0"/>
          <w:sz w:val="24"/>
          <w:szCs w:val="24"/>
          <w:highlight w:val="none"/>
        </w:rPr>
        <w:t>。</w:t>
      </w:r>
    </w:p>
    <w:p w14:paraId="7278F5C7">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auto"/>
          <w:spacing w:val="0"/>
          <w:sz w:val="24"/>
          <w:szCs w:val="24"/>
          <w:highlight w:val="none"/>
        </w:rPr>
      </w:pPr>
      <w:bookmarkStart w:id="147" w:name="_Toc2756"/>
      <w:r>
        <w:rPr>
          <w:rFonts w:hint="eastAsia" w:ascii="宋体" w:hAnsi="宋体" w:eastAsia="宋体" w:cs="宋体"/>
          <w:b/>
          <w:bCs/>
          <w:color w:val="auto"/>
          <w:spacing w:val="0"/>
          <w:sz w:val="24"/>
          <w:szCs w:val="24"/>
          <w:highlight w:val="none"/>
        </w:rPr>
        <w:t>4 ．其他</w:t>
      </w:r>
      <w:bookmarkEnd w:id="147"/>
    </w:p>
    <w:p w14:paraId="478ECE44">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在任何评标环节（或阶段），投标人有下列情形之一的，评标委员会应否决其投标。 被否决的投标人，不进入下一环节（或阶段）。</w:t>
      </w:r>
    </w:p>
    <w:p w14:paraId="32C969E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（1）不按评标委员会要求澄清、说明或补正的；</w:t>
      </w:r>
    </w:p>
    <w:p w14:paraId="2BC3CEAA">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（2）有下列情形之一，被评标委员会认定属于串通投标的：</w:t>
      </w:r>
    </w:p>
    <w:p w14:paraId="5E130F1E">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①不同投标人的投标文件两处以上（含两处）错、漏一致；</w:t>
      </w:r>
    </w:p>
    <w:p w14:paraId="7FECEC65">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②不同投标人的投标总价相近且各分项报价、综合单价分析表内容混乱不能相互对应、乱调乱压或乱抬的，而在询标时没有合理的解释或者不能提供计算依据和报价依据；</w:t>
      </w:r>
    </w:p>
    <w:p w14:paraId="2559209F">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③不同投标人的投标各项报价存在异常一致或者呈规律性变化；</w:t>
      </w:r>
    </w:p>
    <w:p w14:paraId="21D10FE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④不同投标人的投标文件由同一单位或者同一个人编制；</w:t>
      </w:r>
    </w:p>
    <w:p w14:paraId="5CE4BEF8">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⑤不同投标人的投标文件中投标资料（包括电子资料）相互混装或项目班子成员出现同一人；</w:t>
      </w:r>
    </w:p>
    <w:p w14:paraId="6AC7075C">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⑥不同投标人的投标文件由同一电脑编制或同一台附属设备打印，或投标报价用同一个预算编制软件密码锁制作或出自同一电子文档；</w:t>
      </w:r>
    </w:p>
    <w:p w14:paraId="5863A9E8">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⑦不同投标人的投标保证由同一企业或同一账户资金缴纳；</w:t>
      </w:r>
    </w:p>
    <w:p w14:paraId="61AFEE12">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⑧不同投标人委托同一个人或注册在同一家企业的注册人员或同一家企业为其投标提供投标咨询、商务报价、技术咨询（招标项目本身要求采用专有技术的除外）等服务。</w:t>
      </w:r>
    </w:p>
    <w:p w14:paraId="62C31967">
      <w:pPr>
        <w:pStyle w:val="25"/>
        <w:keepNext w:val="0"/>
        <w:keepLines w:val="0"/>
        <w:pageBreakBefore w:val="0"/>
        <w:wordWrap w:val="0"/>
        <w:overflowPunct/>
        <w:topLinePunct w:val="0"/>
        <w:bidi w:val="0"/>
        <w:rPr>
          <w:rFonts w:hint="eastAsia"/>
          <w:spacing w:val="0"/>
          <w:highlight w:val="none"/>
        </w:rPr>
      </w:pPr>
    </w:p>
    <w:p w14:paraId="3A4CDC3A">
      <w:pPr>
        <w:keepNext w:val="0"/>
        <w:keepLines w:val="0"/>
        <w:pageBreakBefore w:val="0"/>
        <w:wordWrap w:val="0"/>
        <w:overflowPunct/>
        <w:topLinePunct w:val="0"/>
        <w:bidi w:val="0"/>
        <w:spacing w:line="299" w:lineRule="auto"/>
        <w:rPr>
          <w:rFonts w:hint="eastAsia" w:ascii="宋体" w:hAnsi="宋体" w:eastAsia="宋体" w:cs="宋体"/>
          <w:color w:val="auto"/>
          <w:spacing w:val="0"/>
          <w:sz w:val="24"/>
          <w:szCs w:val="24"/>
          <w:highlight w:val="none"/>
        </w:rPr>
        <w:sectPr>
          <w:headerReference r:id="rId8" w:type="default"/>
          <w:footerReference r:id="rId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73093E">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auto"/>
          <w:spacing w:val="0"/>
          <w:sz w:val="24"/>
          <w:szCs w:val="24"/>
          <w:highlight w:val="none"/>
        </w:rPr>
      </w:pPr>
      <w:bookmarkStart w:id="148" w:name="bookmark57"/>
      <w:bookmarkEnd w:id="148"/>
      <w:bookmarkStart w:id="149" w:name="_Toc9411"/>
      <w:r>
        <w:rPr>
          <w:rFonts w:hint="eastAsia" w:ascii="宋体" w:hAnsi="宋体" w:eastAsia="宋体" w:cs="宋体"/>
          <w:b/>
          <w:bCs/>
          <w:color w:val="auto"/>
          <w:spacing w:val="0"/>
          <w:sz w:val="24"/>
          <w:szCs w:val="24"/>
          <w:highlight w:val="none"/>
        </w:rPr>
        <w:t>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bookmarkEnd w:id="149"/>
    </w:p>
    <w:p w14:paraId="7366BAAD">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auto"/>
          <w:spacing w:val="0"/>
          <w:sz w:val="24"/>
          <w:szCs w:val="24"/>
          <w:highlight w:val="none"/>
        </w:rPr>
      </w:pPr>
      <w:bookmarkStart w:id="150" w:name="_Toc5110"/>
      <w:r>
        <w:rPr>
          <w:rFonts w:hint="eastAsia" w:ascii="宋体" w:hAnsi="宋体" w:eastAsia="宋体" w:cs="宋体"/>
          <w:b/>
          <w:bCs/>
          <w:color w:val="auto"/>
          <w:spacing w:val="0"/>
          <w:sz w:val="24"/>
          <w:szCs w:val="24"/>
          <w:highlight w:val="none"/>
        </w:rPr>
        <w:t>1 ．中标通知书</w:t>
      </w:r>
      <w:bookmarkEnd w:id="150"/>
    </w:p>
    <w:p w14:paraId="360F6602">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招标人确定</w:t>
      </w:r>
      <w:r>
        <w:rPr>
          <w:rFonts w:hint="eastAsia" w:ascii="宋体" w:hAnsi="宋体" w:eastAsia="宋体" w:cs="宋体"/>
          <w:color w:val="auto"/>
          <w:spacing w:val="0"/>
          <w:sz w:val="24"/>
          <w:szCs w:val="24"/>
          <w:highlight w:val="none"/>
          <w:lang w:val="en-US" w:eastAsia="zh-CN"/>
        </w:rPr>
        <w:t>定</w:t>
      </w:r>
      <w:r>
        <w:rPr>
          <w:rFonts w:hint="eastAsia" w:ascii="宋体" w:hAnsi="宋体" w:eastAsia="宋体" w:cs="宋体"/>
          <w:color w:val="auto"/>
          <w:spacing w:val="0"/>
          <w:sz w:val="24"/>
          <w:szCs w:val="24"/>
          <w:highlight w:val="none"/>
        </w:rPr>
        <w:t>标人为中标人</w:t>
      </w:r>
      <w:r>
        <w:rPr>
          <w:rFonts w:hint="eastAsia" w:ascii="宋体" w:hAnsi="宋体" w:eastAsia="宋体" w:cs="宋体"/>
          <w:color w:val="auto"/>
          <w:spacing w:val="0"/>
          <w:sz w:val="24"/>
          <w:szCs w:val="24"/>
          <w:highlight w:val="none"/>
          <w:lang w:val="en-US" w:eastAsia="zh-CN"/>
        </w:rPr>
        <w:t>后</w:t>
      </w:r>
      <w:r>
        <w:rPr>
          <w:rFonts w:hint="eastAsia" w:ascii="宋体" w:hAnsi="宋体" w:eastAsia="宋体" w:cs="宋体"/>
          <w:color w:val="auto"/>
          <w:spacing w:val="0"/>
          <w:sz w:val="24"/>
          <w:szCs w:val="24"/>
          <w:highlight w:val="none"/>
        </w:rPr>
        <w:t xml:space="preserve">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D88EBA6">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auto"/>
          <w:spacing w:val="0"/>
          <w:sz w:val="24"/>
          <w:szCs w:val="24"/>
          <w:highlight w:val="none"/>
        </w:rPr>
      </w:pPr>
      <w:bookmarkStart w:id="151" w:name="_Toc12154"/>
      <w:r>
        <w:rPr>
          <w:rFonts w:hint="eastAsia" w:ascii="宋体" w:hAnsi="宋体" w:eastAsia="宋体" w:cs="宋体"/>
          <w:b/>
          <w:bCs/>
          <w:color w:val="auto"/>
          <w:spacing w:val="0"/>
          <w:sz w:val="24"/>
          <w:szCs w:val="24"/>
          <w:highlight w:val="none"/>
        </w:rPr>
        <w:t>2 ．中结果公示</w:t>
      </w:r>
      <w:bookmarkEnd w:id="151"/>
    </w:p>
    <w:p w14:paraId="1D49581A">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中标通知书发出后 15</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日内，招标人应将中标结果在广东省招标投标监管网（http://zbtb.gd.gov.cn）、全国公共资源交易平台（广东省 ·韶关市）（https://ygp.gdzwfw.gov.cn/ggzy-portal/#/440200/index）进行公示。</w:t>
      </w:r>
    </w:p>
    <w:p w14:paraId="49003951">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auto"/>
          <w:spacing w:val="0"/>
          <w:sz w:val="24"/>
          <w:szCs w:val="24"/>
          <w:highlight w:val="none"/>
        </w:rPr>
      </w:pPr>
      <w:bookmarkStart w:id="152" w:name="_Toc32644"/>
      <w:r>
        <w:rPr>
          <w:rFonts w:hint="eastAsia" w:ascii="宋体" w:hAnsi="宋体" w:eastAsia="宋体" w:cs="宋体"/>
          <w:b/>
          <w:bCs/>
          <w:color w:val="auto"/>
          <w:spacing w:val="0"/>
          <w:sz w:val="24"/>
          <w:szCs w:val="24"/>
          <w:highlight w:val="none"/>
        </w:rPr>
        <w:t>3 ．履约保证</w:t>
      </w:r>
      <w:bookmarkEnd w:id="152"/>
    </w:p>
    <w:p w14:paraId="7A78E0ED">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中标人须在领取中标通知书之日起</w:t>
      </w:r>
      <w:r>
        <w:rPr>
          <w:rFonts w:hint="eastAsia" w:ascii="宋体" w:hAnsi="宋体" w:eastAsia="宋体" w:cs="宋体"/>
          <w:color w:val="auto"/>
          <w:spacing w:val="0"/>
          <w:sz w:val="24"/>
          <w:szCs w:val="24"/>
          <w:highlight w:val="none"/>
          <w:u w:val="single"/>
          <w:lang w:val="en-US" w:eastAsia="zh-CN"/>
        </w:rPr>
        <w:t xml:space="preserve"> 10 </w:t>
      </w:r>
      <w:r>
        <w:rPr>
          <w:rFonts w:hint="eastAsia" w:ascii="宋体" w:hAnsi="宋体" w:eastAsia="宋体" w:cs="宋体"/>
          <w:color w:val="auto"/>
          <w:spacing w:val="0"/>
          <w:sz w:val="24"/>
          <w:szCs w:val="24"/>
          <w:highlight w:val="none"/>
        </w:rPr>
        <w:t>个工作日内、签订合同前向招标人提交金额</w:t>
      </w:r>
      <w:r>
        <w:rPr>
          <w:rFonts w:hint="eastAsia" w:ascii="宋体" w:hAnsi="宋体" w:eastAsia="宋体" w:cs="宋体"/>
          <w:color w:val="auto"/>
          <w:spacing w:val="0"/>
          <w:position w:val="2"/>
          <w:sz w:val="24"/>
          <w:szCs w:val="24"/>
          <w:highlight w:val="none"/>
        </w:rPr>
        <w:t>为中标价</w:t>
      </w:r>
      <w:r>
        <w:rPr>
          <w:rFonts w:hint="eastAsia" w:ascii="宋体" w:hAnsi="宋体" w:eastAsia="宋体" w:cs="宋体"/>
          <w:color w:val="auto"/>
          <w:spacing w:val="0"/>
          <w:position w:val="2"/>
          <w:sz w:val="24"/>
          <w:szCs w:val="24"/>
          <w:highlight w:val="none"/>
          <w:u w:val="single"/>
          <w:lang w:val="en-US" w:eastAsia="zh-CN"/>
        </w:rPr>
        <w:t xml:space="preserve"> 5</w:t>
      </w:r>
      <w:r>
        <w:rPr>
          <w:rFonts w:hint="eastAsia" w:ascii="宋体" w:hAnsi="宋体" w:eastAsia="宋体" w:cs="宋体"/>
          <w:color w:val="auto"/>
          <w:spacing w:val="0"/>
          <w:position w:val="2"/>
          <w:sz w:val="24"/>
          <w:szCs w:val="24"/>
          <w:highlight w:val="none"/>
          <w:u w:val="single"/>
        </w:rPr>
        <w:t xml:space="preserve">%  </w:t>
      </w:r>
      <w:r>
        <w:rPr>
          <w:rFonts w:hint="eastAsia" w:ascii="宋体" w:hAnsi="宋体" w:eastAsia="宋体" w:cs="宋体"/>
          <w:color w:val="auto"/>
          <w:spacing w:val="0"/>
          <w:position w:val="2"/>
          <w:sz w:val="24"/>
          <w:szCs w:val="24"/>
          <w:highlight w:val="none"/>
        </w:rPr>
        <w:t>的履约保证。联合体中标的，由联合体牵头人提交。</w:t>
      </w:r>
    </w:p>
    <w:p w14:paraId="0BF7859C">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0"/>
          <w:sz w:val="24"/>
          <w:szCs w:val="24"/>
          <w:highlight w:val="none"/>
        </w:rPr>
        <w:t>。商业保函、银行保函或保险合同（或保险单）的有效期应当自合同生效之日起至项目通过竣工验收之日后 28 天止。</w:t>
      </w:r>
    </w:p>
    <w:p w14:paraId="30ED910B">
      <w:pPr>
        <w:keepNext w:val="0"/>
        <w:keepLines w:val="0"/>
        <w:pageBreakBefore w:val="0"/>
        <w:wordWrap w:val="0"/>
        <w:overflowPunct/>
        <w:topLinePunct w:val="0"/>
        <w:bidi w:val="0"/>
        <w:spacing w:line="440" w:lineRule="exact"/>
        <w:ind w:firstLine="562"/>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4BE9E304">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39B39D75">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4B781F83">
      <w:pPr>
        <w:keepNext w:val="0"/>
        <w:keepLines w:val="0"/>
        <w:pageBreakBefore w:val="0"/>
        <w:wordWrap w:val="0"/>
        <w:overflowPunct/>
        <w:topLinePunct w:val="0"/>
        <w:bidi w:val="0"/>
        <w:spacing w:before="154" w:line="220" w:lineRule="auto"/>
        <w:ind w:left="486"/>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3.5  </w:t>
      </w:r>
      <w:r>
        <w:rPr>
          <w:rFonts w:hint="eastAsia" w:ascii="宋体" w:hAnsi="宋体" w:eastAsia="宋体" w:cs="宋体"/>
          <w:color w:val="auto"/>
          <w:spacing w:val="0"/>
          <w:sz w:val="24"/>
          <w:szCs w:val="24"/>
          <w:highlight w:val="none"/>
        </w:rPr>
        <w:t>项目通过竣工验收之日后 28 天内，发包人将履约保证退还给承包人。</w:t>
      </w:r>
    </w:p>
    <w:p w14:paraId="1C3E0C01">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701BAE5">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auto"/>
          <w:spacing w:val="0"/>
          <w:sz w:val="24"/>
          <w:szCs w:val="24"/>
          <w:highlight w:val="none"/>
        </w:rPr>
      </w:pPr>
      <w:bookmarkStart w:id="153" w:name="_Toc19929"/>
      <w:r>
        <w:rPr>
          <w:rFonts w:hint="eastAsia" w:ascii="宋体" w:hAnsi="宋体" w:eastAsia="宋体" w:cs="宋体"/>
          <w:b/>
          <w:bCs/>
          <w:color w:val="auto"/>
          <w:spacing w:val="0"/>
          <w:sz w:val="24"/>
          <w:szCs w:val="24"/>
          <w:highlight w:val="none"/>
        </w:rPr>
        <w:t>4 ．合同订立</w:t>
      </w:r>
      <w:bookmarkEnd w:id="153"/>
    </w:p>
    <w:p w14:paraId="066A10F5">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4.1  </w:t>
      </w:r>
      <w:r>
        <w:rPr>
          <w:rFonts w:hint="eastAsia" w:ascii="宋体" w:hAnsi="宋体" w:eastAsia="宋体" w:cs="宋体"/>
          <w:color w:val="auto"/>
          <w:spacing w:val="0"/>
          <w:sz w:val="24"/>
          <w:szCs w:val="24"/>
          <w:highlight w:val="none"/>
        </w:rPr>
        <w:t>招标人应当自中标通知书发出之日起</w:t>
      </w:r>
      <w:r>
        <w:rPr>
          <w:rFonts w:hint="eastAsia" w:ascii="宋体" w:hAnsi="宋体" w:eastAsia="宋体" w:cs="宋体"/>
          <w:color w:val="auto"/>
          <w:spacing w:val="0"/>
          <w:sz w:val="24"/>
          <w:szCs w:val="24"/>
          <w:highlight w:val="none"/>
          <w:u w:val="single"/>
          <w:lang w:val="en-US" w:eastAsia="zh-CN"/>
        </w:rPr>
        <w:t xml:space="preserve"> 三十 </w:t>
      </w:r>
      <w:r>
        <w:rPr>
          <w:rFonts w:hint="eastAsia" w:ascii="宋体" w:hAnsi="宋体" w:eastAsia="宋体" w:cs="宋体"/>
          <w:color w:val="auto"/>
          <w:spacing w:val="0"/>
          <w:sz w:val="24"/>
          <w:szCs w:val="24"/>
          <w:highlight w:val="none"/>
        </w:rPr>
        <w:t>日内，按照招标文件、中标人的投标文件与中标人订立书面合同。</w:t>
      </w:r>
    </w:p>
    <w:p w14:paraId="4E36450D">
      <w:pPr>
        <w:keepNext w:val="0"/>
        <w:keepLines w:val="0"/>
        <w:pageBreakBefore w:val="0"/>
        <w:wordWrap w:val="0"/>
        <w:overflowPunct/>
        <w:topLinePunct w:val="0"/>
        <w:bidi w:val="0"/>
        <w:spacing w:before="156"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  </w:t>
      </w:r>
      <w:r>
        <w:rPr>
          <w:rFonts w:hint="eastAsia" w:ascii="宋体" w:hAnsi="宋体" w:eastAsia="宋体" w:cs="宋体"/>
          <w:color w:val="auto"/>
          <w:spacing w:val="0"/>
          <w:sz w:val="24"/>
          <w:szCs w:val="24"/>
          <w:highlight w:val="none"/>
        </w:rPr>
        <w:t>不正常报价的梳理和确认</w:t>
      </w:r>
    </w:p>
    <w:p w14:paraId="3CC76246">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0"/>
          <w:sz w:val="24"/>
          <w:szCs w:val="24"/>
          <w:highlight w:val="none"/>
        </w:rPr>
        <w:t>招标人不具备以上能力的，可授权编制本项目</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的造价咨询单位实施。</w:t>
      </w:r>
    </w:p>
    <w:p w14:paraId="2AA70AFF">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4.2.2  </w:t>
      </w:r>
      <w:r>
        <w:rPr>
          <w:rFonts w:hint="eastAsia" w:ascii="宋体" w:hAnsi="宋体" w:eastAsia="宋体" w:cs="宋体"/>
          <w:color w:val="auto"/>
          <w:spacing w:val="0"/>
          <w:sz w:val="24"/>
          <w:szCs w:val="24"/>
          <w:highlight w:val="none"/>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68A939CE">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4.2.3  </w:t>
      </w:r>
      <w:r>
        <w:rPr>
          <w:rFonts w:hint="eastAsia" w:ascii="宋体" w:hAnsi="宋体" w:eastAsia="宋体" w:cs="宋体"/>
          <w:color w:val="auto"/>
          <w:spacing w:val="0"/>
          <w:sz w:val="24"/>
          <w:szCs w:val="24"/>
          <w:highlight w:val="none"/>
        </w:rPr>
        <w:t>错漏项的认定。中标人已标价工程量清单中，任一清单项目未填报价格或价格为零的，视为错漏项。</w:t>
      </w:r>
    </w:p>
    <w:p w14:paraId="77C9B6F1">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u w:val="single"/>
        </w:rPr>
      </w:pPr>
      <w:r>
        <w:rPr>
          <w:rFonts w:hint="eastAsia" w:ascii="宋体" w:hAnsi="宋体" w:eastAsia="宋体" w:cs="宋体"/>
          <w:b/>
          <w:bCs/>
          <w:snapToGrid w:val="0"/>
          <w:color w:val="000000"/>
          <w:kern w:val="0"/>
          <w:sz w:val="24"/>
          <w:szCs w:val="24"/>
          <w:highlight w:val="none"/>
        </w:rPr>
        <w:t>4.2.4</w:t>
      </w:r>
      <w:r>
        <w:rPr>
          <w:rFonts w:hint="eastAsia" w:ascii="宋体" w:hAnsi="宋体" w:eastAsia="宋体" w:cs="宋体"/>
          <w:snapToGrid w:val="0"/>
          <w:color w:val="000000"/>
          <w:kern w:val="0"/>
          <w:sz w:val="24"/>
          <w:szCs w:val="24"/>
          <w:highlight w:val="none"/>
        </w:rPr>
        <w:t xml:space="preserve"> 不平衡报价的认定。经修正算术性错误后的中标人已标价工程量清单中，</w:t>
      </w:r>
      <w:r>
        <w:rPr>
          <w:rFonts w:hint="eastAsia" w:ascii="宋体" w:hAnsi="宋体" w:eastAsia="宋体" w:cs="宋体"/>
          <w:snapToGrid w:val="0"/>
          <w:color w:val="000000"/>
          <w:kern w:val="0"/>
          <w:sz w:val="24"/>
          <w:szCs w:val="24"/>
          <w:highlight w:val="none"/>
          <w:u w:val="single"/>
        </w:rPr>
        <w:t>中标人投标价清单项目填报的综合单价（P0）与招标人招标控制价相应清单项目的综合单价（P1）偏差超过一定幅度时，即当 P0＜P1×（1-L）×(1-15%)或 P0＞P1×（1+15%）时（L 为中标下浮率，按照第三章“拟签订合同的主要条款”第 2.3 条规定计算；以上 P0、P1、L 的定义适用于招标文件）</w:t>
      </w:r>
      <w:r>
        <w:rPr>
          <w:rFonts w:hint="eastAsia" w:ascii="宋体" w:hAnsi="宋体" w:eastAsia="宋体" w:cs="宋体"/>
          <w:snapToGrid w:val="0"/>
          <w:color w:val="000000"/>
          <w:kern w:val="0"/>
          <w:sz w:val="24"/>
          <w:szCs w:val="24"/>
          <w:highlight w:val="none"/>
        </w:rPr>
        <w:t>的清单项目，视为不平衡报价项目。</w:t>
      </w:r>
    </w:p>
    <w:p w14:paraId="6EC5D772">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4.2.5</w:t>
      </w:r>
      <w:r>
        <w:rPr>
          <w:rFonts w:hint="eastAsia" w:ascii="宋体" w:hAnsi="宋体" w:eastAsia="宋体" w:cs="宋体"/>
          <w:snapToGrid w:val="0"/>
          <w:color w:val="000000"/>
          <w:kern w:val="0"/>
          <w:sz w:val="24"/>
          <w:szCs w:val="24"/>
          <w:highlight w:val="none"/>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14:paraId="141FAC8A">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4.2.6</w:t>
      </w:r>
      <w:r>
        <w:rPr>
          <w:rFonts w:hint="eastAsia" w:ascii="宋体" w:hAnsi="宋体" w:eastAsia="宋体" w:cs="宋体"/>
          <w:snapToGrid w:val="0"/>
          <w:color w:val="000000"/>
          <w:kern w:val="0"/>
          <w:sz w:val="24"/>
          <w:szCs w:val="24"/>
          <w:highlight w:val="none"/>
        </w:rPr>
        <w:t xml:space="preserve"> </w:t>
      </w:r>
      <w:r>
        <w:rPr>
          <w:rFonts w:hint="eastAsia" w:ascii="宋体" w:hAnsi="宋体" w:eastAsia="宋体" w:cs="宋体"/>
          <w:b/>
          <w:bCs/>
          <w:snapToGrid w:val="0"/>
          <w:color w:val="000000"/>
          <w:kern w:val="0"/>
          <w:sz w:val="24"/>
          <w:szCs w:val="24"/>
          <w:highlight w:val="none"/>
        </w:rPr>
        <w:t>合同履行过程中，被认定为错漏项的清单项目，结算时按照第三章“拟签订合同的主要条款”第2.6条规定处理。</w:t>
      </w:r>
    </w:p>
    <w:p w14:paraId="732D1DE2">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第2.3条的有关规定调整合同价款。</w:t>
      </w:r>
    </w:p>
    <w:p w14:paraId="06159DC0">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 xml:space="preserve">4.3 </w:t>
      </w:r>
      <w:r>
        <w:rPr>
          <w:rFonts w:hint="eastAsia" w:ascii="宋体" w:hAnsi="宋体" w:eastAsia="宋体" w:cs="宋体"/>
          <w:snapToGrid w:val="0"/>
          <w:color w:val="000000"/>
          <w:kern w:val="0"/>
          <w:sz w:val="24"/>
          <w:szCs w:val="24"/>
          <w:highlight w:val="none"/>
        </w:rPr>
        <w:t>本招标项目合同计价方式为：</w:t>
      </w:r>
      <w:r>
        <w:rPr>
          <w:rFonts w:hint="eastAsia" w:ascii="宋体" w:hAnsi="宋体" w:eastAsia="宋体" w:cs="宋体"/>
          <w:snapToGrid w:val="0"/>
          <w:color w:val="000000"/>
          <w:kern w:val="0"/>
          <w:sz w:val="24"/>
          <w:szCs w:val="24"/>
          <w:highlight w:val="none"/>
          <w:u w:val="single"/>
        </w:rPr>
        <w:t xml:space="preserve"> 单价 </w:t>
      </w:r>
      <w:r>
        <w:rPr>
          <w:rFonts w:hint="eastAsia" w:ascii="宋体" w:hAnsi="宋体" w:eastAsia="宋体" w:cs="宋体"/>
          <w:snapToGrid w:val="0"/>
          <w:color w:val="000000"/>
          <w:kern w:val="0"/>
          <w:sz w:val="24"/>
          <w:szCs w:val="24"/>
          <w:highlight w:val="none"/>
        </w:rPr>
        <w:t>合同。</w:t>
      </w:r>
    </w:p>
    <w:p w14:paraId="23DFC241">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4.4</w:t>
      </w:r>
      <w:r>
        <w:rPr>
          <w:rFonts w:hint="eastAsia" w:ascii="宋体" w:hAnsi="宋体" w:eastAsia="宋体" w:cs="宋体"/>
          <w:snapToGrid w:val="0"/>
          <w:color w:val="000000"/>
          <w:kern w:val="0"/>
          <w:sz w:val="24"/>
          <w:szCs w:val="24"/>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57DFA08E">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4.5</w:t>
      </w:r>
      <w:r>
        <w:rPr>
          <w:rFonts w:hint="eastAsia" w:ascii="宋体" w:hAnsi="宋体" w:eastAsia="宋体" w:cs="宋体"/>
          <w:snapToGrid w:val="0"/>
          <w:color w:val="000000"/>
          <w:kern w:val="0"/>
          <w:sz w:val="24"/>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2C058498">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4.6</w:t>
      </w:r>
      <w:r>
        <w:rPr>
          <w:rFonts w:hint="eastAsia" w:ascii="宋体" w:hAnsi="宋体" w:eastAsia="宋体" w:cs="宋体"/>
          <w:snapToGrid w:val="0"/>
          <w:color w:val="000000"/>
          <w:kern w:val="0"/>
          <w:sz w:val="24"/>
          <w:szCs w:val="24"/>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18397800">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5．放弃中标的处理</w:t>
      </w:r>
    </w:p>
    <w:p w14:paraId="5B2D0438">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5.1</w:t>
      </w:r>
      <w:r>
        <w:rPr>
          <w:rFonts w:hint="eastAsia" w:ascii="宋体" w:hAnsi="宋体" w:eastAsia="宋体" w:cs="宋体"/>
          <w:snapToGrid w:val="0"/>
          <w:color w:val="000000"/>
          <w:kern w:val="0"/>
          <w:sz w:val="24"/>
          <w:szCs w:val="24"/>
          <w:highlight w:val="none"/>
        </w:rPr>
        <w:t xml:space="preserve"> 中标人</w:t>
      </w:r>
      <w:r>
        <w:rPr>
          <w:rFonts w:hint="eastAsia" w:ascii="宋体" w:hAnsi="宋体" w:eastAsia="宋体" w:cs="宋体"/>
          <w:snapToGrid w:val="0"/>
          <w:color w:val="000000"/>
          <w:sz w:val="24"/>
          <w:szCs w:val="24"/>
          <w:highlight w:val="none"/>
        </w:rPr>
        <w:t>无正当理由放弃中标的，</w:t>
      </w:r>
      <w:r>
        <w:rPr>
          <w:rFonts w:hint="eastAsia" w:ascii="宋体" w:hAnsi="宋体" w:eastAsia="宋体" w:cs="宋体"/>
          <w:snapToGrid w:val="0"/>
          <w:color w:val="000000"/>
          <w:kern w:val="0"/>
          <w:sz w:val="24"/>
          <w:szCs w:val="24"/>
          <w:highlight w:val="none"/>
        </w:rPr>
        <w:t>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w:t>
      </w:r>
      <w:r>
        <w:rPr>
          <w:rFonts w:hint="eastAsia" w:ascii="宋体" w:hAnsi="宋体" w:eastAsia="宋体" w:cs="宋体"/>
          <w:bCs/>
          <w:snapToGrid w:val="0"/>
          <w:color w:val="000000"/>
          <w:kern w:val="0"/>
          <w:sz w:val="24"/>
          <w:szCs w:val="24"/>
          <w:highlight w:val="none"/>
        </w:rPr>
        <w:t>因此种情况造成招标人重新招标的</w:t>
      </w:r>
      <w:r>
        <w:rPr>
          <w:rFonts w:hint="eastAsia" w:ascii="宋体" w:hAnsi="宋体" w:eastAsia="宋体" w:cs="宋体"/>
          <w:snapToGrid w:val="0"/>
          <w:color w:val="000000"/>
          <w:kern w:val="0"/>
          <w:sz w:val="24"/>
          <w:szCs w:val="24"/>
          <w:highlight w:val="none"/>
        </w:rPr>
        <w:t>，招标人可不接受该弃标人再次投标。同时，招标人应将该弃标人的失信行为向行政监督部门报告。</w:t>
      </w:r>
    </w:p>
    <w:p w14:paraId="6D92FD65">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5.2</w:t>
      </w:r>
      <w:r>
        <w:rPr>
          <w:rFonts w:hint="eastAsia" w:ascii="宋体" w:hAnsi="宋体" w:eastAsia="宋体" w:cs="宋体"/>
          <w:snapToGrid w:val="0"/>
          <w:color w:val="000000"/>
          <w:kern w:val="0"/>
          <w:sz w:val="24"/>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65B11479">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6．专业工程分包</w:t>
      </w:r>
    </w:p>
    <w:p w14:paraId="235C66C1">
      <w:pPr>
        <w:wordWrap w:val="0"/>
        <w:adjustRightInd w:val="0"/>
        <w:snapToGrid w:val="0"/>
        <w:spacing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5099C753">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7．工人工资支付专用账户</w:t>
      </w:r>
    </w:p>
    <w:p w14:paraId="46FA2D74">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7.1</w:t>
      </w:r>
      <w:r>
        <w:rPr>
          <w:rFonts w:hint="eastAsia" w:ascii="宋体" w:hAnsi="宋体" w:eastAsia="宋体" w:cs="宋体"/>
          <w:snapToGrid w:val="0"/>
          <w:color w:val="000000"/>
          <w:kern w:val="0"/>
          <w:sz w:val="24"/>
          <w:szCs w:val="24"/>
          <w:highlight w:val="none"/>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569E53AE">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7.2</w:t>
      </w:r>
      <w:r>
        <w:rPr>
          <w:rFonts w:hint="eastAsia" w:ascii="宋体" w:hAnsi="宋体" w:eastAsia="宋体" w:cs="宋体"/>
          <w:snapToGrid w:val="0"/>
          <w:color w:val="000000"/>
          <w:kern w:val="0"/>
          <w:sz w:val="24"/>
          <w:szCs w:val="24"/>
          <w:highlight w:val="none"/>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p>
    <w:p w14:paraId="428CC129">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7.3</w:t>
      </w:r>
      <w:r>
        <w:rPr>
          <w:rFonts w:hint="eastAsia" w:ascii="宋体" w:hAnsi="宋体" w:eastAsia="宋体" w:cs="宋体"/>
          <w:snapToGrid w:val="0"/>
          <w:color w:val="000000"/>
          <w:kern w:val="0"/>
          <w:sz w:val="24"/>
          <w:szCs w:val="24"/>
          <w:highlight w:val="none"/>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318B9417">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．工期进度</w:t>
      </w:r>
    </w:p>
    <w:p w14:paraId="6C39C6F4">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snapToGrid w:val="0"/>
          <w:color w:val="000000"/>
          <w:kern w:val="0"/>
          <w:sz w:val="24"/>
          <w:szCs w:val="24"/>
          <w:highlight w:val="none"/>
        </w:rPr>
        <w:t>本工程施工招标工期为</w:t>
      </w:r>
      <w:r>
        <w:rPr>
          <w:rFonts w:hint="eastAsia" w:ascii="宋体" w:hAnsi="宋体" w:eastAsia="宋体" w:cs="宋体"/>
          <w:snapToGrid w:val="0"/>
          <w:color w:val="000000"/>
          <w:kern w:val="0"/>
          <w:sz w:val="24"/>
          <w:szCs w:val="24"/>
          <w:highlight w:val="none"/>
          <w:lang w:val="en-US" w:eastAsia="zh-CN"/>
        </w:rPr>
        <w:t>180</w:t>
      </w:r>
      <w:r>
        <w:rPr>
          <w:rFonts w:hint="eastAsia" w:ascii="宋体" w:hAnsi="宋体" w:eastAsia="宋体" w:cs="宋体"/>
          <w:snapToGrid w:val="0"/>
          <w:color w:val="000000"/>
          <w:kern w:val="0"/>
          <w:sz w:val="24"/>
          <w:szCs w:val="24"/>
          <w:highlight w:val="none"/>
        </w:rPr>
        <w:t>个日历天。承包人必须在招标工期内完成</w:t>
      </w:r>
      <w:r>
        <w:rPr>
          <w:rFonts w:hint="eastAsia" w:ascii="宋体" w:hAnsi="宋体" w:eastAsia="宋体" w:cs="宋体"/>
          <w:color w:val="000000"/>
          <w:sz w:val="24"/>
          <w:szCs w:val="24"/>
          <w:highlight w:val="none"/>
        </w:rPr>
        <w:t>招标范围内</w:t>
      </w:r>
      <w:r>
        <w:rPr>
          <w:rFonts w:hint="eastAsia" w:ascii="宋体" w:hAnsi="宋体" w:eastAsia="宋体" w:cs="宋体"/>
          <w:snapToGrid w:val="0"/>
          <w:color w:val="000000"/>
          <w:kern w:val="0"/>
          <w:sz w:val="24"/>
          <w:szCs w:val="24"/>
          <w:highlight w:val="none"/>
        </w:rPr>
        <w:t>的全部内容。</w:t>
      </w:r>
    </w:p>
    <w:p w14:paraId="30F3C772">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snapToGrid w:val="0"/>
          <w:color w:val="000000"/>
          <w:kern w:val="0"/>
          <w:sz w:val="24"/>
          <w:szCs w:val="24"/>
          <w:highlight w:val="none"/>
        </w:rPr>
        <w:t xml:space="preserve"> 施工工期从承包人收到监理单位签发的开工令之日起计，至竣工验收合格之日止。</w:t>
      </w:r>
    </w:p>
    <w:p w14:paraId="3389C4F3">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.3</w:t>
      </w:r>
      <w:r>
        <w:rPr>
          <w:rFonts w:hint="eastAsia" w:ascii="宋体" w:hAnsi="宋体" w:eastAsia="宋体" w:cs="宋体"/>
          <w:snapToGrid w:val="0"/>
          <w:color w:val="000000"/>
          <w:kern w:val="0"/>
          <w:sz w:val="24"/>
          <w:szCs w:val="24"/>
          <w:highlight w:val="none"/>
        </w:rPr>
        <w:t>由于承包人原因造成工期延误的，承包人须在逾期第壹天起每天按合同价的</w:t>
      </w:r>
      <w:r>
        <w:rPr>
          <w:rFonts w:hint="eastAsia" w:ascii="宋体" w:hAnsi="宋体" w:eastAsia="宋体" w:cs="宋体"/>
          <w:snapToGrid w:val="0"/>
          <w:color w:val="000000"/>
          <w:kern w:val="0"/>
          <w:sz w:val="24"/>
          <w:szCs w:val="24"/>
          <w:highlight w:val="none"/>
          <w:u w:val="single"/>
        </w:rPr>
        <w:t xml:space="preserve">1 ‰ </w:t>
      </w:r>
      <w:r>
        <w:rPr>
          <w:rFonts w:hint="eastAsia" w:ascii="宋体" w:hAnsi="宋体" w:eastAsia="宋体" w:cs="宋体"/>
          <w:snapToGrid w:val="0"/>
          <w:color w:val="000000"/>
          <w:kern w:val="0"/>
          <w:sz w:val="24"/>
          <w:szCs w:val="24"/>
          <w:highlight w:val="none"/>
        </w:rPr>
        <w:t>向招标人返纳逾期竣工违约金。逾期竣工违约金的最高限额为人民币（大写）：</w:t>
      </w:r>
      <w:r>
        <w:rPr>
          <w:rFonts w:hint="eastAsia" w:ascii="宋体" w:hAnsi="宋体" w:eastAsia="宋体" w:cs="宋体"/>
          <w:snapToGrid w:val="0"/>
          <w:color w:val="000000"/>
          <w:kern w:val="0"/>
          <w:sz w:val="24"/>
          <w:szCs w:val="24"/>
          <w:highlight w:val="none"/>
          <w:u w:val="single"/>
        </w:rPr>
        <w:t xml:space="preserve"> 合同总价5% </w:t>
      </w:r>
      <w:r>
        <w:rPr>
          <w:rFonts w:hint="eastAsia" w:ascii="宋体" w:hAnsi="宋体" w:eastAsia="宋体" w:cs="宋体"/>
          <w:snapToGrid w:val="0"/>
          <w:color w:val="000000"/>
          <w:kern w:val="0"/>
          <w:sz w:val="24"/>
          <w:szCs w:val="24"/>
          <w:highlight w:val="none"/>
        </w:rPr>
        <w:t>。</w:t>
      </w:r>
    </w:p>
    <w:p w14:paraId="65DCA364">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9</w:t>
      </w:r>
      <w:r>
        <w:rPr>
          <w:rFonts w:hint="eastAsia" w:ascii="宋体" w:hAnsi="宋体" w:eastAsia="宋体" w:cs="宋体"/>
          <w:b/>
          <w:bCs/>
          <w:snapToGrid w:val="0"/>
          <w:color w:val="000000"/>
          <w:kern w:val="0"/>
          <w:sz w:val="24"/>
          <w:szCs w:val="24"/>
          <w:highlight w:val="none"/>
        </w:rPr>
        <w:t>．项目管理机构</w:t>
      </w:r>
    </w:p>
    <w:p w14:paraId="38265DC2">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9</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snapToGrid w:val="0"/>
          <w:color w:val="000000"/>
          <w:kern w:val="0"/>
          <w:sz w:val="24"/>
          <w:szCs w:val="24"/>
          <w:highlight w:val="none"/>
        </w:rPr>
        <w:t xml:space="preserve"> 承包人派驻的项目管理班子成员必须为其投标文件确定的人员，否则发包人有权终止合同。</w:t>
      </w:r>
    </w:p>
    <w:p w14:paraId="4845A665">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9</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snapToGrid w:val="0"/>
          <w:color w:val="000000"/>
          <w:kern w:val="0"/>
          <w:sz w:val="24"/>
          <w:szCs w:val="24"/>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7898D782">
      <w:pPr>
        <w:wordWrap w:val="0"/>
        <w:adjustRightInd w:val="0"/>
        <w:snapToGrid w:val="0"/>
        <w:spacing w:line="360" w:lineRule="auto"/>
        <w:ind w:firstLine="482" w:firstLineChars="200"/>
        <w:rPr>
          <w:rFonts w:hint="eastAsia" w:ascii="宋体" w:hAnsi="宋体" w:eastAsia="宋体" w:cs="宋体"/>
          <w:strike/>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0</w:t>
      </w:r>
      <w:r>
        <w:rPr>
          <w:rFonts w:hint="eastAsia" w:ascii="宋体" w:hAnsi="宋体" w:eastAsia="宋体" w:cs="宋体"/>
          <w:b/>
          <w:snapToGrid w:val="0"/>
          <w:color w:val="000000"/>
          <w:kern w:val="0"/>
          <w:sz w:val="24"/>
          <w:szCs w:val="24"/>
          <w:highlight w:val="none"/>
        </w:rPr>
        <w:t>．现场管理</w:t>
      </w:r>
    </w:p>
    <w:p w14:paraId="60238A13">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0</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snapToGrid w:val="0"/>
          <w:color w:val="000000"/>
          <w:kern w:val="0"/>
          <w:sz w:val="24"/>
          <w:szCs w:val="24"/>
          <w:highlight w:val="none"/>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567B79E1">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0</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snapToGrid w:val="0"/>
          <w:color w:val="000000"/>
          <w:kern w:val="0"/>
          <w:sz w:val="24"/>
          <w:szCs w:val="24"/>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536F0C08">
      <w:pPr>
        <w:wordWrap w:val="0"/>
        <w:adjustRightInd w:val="0"/>
        <w:snapToGrid w:val="0"/>
        <w:spacing w:line="360" w:lineRule="auto"/>
        <w:ind w:firstLine="482" w:firstLineChars="200"/>
        <w:rPr>
          <w:rFonts w:hint="eastAsia" w:ascii="宋体" w:hAnsi="宋体" w:eastAsia="宋体" w:cs="宋体"/>
          <w:b/>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0</w:t>
      </w:r>
      <w:r>
        <w:rPr>
          <w:rFonts w:hint="eastAsia" w:ascii="宋体" w:hAnsi="宋体" w:eastAsia="宋体" w:cs="宋体"/>
          <w:b/>
          <w:bCs/>
          <w:snapToGrid w:val="0"/>
          <w:color w:val="000000"/>
          <w:kern w:val="0"/>
          <w:sz w:val="24"/>
          <w:szCs w:val="24"/>
          <w:highlight w:val="none"/>
        </w:rPr>
        <w:t>.3</w:t>
      </w:r>
      <w:r>
        <w:rPr>
          <w:rFonts w:hint="eastAsia" w:ascii="宋体" w:hAnsi="宋体" w:eastAsia="宋体" w:cs="宋体"/>
          <w:snapToGrid w:val="0"/>
          <w:color w:val="000000"/>
          <w:kern w:val="0"/>
          <w:sz w:val="24"/>
          <w:szCs w:val="24"/>
          <w:highlight w:val="none"/>
        </w:rPr>
        <w:t xml:space="preserve"> 为保证施工现场的环境卫生，承包人在本招标项目施工过程中，所有的车辆必须按发包人规定的行车路线行驶。</w:t>
      </w:r>
    </w:p>
    <w:p w14:paraId="5534DAB4">
      <w:pPr>
        <w:wordWrap w:val="0"/>
        <w:adjustRightInd w:val="0"/>
        <w:snapToGrid w:val="0"/>
        <w:spacing w:line="360" w:lineRule="auto"/>
        <w:ind w:firstLine="482" w:firstLineChars="200"/>
        <w:rPr>
          <w:rFonts w:hint="eastAsia" w:ascii="宋体" w:hAnsi="宋体" w:eastAsia="宋体" w:cs="宋体"/>
          <w:strike/>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1</w:t>
      </w:r>
      <w:r>
        <w:rPr>
          <w:rFonts w:hint="eastAsia" w:ascii="宋体" w:hAnsi="宋体" w:eastAsia="宋体" w:cs="宋体"/>
          <w:b/>
          <w:snapToGrid w:val="0"/>
          <w:color w:val="000000"/>
          <w:kern w:val="0"/>
          <w:sz w:val="24"/>
          <w:szCs w:val="24"/>
          <w:highlight w:val="none"/>
        </w:rPr>
        <w:t>．监督实施</w:t>
      </w:r>
    </w:p>
    <w:p w14:paraId="57C0FE9B">
      <w:pPr>
        <w:wordWrap w:val="0"/>
        <w:adjustRightInd w:val="0"/>
        <w:snapToGrid w:val="0"/>
        <w:spacing w:line="360" w:lineRule="auto"/>
        <w:ind w:firstLine="560"/>
        <w:rPr>
          <w:rFonts w:hint="eastAsia" w:ascii="宋体" w:hAnsi="宋体" w:eastAsia="宋体" w:cs="宋体"/>
          <w:b/>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2DB15DF5">
      <w:pPr>
        <w:wordWrap w:val="0"/>
        <w:adjustRightInd w:val="0"/>
        <w:snapToGrid w:val="0"/>
        <w:spacing w:line="360" w:lineRule="auto"/>
        <w:ind w:firstLine="560"/>
        <w:rPr>
          <w:rFonts w:hint="eastAsia" w:ascii="宋体" w:hAnsi="宋体" w:eastAsia="宋体" w:cs="宋体"/>
          <w:b/>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2</w:t>
      </w:r>
      <w:r>
        <w:rPr>
          <w:rFonts w:hint="eastAsia" w:ascii="宋体" w:hAnsi="宋体" w:eastAsia="宋体" w:cs="宋体"/>
          <w:b/>
          <w:snapToGrid w:val="0"/>
          <w:color w:val="000000"/>
          <w:kern w:val="0"/>
          <w:sz w:val="24"/>
          <w:szCs w:val="24"/>
          <w:highlight w:val="none"/>
        </w:rPr>
        <w:t>．主材的采购和使用</w:t>
      </w:r>
    </w:p>
    <w:p w14:paraId="01DC98FE">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58FB00E9">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3</w:t>
      </w:r>
      <w:r>
        <w:rPr>
          <w:rFonts w:hint="eastAsia" w:ascii="宋体" w:hAnsi="宋体" w:eastAsia="宋体" w:cs="宋体"/>
          <w:b/>
          <w:snapToGrid w:val="0"/>
          <w:color w:val="000000"/>
          <w:kern w:val="0"/>
          <w:sz w:val="24"/>
          <w:szCs w:val="24"/>
          <w:highlight w:val="none"/>
        </w:rPr>
        <w:t>．竣工资料移交</w:t>
      </w:r>
    </w:p>
    <w:p w14:paraId="4CE2AEEC">
      <w:pPr>
        <w:wordWrap w:val="0"/>
        <w:adjustRightInd w:val="0"/>
        <w:snapToGrid w:val="0"/>
        <w:spacing w:line="360" w:lineRule="auto"/>
        <w:ind w:firstLine="560"/>
        <w:rPr>
          <w:rFonts w:hint="eastAsia" w:ascii="宋体" w:hAnsi="宋体" w:eastAsia="宋体" w:cs="宋体"/>
          <w:b/>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工程竣工验收时，</w:t>
      </w:r>
      <w:r>
        <w:rPr>
          <w:rFonts w:hint="eastAsia" w:ascii="宋体" w:hAnsi="宋体" w:eastAsia="宋体" w:cs="宋体"/>
          <w:snapToGrid w:val="0"/>
          <w:color w:val="000000"/>
          <w:kern w:val="0"/>
          <w:sz w:val="24"/>
          <w:szCs w:val="24"/>
          <w:highlight w:val="none"/>
        </w:rPr>
        <w:t>承包</w:t>
      </w:r>
      <w:r>
        <w:rPr>
          <w:rFonts w:hint="eastAsia" w:ascii="宋体" w:hAnsi="宋体" w:eastAsia="宋体" w:cs="宋体"/>
          <w:bCs/>
          <w:snapToGrid w:val="0"/>
          <w:color w:val="000000"/>
          <w:kern w:val="0"/>
          <w:sz w:val="24"/>
          <w:szCs w:val="24"/>
          <w:highlight w:val="none"/>
        </w:rPr>
        <w:t>人应向监理单位和</w:t>
      </w:r>
      <w:r>
        <w:rPr>
          <w:rFonts w:hint="eastAsia" w:ascii="宋体" w:hAnsi="宋体" w:eastAsia="宋体" w:cs="宋体"/>
          <w:snapToGrid w:val="0"/>
          <w:color w:val="000000"/>
          <w:kern w:val="0"/>
          <w:sz w:val="24"/>
          <w:szCs w:val="24"/>
          <w:highlight w:val="none"/>
        </w:rPr>
        <w:t>发包</w:t>
      </w:r>
      <w:r>
        <w:rPr>
          <w:rFonts w:hint="eastAsia" w:ascii="宋体" w:hAnsi="宋体" w:eastAsia="宋体" w:cs="宋体"/>
          <w:bCs/>
          <w:snapToGrid w:val="0"/>
          <w:color w:val="000000"/>
          <w:kern w:val="0"/>
          <w:sz w:val="24"/>
          <w:szCs w:val="24"/>
          <w:highlight w:val="none"/>
        </w:rPr>
        <w:t>人提供符合国家档案部门备案要求的，编制成册的竣工图及有关的技术档案资料（含声像档案）一式</w:t>
      </w:r>
      <w:r>
        <w:rPr>
          <w:rFonts w:hint="eastAsia" w:ascii="宋体" w:hAnsi="宋体" w:eastAsia="宋体" w:cs="宋体"/>
          <w:bCs/>
          <w:snapToGrid w:val="0"/>
          <w:color w:val="000000"/>
          <w:kern w:val="0"/>
          <w:sz w:val="24"/>
          <w:szCs w:val="24"/>
          <w:highlight w:val="none"/>
          <w:u w:val="single"/>
        </w:rPr>
        <w:t>捌</w:t>
      </w:r>
      <w:r>
        <w:rPr>
          <w:rFonts w:hint="eastAsia" w:ascii="宋体" w:hAnsi="宋体" w:eastAsia="宋体" w:cs="宋体"/>
          <w:bCs/>
          <w:snapToGrid w:val="0"/>
          <w:color w:val="000000"/>
          <w:kern w:val="0"/>
          <w:sz w:val="24"/>
          <w:szCs w:val="24"/>
          <w:highlight w:val="none"/>
        </w:rPr>
        <w:t>份，所有档案资料的制作费用由承包人承担。</w:t>
      </w:r>
    </w:p>
    <w:p w14:paraId="450539E6">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4</w:t>
      </w:r>
      <w:r>
        <w:rPr>
          <w:rFonts w:hint="eastAsia" w:ascii="宋体" w:hAnsi="宋体" w:eastAsia="宋体" w:cs="宋体"/>
          <w:b/>
          <w:snapToGrid w:val="0"/>
          <w:color w:val="000000"/>
          <w:kern w:val="0"/>
          <w:sz w:val="24"/>
          <w:szCs w:val="24"/>
          <w:highlight w:val="none"/>
        </w:rPr>
        <w:t>．质量保证</w:t>
      </w:r>
    </w:p>
    <w:p w14:paraId="778A4A09">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4</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Cs/>
          <w:snapToGrid w:val="0"/>
          <w:color w:val="000000"/>
          <w:kern w:val="0"/>
          <w:sz w:val="24"/>
          <w:szCs w:val="24"/>
          <w:highlight w:val="none"/>
        </w:rPr>
        <w:t xml:space="preserve"> </w:t>
      </w:r>
      <w:r>
        <w:rPr>
          <w:rFonts w:hint="eastAsia" w:ascii="宋体" w:hAnsi="宋体" w:eastAsia="宋体" w:cs="宋体"/>
          <w:snapToGrid w:val="0"/>
          <w:color w:val="000000"/>
          <w:kern w:val="0"/>
          <w:sz w:val="24"/>
          <w:szCs w:val="24"/>
          <w:highlight w:val="none"/>
        </w:rPr>
        <w:t>本招标项目</w:t>
      </w:r>
      <w:r>
        <w:rPr>
          <w:rFonts w:hint="eastAsia" w:ascii="宋体" w:hAnsi="宋体" w:eastAsia="宋体" w:cs="宋体"/>
          <w:bCs/>
          <w:snapToGrid w:val="0"/>
          <w:color w:val="000000"/>
          <w:kern w:val="0"/>
          <w:sz w:val="24"/>
          <w:szCs w:val="24"/>
          <w:highlight w:val="none"/>
        </w:rPr>
        <w:t>缺陷责任期为</w:t>
      </w:r>
      <w:r>
        <w:rPr>
          <w:rFonts w:hint="eastAsia" w:ascii="宋体" w:hAnsi="宋体" w:eastAsia="宋体" w:cs="宋体"/>
          <w:bCs/>
          <w:snapToGrid w:val="0"/>
          <w:color w:val="000000"/>
          <w:kern w:val="0"/>
          <w:sz w:val="24"/>
          <w:szCs w:val="24"/>
          <w:highlight w:val="none"/>
          <w:u w:val="single"/>
        </w:rPr>
        <w:t>2</w:t>
      </w:r>
      <w:r>
        <w:rPr>
          <w:rFonts w:hint="eastAsia" w:ascii="宋体" w:hAnsi="宋体" w:eastAsia="宋体" w:cs="宋体"/>
          <w:bCs/>
          <w:snapToGrid w:val="0"/>
          <w:color w:val="000000"/>
          <w:kern w:val="0"/>
          <w:sz w:val="24"/>
          <w:szCs w:val="24"/>
          <w:highlight w:val="none"/>
        </w:rPr>
        <w:t>年（自通过竣工验收之日起计），在此期间预留金额为结算价</w:t>
      </w:r>
      <w:r>
        <w:rPr>
          <w:rFonts w:hint="eastAsia" w:ascii="宋体" w:hAnsi="宋体" w:eastAsia="宋体" w:cs="宋体"/>
          <w:bCs/>
          <w:snapToGrid w:val="0"/>
          <w:color w:val="000000"/>
          <w:kern w:val="0"/>
          <w:sz w:val="24"/>
          <w:szCs w:val="24"/>
          <w:highlight w:val="none"/>
          <w:u w:val="single"/>
        </w:rPr>
        <w:t xml:space="preserve">3% </w:t>
      </w:r>
      <w:r>
        <w:rPr>
          <w:rFonts w:hint="eastAsia" w:ascii="宋体" w:hAnsi="宋体" w:eastAsia="宋体" w:cs="宋体"/>
          <w:bCs/>
          <w:snapToGrid w:val="0"/>
          <w:color w:val="000000"/>
          <w:kern w:val="0"/>
          <w:sz w:val="24"/>
          <w:szCs w:val="24"/>
          <w:highlight w:val="none"/>
        </w:rPr>
        <w:t>的质量保证。</w:t>
      </w:r>
    </w:p>
    <w:p w14:paraId="1E600A1A">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4</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bCs/>
          <w:snapToGrid w:val="0"/>
          <w:color w:val="000000"/>
          <w:kern w:val="0"/>
          <w:sz w:val="24"/>
          <w:szCs w:val="24"/>
          <w:highlight w:val="none"/>
        </w:rPr>
        <w:t xml:space="preserve"> 质量保证的形式包括质量保证金、质量保证担保、质量保证保险三种，由承包人自主选择。</w:t>
      </w:r>
    </w:p>
    <w:p w14:paraId="087AE080">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（1）采用质量保证金形式的，在结清审定总造价时一次性扣留相应金额作为质量保证金。</w:t>
      </w:r>
    </w:p>
    <w:p w14:paraId="1B039D6A">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（2）采用质量保证担保或质量保证保险的，承包人应在竣工验收时向发包人提交有效的银行保函或保险合同（或保险单）原件，银行保函或保险合同（或保险单）的有效期不得短于缺陷责任期。</w:t>
      </w:r>
    </w:p>
    <w:p w14:paraId="446DA286">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4</w:t>
      </w:r>
      <w:r>
        <w:rPr>
          <w:rFonts w:hint="eastAsia" w:ascii="宋体" w:hAnsi="宋体" w:eastAsia="宋体" w:cs="宋体"/>
          <w:b/>
          <w:bCs/>
          <w:snapToGrid w:val="0"/>
          <w:color w:val="000000"/>
          <w:kern w:val="0"/>
          <w:sz w:val="24"/>
          <w:szCs w:val="24"/>
          <w:highlight w:val="none"/>
        </w:rPr>
        <w:t>.3</w:t>
      </w:r>
      <w:r>
        <w:rPr>
          <w:rFonts w:hint="eastAsia" w:ascii="宋体" w:hAnsi="宋体" w:eastAsia="宋体" w:cs="宋体"/>
          <w:bCs/>
          <w:snapToGrid w:val="0"/>
          <w:color w:val="000000"/>
          <w:kern w:val="0"/>
          <w:sz w:val="24"/>
          <w:szCs w:val="24"/>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217BFB9E">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由他人原因造成的缺陷，发包人负责组织维修，承包人不承担费用，且发包人不得从质量保证中扣除费用。</w:t>
      </w:r>
    </w:p>
    <w:p w14:paraId="58CB0BD9">
      <w:pPr>
        <w:wordWrap w:val="0"/>
        <w:adjustRightInd w:val="0"/>
        <w:snapToGrid w:val="0"/>
        <w:spacing w:line="360" w:lineRule="auto"/>
        <w:ind w:firstLine="56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4</w:t>
      </w:r>
      <w:r>
        <w:rPr>
          <w:rFonts w:hint="eastAsia" w:ascii="宋体" w:hAnsi="宋体" w:eastAsia="宋体" w:cs="宋体"/>
          <w:b/>
          <w:bCs/>
          <w:snapToGrid w:val="0"/>
          <w:color w:val="000000"/>
          <w:kern w:val="0"/>
          <w:sz w:val="24"/>
          <w:szCs w:val="24"/>
          <w:highlight w:val="none"/>
        </w:rPr>
        <w:t>.4</w:t>
      </w:r>
      <w:r>
        <w:rPr>
          <w:rFonts w:hint="eastAsia" w:ascii="宋体" w:hAnsi="宋体" w:eastAsia="宋体" w:cs="宋体"/>
          <w:bCs/>
          <w:snapToGrid w:val="0"/>
          <w:color w:val="000000"/>
          <w:kern w:val="0"/>
          <w:sz w:val="24"/>
          <w:szCs w:val="24"/>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054C6ECA">
      <w:pPr>
        <w:wordWrap w:val="0"/>
        <w:adjustRightInd w:val="0"/>
        <w:snapToGrid w:val="0"/>
        <w:spacing w:line="360" w:lineRule="auto"/>
        <w:ind w:firstLine="560"/>
        <w:rPr>
          <w:rFonts w:hint="eastAsia" w:ascii="宋体" w:hAnsi="宋体" w:eastAsia="宋体" w:cs="宋体"/>
          <w:strike/>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5</w:t>
      </w:r>
      <w:r>
        <w:rPr>
          <w:rFonts w:hint="eastAsia" w:ascii="宋体" w:hAnsi="宋体" w:eastAsia="宋体" w:cs="宋体"/>
          <w:b/>
          <w:snapToGrid w:val="0"/>
          <w:color w:val="000000"/>
          <w:kern w:val="0"/>
          <w:sz w:val="24"/>
          <w:szCs w:val="24"/>
          <w:highlight w:val="none"/>
        </w:rPr>
        <w:t>．不良行为处理</w:t>
      </w:r>
    </w:p>
    <w:p w14:paraId="4400BCC9">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Style w:val="28"/>
          <w:rFonts w:hint="eastAsia" w:ascii="宋体" w:hAnsi="宋体" w:eastAsia="宋体" w:cs="宋体"/>
          <w:color w:val="000000"/>
          <w:kern w:val="0"/>
          <w:sz w:val="24"/>
          <w:szCs w:val="24"/>
          <w:highlight w:val="none"/>
        </w:rPr>
        <w:t>承包人及其有关人员有下列行为之一的，发包人应及时向建设行政主管部门报告</w:t>
      </w:r>
      <w:r>
        <w:rPr>
          <w:rFonts w:hint="eastAsia" w:ascii="宋体" w:hAnsi="宋体" w:eastAsia="宋体" w:cs="宋体"/>
          <w:snapToGrid w:val="0"/>
          <w:color w:val="000000"/>
          <w:kern w:val="0"/>
          <w:sz w:val="24"/>
          <w:szCs w:val="24"/>
          <w:highlight w:val="none"/>
        </w:rPr>
        <w:t>。</w:t>
      </w:r>
    </w:p>
    <w:p w14:paraId="7B1A5EE8">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（1）转包、违法分包或违反投标承诺分包工程的；</w:t>
      </w:r>
    </w:p>
    <w:p w14:paraId="13B5F553">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（2）非原参加投标中标的项目经理负责组织施工或在实施过程中擅自更换项目经理的、项目的其他主要管理人员与中标文件确定的人员不相符的；</w:t>
      </w:r>
    </w:p>
    <w:p w14:paraId="1D4E86E1">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（3）投标文件确定的大型机械设备没有进入施工现场的；</w:t>
      </w:r>
    </w:p>
    <w:p w14:paraId="7B6238D4">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（4）与建设单位、监理单位串通，签认虚假工程量或工程造价的；</w:t>
      </w:r>
    </w:p>
    <w:p w14:paraId="30DC5708">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（5）项目经理施工现场管理不到位的；</w:t>
      </w:r>
    </w:p>
    <w:p w14:paraId="6FB09A9C">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（6）项目经理在非本人资格证书注册单位从事工程项目施工管理的；</w:t>
      </w:r>
    </w:p>
    <w:p w14:paraId="7404983C">
      <w:pPr>
        <w:pStyle w:val="57"/>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（7）项目经理同时承担超过一项工程项目的；</w:t>
      </w:r>
    </w:p>
    <w:p w14:paraId="32116B94">
      <w:pPr>
        <w:pStyle w:val="57"/>
        <w:wordWrap w:val="0"/>
        <w:adjustRightInd w:val="0"/>
        <w:snapToGrid w:val="0"/>
        <w:spacing w:line="360" w:lineRule="auto"/>
        <w:ind w:firstLine="480" w:firstLineChars="200"/>
        <w:jc w:val="left"/>
        <w:rPr>
          <w:rFonts w:hint="eastAsia" w:ascii="宋体" w:hAnsi="宋体" w:eastAsia="宋体" w:cs="宋体"/>
          <w:b/>
          <w:bCs/>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（8）违反有关法律、法规、规章规定的其它行为。</w:t>
      </w:r>
    </w:p>
    <w:p w14:paraId="21BFDD7A">
      <w:pPr>
        <w:pStyle w:val="57"/>
        <w:wordWrap w:val="0"/>
        <w:adjustRightInd w:val="0"/>
        <w:snapToGrid w:val="0"/>
        <w:spacing w:line="360" w:lineRule="auto"/>
        <w:ind w:firstLine="482" w:firstLineChars="200"/>
        <w:jc w:val="left"/>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snapToGrid w:val="0"/>
          <w:color w:val="000000"/>
          <w:kern w:val="0"/>
          <w:sz w:val="24"/>
          <w:szCs w:val="24"/>
          <w:highlight w:val="none"/>
        </w:rPr>
        <w:t>．</w:t>
      </w:r>
      <w:r>
        <w:rPr>
          <w:rFonts w:hint="eastAsia" w:ascii="宋体" w:hAnsi="宋体" w:eastAsia="宋体" w:cs="宋体"/>
          <w:b/>
          <w:bCs/>
          <w:snapToGrid w:val="0"/>
          <w:color w:val="000000"/>
          <w:kern w:val="0"/>
          <w:sz w:val="24"/>
          <w:szCs w:val="24"/>
          <w:highlight w:val="none"/>
        </w:rPr>
        <w:t>信用评价条款内容</w:t>
      </w:r>
    </w:p>
    <w:p w14:paraId="518509F3">
      <w:pPr>
        <w:pStyle w:val="42"/>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087663A7">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7</w:t>
      </w:r>
      <w:r>
        <w:rPr>
          <w:rFonts w:hint="eastAsia" w:ascii="宋体" w:hAnsi="宋体" w:eastAsia="宋体" w:cs="宋体"/>
          <w:b/>
          <w:bCs/>
          <w:snapToGrid w:val="0"/>
          <w:color w:val="000000"/>
          <w:kern w:val="0"/>
          <w:sz w:val="24"/>
          <w:szCs w:val="24"/>
          <w:highlight w:val="none"/>
        </w:rPr>
        <w:t>.</w:t>
      </w:r>
      <w:r>
        <w:rPr>
          <w:rFonts w:hint="eastAsia" w:ascii="宋体" w:hAnsi="宋体" w:eastAsia="宋体" w:cs="宋体"/>
          <w:b/>
          <w:bCs/>
          <w:snapToGrid w:val="0"/>
          <w:color w:val="000000"/>
          <w:kern w:val="0"/>
          <w:sz w:val="24"/>
          <w:szCs w:val="24"/>
          <w:highlight w:val="none"/>
          <w:lang w:val="en-US" w:eastAsia="zh-CN"/>
        </w:rPr>
        <w:t>其他事项</w:t>
      </w:r>
    </w:p>
    <w:p w14:paraId="5191903E">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highlight w:val="none"/>
        </w:rPr>
      </w:pPr>
    </w:p>
    <w:p w14:paraId="75C49660">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17.1 </w:t>
      </w:r>
      <w:r>
        <w:rPr>
          <w:rFonts w:hint="eastAsia" w:ascii="宋体" w:hAnsi="宋体" w:eastAsia="宋体" w:cs="宋体"/>
          <w:color w:val="000000"/>
          <w:kern w:val="0"/>
          <w:sz w:val="24"/>
          <w:szCs w:val="24"/>
          <w:highlight w:val="none"/>
          <w:lang w:val="en-US" w:eastAsia="zh-CN" w:bidi="ar"/>
        </w:rPr>
        <w:t xml:space="preserve">危险性较大的分部分项工程安全管理约定。中标人应对建设单位组织的勘察、设计等单位在施工招标文件中列出的危大工程清单进行投标文件回应。对危险性较大的工程必须按《危险性较大的分部分项工程安全管理规定》（中华人民共和国住房和城乡建设部令第 37 号）的规定编制专项施工方案。同时，中标人必须按照《危险性较大的分部分项工程安全管理规定》的规定和经审批的专项施工方案履行安全职责，严格执行国家、地方政府有关施工安全管理方面的法律、法规及规章制度，同时严 </w:t>
      </w:r>
    </w:p>
    <w:p w14:paraId="6572F4B8">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格执行招标人制订的本项目安全生产管理方面的规章制度、安全检查程序及施工安全管理要求，以及监理人有关安全工作的指令。中标人应根据《危险性较大的分部分项工程安全管理规定》（住房城乡建设部令第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6C1B9CAF">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17.2 </w:t>
      </w:r>
      <w:r>
        <w:rPr>
          <w:rFonts w:hint="eastAsia" w:ascii="宋体" w:hAnsi="宋体" w:eastAsia="宋体" w:cs="宋体"/>
          <w:color w:val="000000"/>
          <w:kern w:val="0"/>
          <w:sz w:val="24"/>
          <w:szCs w:val="24"/>
          <w:highlight w:val="none"/>
          <w:lang w:val="en-US" w:eastAsia="zh-CN" w:bidi="ar"/>
        </w:rPr>
        <w:t xml:space="preserve">中标人在工程实施过程中，按照国家、省、市的相关规定制定相关的专项安全施工方案（如高支模、基坑支护、沉井等），编制专项施工方案报监理人、招标人审批后方可开展专项工程的施工。 </w:t>
      </w:r>
    </w:p>
    <w:p w14:paraId="5784326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17.3 </w:t>
      </w:r>
      <w:r>
        <w:rPr>
          <w:rFonts w:hint="eastAsia" w:ascii="宋体" w:hAnsi="宋体" w:eastAsia="宋体" w:cs="宋体"/>
          <w:color w:val="000000"/>
          <w:kern w:val="0"/>
          <w:sz w:val="24"/>
          <w:szCs w:val="24"/>
          <w:highlight w:val="none"/>
          <w:lang w:val="en-US" w:eastAsia="zh-CN" w:bidi="ar"/>
        </w:rPr>
        <w:t>中标人须按照《韶关市建筑垃圾管理条例》（2021 年 5 月 1 日起施行），将弃土运至经韶关市政府有关规定核准使用的建筑垃圾消纳场，否则招标人有权要求中标人无条件将弃土从违约弃土点运至经韶关市政府有关规定核准使用的建筑垃圾消纳场并扣除违约金 3 万元人民币/次。中标人对建筑垃圾须按《韶关市建筑垃圾管理条例》（2021 年 5 月 1 日起 施行）的相关规定进行排放和运输，投标人在投标报价时综合考虑在报价内。中标人应在施工现场建立洗车槽和临时排水系统等确保外运车辆（土方运输车辆应符合韶关市相关规定）不带泥上路，投标人在投标报价时综合考虑在报价内，招标人不另行支付该部分费用）。建设单位、施工单位应当在施工工地出入口显著位置公示建筑垃圾处理方案主要信息，包括建设工程垃圾种类、产生量、外运处置去向等信息及各相关单位名称、联系人及联系电话等。</w:t>
      </w:r>
    </w:p>
    <w:p w14:paraId="34D4C4A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17.4 工程竣工验收后 15 日内，中标人应按市城建档案馆的要求（质量、数量），将编制成册的施工档案资料（含声像档案和电子档案）提供给招标人、市城建档案馆、市住建管理局、管养单位及监理单位，并承担档案涉及的所有费用（制作标准和相关要求按市城建档案馆的有关规定执行）。中标人提交符合城建档案馆要求的竣工资料经招标人确认签收后，即可办理工程结算手续。</w:t>
      </w:r>
    </w:p>
    <w:p w14:paraId="2D1FCA2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17.5 根据《韶关市工程建设领域农民工工资保证金管理实施细则》（韶人社规〔2023〕 </w:t>
      </w:r>
    </w:p>
    <w:p w14:paraId="55145E28">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 号）文件规定，中标人应当自工程取得施工许可证（开工报告批复、开工备案）之日起 20 个工作日内按承包合同工程造价 3%的比例（不超过 500 万元）一次性将工人工资保证金存入银行专用存款账户。逾期未交纳的，招标人将扣留与本项目工人工资保证金等额的工程款（工人工资除外），直至中标人按《韶关市工程建设领域农民工工资保证金管理实施细则》相关文件要求缴纳工人工资保证金。在中标人未按要求缴纳工人工资保证金期间，招标人扣留的工程款将作为工人工资保证金的预备资金，招标人有权将该部分资金用于处理该项目工人工资拖欠等情况的问题。如发生中标人拖欠民工工资并且向政府或招标人索要中标人拖欠工资的，招标人有权使用工人工资保证金或在剩余进度款范围内代中标人向民工支付工资，中标人对招标人垫付工资的人员范围和工资数额均不得提异议。招标人代支的工资除了从当期工程款内直接扣除外,并按招标文件相关约定缴纳违约金。</w:t>
      </w:r>
    </w:p>
    <w:p w14:paraId="1992D592">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（一）用人单位应当在工程施工合同签订之日起 30 日内，在建设项目所在地的银行业金融机构设立工人工资支付专用账户,发包人支付工程款时，将按工程款（不含工人工资）和工人工资两部分分开支付，工人工资支付至专用账户。 </w:t>
      </w:r>
    </w:p>
    <w:p w14:paraId="1C7B8A1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（二）用人单位应当在用工之日起 15 日内在专用账户绑定农民工本人具有金融功能的社会保障卡或银行卡实行一人一卡、本人持卡。 </w:t>
      </w:r>
    </w:p>
    <w:p w14:paraId="5CD00E8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（三）用人单位应当指定专人负责建设项目施工现场台账管理，真实、准确记录工人名册、劳务合同、劳动合同、工程进度、工时台账、劳务承包款和工人工资支付等信息，并保存两年以上备查。 </w:t>
      </w:r>
    </w:p>
    <w:p w14:paraId="4D01F59F">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用人单位应当按照“及时支付，按实结算”的原则，在规定日期前通过银行工人工资支付专用账户将工人工资直接支付到工人的个人银行账户，并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花名册及身份证复印件；（4）劳动合同；（5）委托书（写明委托代发工资情况）；（6）缴纳保证金的凭证；（7）总包企业或承包企业设立工资专用账户的凭证；（8）维权信息告示牌情况。</w:t>
      </w:r>
    </w:p>
    <w:p w14:paraId="1404F3A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用人单位未建立、保存用工管理台账，或者伪造相关台账的，按照《广东省劳动保障监察条例》的规定，由人力资源社会保障部门责令改正，并可处以 2000 元以上 20000 元以下的人民币罚款。 </w:t>
      </w:r>
    </w:p>
    <w:p w14:paraId="5F0DBCE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（五）每次申请工程进度款需提供上期工人工资发放明细表、上期工人工资发放公示等材料。</w:t>
      </w:r>
    </w:p>
    <w:p w14:paraId="644E736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（六）中标人应按韶关市住房和城乡建设管理局、韶关市人力资源和社会保障局等职能部门对用工实名制的相关规定,落实工人及相关软硬件设施要求。</w:t>
      </w:r>
    </w:p>
    <w:p w14:paraId="31AD1A4F">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17.6 中标人在收到中标通知书后须积极配合招标人完成施工许可证的办理。</w:t>
      </w:r>
    </w:p>
    <w:p w14:paraId="2987D877">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17.7 中标人中标后须响应招标人组织的廉政履约会议，项目经理、法人代表或其授权委托人须参加会议。</w:t>
      </w:r>
    </w:p>
    <w:p w14:paraId="785E4EB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17.8 中标人在施工期间应严格遵守国家、省、市有关防火和施工安全以及文明施工、夜间施工、环卫城管等规定，建立规章制度和防护措施。否则，由此造成的经济损失和法律责任，均由中标人负责。中标人应按安全施工的要求，采取严格科学的安全措施，确保施工安全和第三者的安全，承担由于自身安全措施不力所造成的事故责任和发生的费用。</w:t>
      </w:r>
    </w:p>
    <w:p w14:paraId="6BEAC3E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17.9 中标人必须做好施工场地地下、地上管线、构筑物和邻近建筑物、构筑物（包括文物保护建筑）、名树名木（如有）的保护工作。 </w:t>
      </w:r>
    </w:p>
    <w:p w14:paraId="0FF73645">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17.10 中标人需按相关规定要求，设置本工程符合相关要求的永久性标牌及规划公示牌，投标人在投标报价时综合考虑在报价内，招标人不另行支付该部分费用。</w:t>
      </w:r>
    </w:p>
    <w:p w14:paraId="56E0BDD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17.11 中标人须为招标人、全过程造价咨询单位提供现场办公管理的便利。按工程需要 配置办公室、会议室及办公家具、生活设施，配备满足工作需要的办公设备（电脑、打印机、复印机、传真机、办公用品等）。相关费用由中标人负责，招标人不另行支付。</w:t>
      </w:r>
    </w:p>
    <w:p w14:paraId="28AD7251">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17.12 中标人负责受施工影响道路的环境卫生、交通组织维护及受损修复，相关费用由中标人负责，招标人不另行支付。</w:t>
      </w:r>
    </w:p>
    <w:p w14:paraId="4ECC43F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17.13 本工程施工时中标人的施工视频监控系统必须符合韶关市相关规定，并在投标报价中综合考虑，招标人不另行支付该部分费用。 </w:t>
      </w:r>
    </w:p>
    <w:p w14:paraId="4CEFC0F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17.14 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非中标人原因，工程不能按期开工，或开工后全部停滞，工期按相关规定予以顺延。停工发生后，若可复工时，中标人应在收到招标人发出的复工通知书后 3 日内开始复工。</w:t>
      </w:r>
    </w:p>
    <w:p w14:paraId="1258748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17.15 承包人应充分考虑施工对接情况，为本项目的其他参建单位提供工作便利、配合及服务（如水源、电源接口等），并有针对性地组织施工；承包人与为本项目的其他参建单位就协调、配合、服务等不能达成一致的，由监理工程师协调，并遵照监理工程师指令执行；承包人应负责统筹安排本项目范围内的各项工程的协调与配合，确保工程建设有序进行。承包人由此增加的费用应认为已包括在承包人的投标报价之中，发包人不另行支付。</w:t>
      </w:r>
    </w:p>
    <w:p w14:paraId="180EEF8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17.16 中标人应做好周边设施（含军用光缆、燃气、供电、供水、排水、排污、人行道、路灯、治安监控、交通电警等）的成品保护并及时与周边设施的权属单位协调解决，如因中标人原因导致上述设施发生损坏，中标人无条件按招标人规定的期限内修复，涉及成品保护费、索赔等一切费用全部由中标人自行解决。 </w:t>
      </w:r>
    </w:p>
    <w:p w14:paraId="62A93847">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17.17 招标人有权根据本项目建设的实际情况调整建设规模或减少建设内容，如出现因特殊原因取消某子项目的建设，则该子项目未完成的工作内容及费用相应扣减，中标人应在投标报价中综合考虑该因素，中标后不得因此向招标人提出额外的费用补偿或索赔，并且必须按调整后的规模及内容完成工程建设。 </w:t>
      </w:r>
    </w:p>
    <w:p w14:paraId="25E2A51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17.18 根据市政府办相关批复要求，本项目的供水管道施工完成后，清洗、消毒、检测必须按城市供水部门的要求完成，并由中标人缴纳接驳等相关费用，招标人不另行支付该部分费用。 </w:t>
      </w:r>
    </w:p>
    <w:p w14:paraId="23E4A06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17.19 中标人工程变更的程序和管理按《关于加强市本级政府投资项目财政投资评审监督管理的实施意见》(韶府办发函〔2021〕32 号)意见精神执行，凡不符合本实施意见要求的变更均为无效变更。如项目实施过程中发生了工程变更及工程签证，中标人需根据招标人的《工程变更管理办法》和《工程签证管理办法》完善工程变更签证相关程序。工程变更及工程签证须在发包人确认、会议确定或出具变更图纸后 28 日内，将相关预算报及相关报批表报发包人审批，若超时未申报，视为默认由发包人或委托第三方造价咨询单位出具的预算执行。</w:t>
      </w:r>
    </w:p>
    <w:p w14:paraId="64680DA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17.20 垂直运输设备基础及围护等配套设施、现场围挡、临时出入口及临时道路等不形成工程实体的临时设施费用，中标人应在投标报价中综合考虑，中标后不得因此向招标人提出额外的费用补偿或索赔。</w:t>
      </w:r>
    </w:p>
    <w:p w14:paraId="48BBD451">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17.21 中标人应按照《建设工程质量管理条例》《建设工程质量检测管理办法》和有关技术标准等规定和要求，进行自检和送检工作。在办理施工许可证前提交项目竣工验收备案所需的工程质量检测报告文件事项清单及送检计划。中标人自检所发生的检测费用由中标人自行负责。中标人委托的自检检测机构不得与建设单位委托的检测机构为同一家、存在隶属关系和其他利害关系。 </w:t>
      </w:r>
    </w:p>
    <w:p w14:paraId="09A89AB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17.22 工程质量保修期按《中华人民共和国建筑法》《建设工程质量管理条例》等相关规定实施。 </w:t>
      </w:r>
    </w:p>
    <w:p w14:paraId="710B230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17.23 如采用银行保函方式缴纳履约保证金，在保函到期前一个月，中标人须主动办理续期手续或提交新的银行保函；如中标人未及时主动办理续期手续或提交新的银行保函，招标人有权按履约保证金金额扣留进度款（工人工资除外）作为履约保证金，直至中标人提交新的银行保函或达到履约保证金退还条件。 </w:t>
      </w:r>
    </w:p>
    <w:p w14:paraId="3DFCAF79">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17.24 中标人需在签订合同后 5 个工作日内向招标人免费提交与电子投标文件一致的纸质版投标文件伍份。 </w:t>
      </w:r>
    </w:p>
    <w:p w14:paraId="54A663E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17.25 该项目需要消防验收，中标人需自行委托有资质的第三方消防检测单位进行消防自检并在消防验收时提供该单位检测报告，所需费用由中标人在投标时综合考虑，招标人不再另行增加费用。 </w:t>
      </w:r>
    </w:p>
    <w:p w14:paraId="5E735B7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17.26 工程完工后，为了本项目整体竣工验收的需要，中标人必须在招标人的统筹安排下，与为本项目其他工程服务的单位进行协同配合，做好竣工验收的各项工作，交付的工程必须符合各专业工程的相关要求。 </w:t>
      </w:r>
    </w:p>
    <w:p w14:paraId="4EA8A35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17.27 对中标人违反《关于加强市本级政府投资项目财政投资评审监督管理的实施意见》(韶府办发函〔2021〕32 号)，造成项目投资失控或浪费的，建设行政主管部门将在市场诚信管理、市场准入、资质管理等方面，依法对其进行相应处理，并责成项目招标人按合同约定予以相应处罚。  </w:t>
      </w:r>
    </w:p>
    <w:p w14:paraId="529953D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17.28 中标人如响应招标文件自愿助力百千万工程公益性项目承诺，中标后自愿公益捐建（捐赠或配建）专项用于招标人指定或双方协商一致的、与广东省“百千万工程”相关的公益项目，招标人不支付任何费用。</w:t>
      </w:r>
    </w:p>
    <w:p w14:paraId="33915F43">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519218EC">
      <w:pPr>
        <w:pStyle w:val="14"/>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44D15A">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auto"/>
          <w:spacing w:val="0"/>
          <w:sz w:val="24"/>
          <w:szCs w:val="24"/>
          <w:highlight w:val="none"/>
        </w:rPr>
      </w:pPr>
      <w:bookmarkStart w:id="154" w:name="bookmark86"/>
      <w:bookmarkEnd w:id="154"/>
      <w:bookmarkStart w:id="155" w:name="_Toc29932"/>
      <w:r>
        <w:rPr>
          <w:rFonts w:hint="eastAsia" w:ascii="宋体" w:hAnsi="宋体" w:eastAsia="宋体" w:cs="宋体"/>
          <w:b/>
          <w:bCs/>
          <w:color w:val="auto"/>
          <w:spacing w:val="0"/>
          <w:sz w:val="24"/>
          <w:szCs w:val="24"/>
          <w:highlight w:val="none"/>
        </w:rPr>
        <w:t>第三章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拟签订合同的主要条款</w:t>
      </w:r>
      <w:bookmarkEnd w:id="155"/>
    </w:p>
    <w:p w14:paraId="59E2DAE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D630A5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F55B533">
      <w:pPr>
        <w:pStyle w:val="3"/>
        <w:wordWrap w:val="0"/>
        <w:autoSpaceDE/>
        <w:autoSpaceDN/>
        <w:snapToGrid w:val="0"/>
        <w:spacing w:line="360" w:lineRule="auto"/>
        <w:jc w:val="both"/>
        <w:rPr>
          <w:rFonts w:hint="eastAsia" w:ascii="宋体" w:hAnsi="宋体" w:eastAsia="宋体" w:cs="宋体"/>
          <w:b/>
          <w:snapToGrid w:val="0"/>
          <w:color w:val="000000"/>
          <w:sz w:val="24"/>
          <w:szCs w:val="24"/>
          <w:highlight w:val="none"/>
        </w:rPr>
      </w:pPr>
      <w:bookmarkStart w:id="156" w:name="_Toc20638"/>
      <w:bookmarkStart w:id="157" w:name="_Toc16306"/>
      <w:bookmarkStart w:id="158" w:name="_Toc31948"/>
      <w:bookmarkStart w:id="159" w:name="_Toc8493"/>
      <w:bookmarkStart w:id="160" w:name="_Toc30819"/>
      <w:r>
        <w:rPr>
          <w:rFonts w:hint="eastAsia" w:ascii="宋体" w:hAnsi="宋体" w:eastAsia="宋体" w:cs="宋体"/>
          <w:b/>
          <w:snapToGrid w:val="0"/>
          <w:color w:val="000000"/>
          <w:sz w:val="24"/>
          <w:szCs w:val="24"/>
          <w:highlight w:val="none"/>
        </w:rPr>
        <w:t>1．工程承包方式</w:t>
      </w:r>
      <w:bookmarkEnd w:id="156"/>
      <w:bookmarkEnd w:id="157"/>
      <w:bookmarkEnd w:id="158"/>
      <w:bookmarkEnd w:id="159"/>
      <w:bookmarkEnd w:id="160"/>
    </w:p>
    <w:p w14:paraId="60EFB696">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1.1</w:t>
      </w:r>
      <w:r>
        <w:rPr>
          <w:rFonts w:hint="eastAsia" w:ascii="宋体" w:hAnsi="宋体" w:eastAsia="宋体" w:cs="宋体"/>
          <w:snapToGrid w:val="0"/>
          <w:color w:val="000000"/>
          <w:kern w:val="0"/>
          <w:sz w:val="24"/>
          <w:szCs w:val="24"/>
          <w:highlight w:val="none"/>
        </w:rPr>
        <w:t xml:space="preserve"> 承包人以中标价按包工包料、包质量、包安全包文明施工、包工期方式总承包施工，不允许转包和违法分包，如果确需分包须与发包人协商，在得到发包人和监理单位同意后报建设行政主管部门备案。</w:t>
      </w:r>
    </w:p>
    <w:p w14:paraId="2293E259">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1.1.1</w:t>
      </w:r>
      <w:r>
        <w:rPr>
          <w:rFonts w:hint="eastAsia" w:ascii="宋体" w:hAnsi="宋体" w:eastAsia="宋体" w:cs="宋体"/>
          <w:snapToGrid w:val="0"/>
          <w:color w:val="000000"/>
          <w:kern w:val="0"/>
          <w:sz w:val="24"/>
          <w:szCs w:val="24"/>
          <w:highlight w:val="none"/>
        </w:rPr>
        <w:t xml:space="preserve"> 包工包料：材料符合招标文件要求并报验使用；办理用工保险。</w:t>
      </w:r>
    </w:p>
    <w:p w14:paraId="6E93891E">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1.1.2</w:t>
      </w:r>
      <w:r>
        <w:rPr>
          <w:rFonts w:hint="eastAsia" w:ascii="宋体" w:hAnsi="宋体" w:eastAsia="宋体" w:cs="宋体"/>
          <w:snapToGrid w:val="0"/>
          <w:color w:val="000000"/>
          <w:kern w:val="0"/>
          <w:sz w:val="24"/>
          <w:szCs w:val="24"/>
          <w:highlight w:val="none"/>
        </w:rPr>
        <w:t xml:space="preserve"> 包质量：符合招标文件要求。</w:t>
      </w:r>
    </w:p>
    <w:p w14:paraId="77CBC951">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1.1.3</w:t>
      </w:r>
      <w:r>
        <w:rPr>
          <w:rFonts w:hint="eastAsia" w:ascii="宋体" w:hAnsi="宋体" w:eastAsia="宋体" w:cs="宋体"/>
          <w:snapToGrid w:val="0"/>
          <w:color w:val="000000"/>
          <w:kern w:val="0"/>
          <w:sz w:val="24"/>
          <w:szCs w:val="24"/>
          <w:highlight w:val="none"/>
        </w:rPr>
        <w:t xml:space="preserve"> 包安全包文明施工：符合招标文件要求。</w:t>
      </w:r>
    </w:p>
    <w:p w14:paraId="236752E9">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 xml:space="preserve">1.1.4 </w:t>
      </w:r>
      <w:r>
        <w:rPr>
          <w:rFonts w:hint="eastAsia" w:ascii="宋体" w:hAnsi="宋体" w:eastAsia="宋体" w:cs="宋体"/>
          <w:snapToGrid w:val="0"/>
          <w:color w:val="000000"/>
          <w:kern w:val="0"/>
          <w:sz w:val="24"/>
          <w:szCs w:val="24"/>
          <w:highlight w:val="none"/>
        </w:rPr>
        <w:t>包工期：本招标项目施工必须在招标工期内完成。</w:t>
      </w:r>
    </w:p>
    <w:p w14:paraId="79602AFB">
      <w:pPr>
        <w:pStyle w:val="3"/>
        <w:wordWrap w:val="0"/>
        <w:autoSpaceDE/>
        <w:autoSpaceDN/>
        <w:snapToGrid w:val="0"/>
        <w:spacing w:line="360" w:lineRule="auto"/>
        <w:jc w:val="both"/>
        <w:rPr>
          <w:rFonts w:hint="eastAsia" w:ascii="宋体" w:hAnsi="宋体" w:eastAsia="宋体" w:cs="宋体"/>
          <w:b/>
          <w:snapToGrid w:val="0"/>
          <w:color w:val="000000"/>
          <w:sz w:val="24"/>
          <w:szCs w:val="24"/>
          <w:highlight w:val="none"/>
        </w:rPr>
      </w:pPr>
      <w:bookmarkStart w:id="161" w:name="_Toc14656"/>
      <w:bookmarkStart w:id="162" w:name="_Toc28909"/>
      <w:bookmarkStart w:id="163" w:name="_Toc10246"/>
      <w:bookmarkStart w:id="164" w:name="_Toc16130"/>
      <w:bookmarkStart w:id="165" w:name="_Toc5555"/>
      <w:bookmarkStart w:id="166" w:name="_Toc14079373"/>
      <w:bookmarkStart w:id="167" w:name="_Toc4363"/>
      <w:r>
        <w:rPr>
          <w:rFonts w:hint="eastAsia" w:ascii="宋体" w:hAnsi="宋体" w:eastAsia="宋体" w:cs="宋体"/>
          <w:b/>
          <w:snapToGrid w:val="0"/>
          <w:color w:val="000000"/>
          <w:sz w:val="24"/>
          <w:szCs w:val="24"/>
          <w:highlight w:val="none"/>
        </w:rPr>
        <w:t>2．工程结算原则</w:t>
      </w:r>
      <w:bookmarkEnd w:id="161"/>
      <w:bookmarkEnd w:id="162"/>
      <w:bookmarkEnd w:id="163"/>
      <w:bookmarkEnd w:id="164"/>
      <w:bookmarkEnd w:id="165"/>
    </w:p>
    <w:p w14:paraId="2DDB44DA">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2.1</w:t>
      </w:r>
      <w:r>
        <w:rPr>
          <w:rFonts w:hint="eastAsia" w:ascii="宋体" w:hAnsi="宋体" w:eastAsia="宋体" w:cs="宋体"/>
          <w:snapToGrid w:val="0"/>
          <w:color w:val="000000"/>
          <w:kern w:val="0"/>
          <w:sz w:val="24"/>
          <w:szCs w:val="24"/>
          <w:highlight w:val="none"/>
        </w:rPr>
        <w:t xml:space="preserve"> 承包人的投标总价为中标价，即为签约合同价。</w:t>
      </w:r>
    </w:p>
    <w:p w14:paraId="650B9589">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2.2</w:t>
      </w:r>
      <w:r>
        <w:rPr>
          <w:rFonts w:hint="eastAsia" w:ascii="宋体" w:hAnsi="宋体" w:eastAsia="宋体" w:cs="宋体"/>
          <w:snapToGrid w:val="0"/>
          <w:color w:val="000000"/>
          <w:kern w:val="0"/>
          <w:sz w:val="24"/>
          <w:szCs w:val="24"/>
          <w:highlight w:val="none"/>
        </w:rPr>
        <w:t xml:space="preserve"> 招标工程量清单标明的工程量是投标人投标报价的共同基础，竣工结算的工程量按</w:t>
      </w:r>
      <w:r>
        <w:rPr>
          <w:rFonts w:hint="eastAsia" w:ascii="宋体" w:hAnsi="宋体" w:eastAsia="宋体" w:cs="宋体"/>
          <w:snapToGrid w:val="0"/>
          <w:color w:val="000000"/>
          <w:kern w:val="0"/>
          <w:sz w:val="24"/>
          <w:szCs w:val="24"/>
          <w:highlight w:val="none"/>
          <w:lang w:eastAsia="zh-CN"/>
        </w:rPr>
        <w:t>《建设工程工程量清单计价标准》（GB/T50500—2024）</w:t>
      </w:r>
      <w:r>
        <w:rPr>
          <w:rFonts w:hint="eastAsia" w:ascii="宋体" w:hAnsi="宋体" w:eastAsia="宋体" w:cs="宋体"/>
          <w:snapToGrid w:val="0"/>
          <w:color w:val="000000"/>
          <w:kern w:val="0"/>
          <w:sz w:val="24"/>
          <w:szCs w:val="24"/>
          <w:highlight w:val="none"/>
        </w:rPr>
        <w:t>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60FD0811">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w:t>
      </w:r>
      <w:r>
        <w:rPr>
          <w:rFonts w:hint="eastAsia" w:ascii="宋体" w:hAnsi="宋体" w:eastAsia="宋体" w:cs="宋体"/>
          <w:snapToGrid w:val="0"/>
          <w:color w:val="000000"/>
          <w:kern w:val="0"/>
          <w:sz w:val="24"/>
          <w:szCs w:val="24"/>
          <w:highlight w:val="none"/>
        </w:rPr>
        <w:t xml:space="preserve"> 施工合同履行期间，若出现下列情形的，发、承包双方应当按照以下规定调整合同价款：</w:t>
      </w:r>
    </w:p>
    <w:p w14:paraId="46149C60">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2.3.1</w:t>
      </w:r>
      <w:r>
        <w:rPr>
          <w:rFonts w:hint="eastAsia" w:ascii="宋体" w:hAnsi="宋体" w:eastAsia="宋体" w:cs="宋体"/>
          <w:snapToGrid w:val="0"/>
          <w:color w:val="000000"/>
          <w:kern w:val="0"/>
          <w:sz w:val="24"/>
          <w:szCs w:val="24"/>
          <w:highlight w:val="none"/>
        </w:rPr>
        <w:t xml:space="preserve"> 法律法规变化</w:t>
      </w:r>
    </w:p>
    <w:p w14:paraId="263545EA">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2.3.1.1</w:t>
      </w:r>
      <w:r>
        <w:rPr>
          <w:rFonts w:hint="eastAsia" w:ascii="宋体" w:hAnsi="宋体" w:eastAsia="宋体" w:cs="宋体"/>
          <w:snapToGrid w:val="0"/>
          <w:color w:val="000000"/>
          <w:kern w:val="0"/>
          <w:sz w:val="24"/>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3E23614E">
      <w:pPr>
        <w:wordWrap w:val="0"/>
        <w:adjustRightInd w:val="0"/>
        <w:snapToGrid w:val="0"/>
        <w:spacing w:line="360" w:lineRule="auto"/>
        <w:ind w:firstLine="48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注：本招标文件所称“基准日”，均指投标文件递交截止时间（见第一章第二节“重要事项时间地点一览表”）前28天。</w:t>
      </w:r>
      <w:r>
        <w:rPr>
          <w:rFonts w:hint="eastAsia" w:ascii="宋体" w:hAnsi="宋体" w:eastAsia="宋体" w:cs="宋体"/>
          <w:b/>
          <w:bCs/>
          <w:snapToGrid w:val="0"/>
          <w:color w:val="000000"/>
          <w:kern w:val="0"/>
          <w:sz w:val="24"/>
          <w:szCs w:val="24"/>
          <w:highlight w:val="none"/>
          <w:lang w:val="en-US" w:eastAsia="zh-CN"/>
        </w:rPr>
        <w:t>本项目最高投标限价材料价格计取基期按照2026年2月执行。</w:t>
      </w:r>
    </w:p>
    <w:p w14:paraId="01BD4913">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2.3.1.2</w:t>
      </w:r>
      <w:r>
        <w:rPr>
          <w:rFonts w:hint="eastAsia" w:ascii="宋体" w:hAnsi="宋体" w:eastAsia="宋体" w:cs="宋体"/>
          <w:snapToGrid w:val="0"/>
          <w:color w:val="000000"/>
          <w:kern w:val="0"/>
          <w:sz w:val="24"/>
          <w:szCs w:val="24"/>
          <w:highlight w:val="none"/>
        </w:rPr>
        <w:t xml:space="preserve"> 因承包人原因导致工程延误，本章第</w:t>
      </w:r>
      <w:r>
        <w:rPr>
          <w:rFonts w:hint="eastAsia" w:ascii="宋体" w:hAnsi="宋体" w:eastAsia="宋体" w:cs="宋体"/>
          <w:b/>
          <w:bCs/>
          <w:snapToGrid w:val="0"/>
          <w:color w:val="000000"/>
          <w:kern w:val="0"/>
          <w:sz w:val="24"/>
          <w:szCs w:val="24"/>
          <w:highlight w:val="none"/>
        </w:rPr>
        <w:t>2.3.1.1</w:t>
      </w:r>
      <w:r>
        <w:rPr>
          <w:rFonts w:hint="eastAsia" w:ascii="宋体" w:hAnsi="宋体" w:eastAsia="宋体" w:cs="宋体"/>
          <w:snapToGrid w:val="0"/>
          <w:color w:val="000000"/>
          <w:kern w:val="0"/>
          <w:sz w:val="24"/>
          <w:szCs w:val="24"/>
          <w:highlight w:val="none"/>
        </w:rPr>
        <w:t>子目中的法定机构根据国家法律法规变化发布新规的时间在合同工程原定竣工时间之后的，合同价款调增的不予调整，合同价款调减的予以调整。</w:t>
      </w:r>
    </w:p>
    <w:p w14:paraId="3279C732">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2.3.2</w:t>
      </w:r>
      <w:r>
        <w:rPr>
          <w:rFonts w:hint="eastAsia" w:ascii="宋体" w:hAnsi="宋体" w:eastAsia="宋体" w:cs="宋体"/>
          <w:snapToGrid w:val="0"/>
          <w:color w:val="000000"/>
          <w:kern w:val="0"/>
          <w:sz w:val="24"/>
          <w:szCs w:val="24"/>
          <w:highlight w:val="none"/>
        </w:rPr>
        <w:t xml:space="preserve"> 工程量偏差或变化</w:t>
      </w:r>
    </w:p>
    <w:p w14:paraId="153E1A42">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bCs/>
          <w:snapToGrid w:val="0"/>
          <w:color w:val="000000"/>
          <w:kern w:val="0"/>
          <w:sz w:val="24"/>
          <w:szCs w:val="24"/>
          <w:highlight w:val="none"/>
        </w:rPr>
        <w:t>2.3.2.1</w:t>
      </w:r>
      <w:r>
        <w:rPr>
          <w:rFonts w:hint="eastAsia" w:ascii="宋体" w:hAnsi="宋体" w:eastAsia="宋体" w:cs="宋体"/>
          <w:snapToGrid w:val="0"/>
          <w:color w:val="000000"/>
          <w:kern w:val="0"/>
          <w:sz w:val="24"/>
          <w:szCs w:val="24"/>
          <w:highlight w:val="none"/>
        </w:rPr>
        <w:t xml:space="preserve"> </w:t>
      </w:r>
      <w:r>
        <w:rPr>
          <w:rFonts w:hint="eastAsia" w:ascii="宋体" w:hAnsi="宋体" w:eastAsia="宋体" w:cs="宋体"/>
          <w:snapToGrid w:val="0"/>
          <w:color w:val="000000"/>
          <w:kern w:val="0"/>
          <w:sz w:val="24"/>
          <w:szCs w:val="24"/>
          <w:highlight w:val="none"/>
          <w:lang w:val="en-US" w:eastAsia="zh-CN"/>
        </w:rPr>
        <w:t>合同履行期间，当应予计算的实际工程量与招标工程量清单出现偏差或因其他工程变更引起已标价工程量清单项目的工程数量发生变化时，综合单价应予调整，</w:t>
      </w:r>
      <w:r>
        <w:rPr>
          <w:rFonts w:hint="eastAsia" w:ascii="宋体" w:hAnsi="宋体" w:eastAsia="宋体" w:cs="宋体"/>
          <w:b/>
          <w:bCs/>
          <w:snapToGrid w:val="0"/>
          <w:color w:val="000000"/>
          <w:kern w:val="0"/>
          <w:sz w:val="24"/>
          <w:szCs w:val="24"/>
          <w:highlight w:val="none"/>
          <w:lang w:val="en-US" w:eastAsia="zh-CN"/>
        </w:rPr>
        <w:t>调整后的综合单价为计算结算价的依据，综合单价和工程量计算方式按照以下规定调整：</w:t>
      </w:r>
    </w:p>
    <w:p w14:paraId="64FEC0AB">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（一）属于合理报价的清单项目：①工程量偏差或变化在 15%以内（含 15%）的，按承包人的综合单价不予调整。②工程量偏差或变化超过 15%的，工程量增加超出 15%的部分，其综合单价以该分部分项工程量清单项目承包人投标的综合单价为基价调低 3 %；工程量减少15%以上时，减少后剩余部分的工程量的综合单价以该分部分项工程量清单项目承包人投标的综合单价为基价调高 3 %。</w:t>
      </w:r>
    </w:p>
    <w:p w14:paraId="47B6695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（二）属于不平衡报价的清单项目：①工程量偏差或变化造成增加的工程量，当 P0＜P1×（1-L）×（1-15%）时，综合单价按照 P1×（1-L）×（1-15%）调整；当 P0＞P1×（1+15%）时，综合单价按照 P1×（1+15%）调整。②工程量偏差或变化造成工程量减少时，减少后剩余部分的工程量的综合单价按承包人的综合单价不予调整。（以上 P0、P1、L 的定义按第二章 中标人须知 4.2.4 不平衡报价的认定条款）</w:t>
      </w:r>
    </w:p>
    <w:p w14:paraId="1D1E730A">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2.3.2.2</w:t>
      </w:r>
      <w:r>
        <w:rPr>
          <w:rFonts w:hint="eastAsia" w:ascii="宋体" w:hAnsi="宋体" w:eastAsia="宋体" w:cs="宋体"/>
          <w:snapToGrid w:val="0"/>
          <w:color w:val="000000"/>
          <w:kern w:val="0"/>
          <w:sz w:val="24"/>
          <w:szCs w:val="24"/>
          <w:highlight w:val="none"/>
        </w:rPr>
        <w:t xml:space="preserve"> 如果工程量出现本章第</w:t>
      </w:r>
      <w:r>
        <w:rPr>
          <w:rFonts w:hint="eastAsia" w:ascii="宋体" w:hAnsi="宋体" w:eastAsia="宋体" w:cs="宋体"/>
          <w:b/>
          <w:bCs/>
          <w:snapToGrid w:val="0"/>
          <w:color w:val="000000"/>
          <w:kern w:val="0"/>
          <w:sz w:val="24"/>
          <w:szCs w:val="24"/>
          <w:highlight w:val="none"/>
        </w:rPr>
        <w:t>2.3.2.1</w:t>
      </w:r>
      <w:r>
        <w:rPr>
          <w:rFonts w:hint="eastAsia" w:ascii="宋体" w:hAnsi="宋体" w:eastAsia="宋体" w:cs="宋体"/>
          <w:snapToGrid w:val="0"/>
          <w:color w:val="000000"/>
          <w:kern w:val="0"/>
          <w:sz w:val="24"/>
          <w:szCs w:val="24"/>
          <w:highlight w:val="none"/>
        </w:rPr>
        <w:t>子目的变化，且该变化引起相关措施项目相应发生变化时，按系数或单一总价方式计价的，工程量增加的措施项目费调增，工程量减少的措施项目费调减。</w:t>
      </w:r>
    </w:p>
    <w:p w14:paraId="3B3D9012">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2.3.3</w:t>
      </w:r>
      <w:r>
        <w:rPr>
          <w:rFonts w:hint="eastAsia" w:ascii="宋体" w:hAnsi="宋体" w:eastAsia="宋体" w:cs="宋体"/>
          <w:snapToGrid w:val="0"/>
          <w:color w:val="000000"/>
          <w:kern w:val="0"/>
          <w:sz w:val="24"/>
          <w:szCs w:val="24"/>
          <w:highlight w:val="none"/>
        </w:rPr>
        <w:t xml:space="preserve"> 工程变更</w:t>
      </w:r>
    </w:p>
    <w:p w14:paraId="5AFB43E0">
      <w:pPr>
        <w:keepNext w:val="0"/>
        <w:keepLines w:val="0"/>
        <w:widowControl/>
        <w:suppressLineNumbers w:val="0"/>
        <w:spacing w:line="360" w:lineRule="auto"/>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2.3.3.1 </w:t>
      </w:r>
      <w:r>
        <w:rPr>
          <w:rFonts w:hint="eastAsia" w:ascii="宋体" w:hAnsi="宋体" w:eastAsia="宋体" w:cs="宋体"/>
          <w:color w:val="000000"/>
          <w:kern w:val="0"/>
          <w:sz w:val="24"/>
          <w:szCs w:val="24"/>
          <w:highlight w:val="none"/>
          <w:lang w:val="en-US" w:eastAsia="zh-CN" w:bidi="ar"/>
        </w:rPr>
        <w:t xml:space="preserve">合同履行期间，因工程变更引起已标价工程量清单项目发生变化时，在总价不变的情况下，按照以下规定调整： </w:t>
      </w:r>
    </w:p>
    <w:p w14:paraId="4B98C14A">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（1）已标价工程量清单中有适用于变更工程项目的：①属于合理报价的清单项目，采用承包人的综合单价。②属于不平衡报价的清单项目：当 P0＜P1×（1-L）×（1-15%）时，该类项目的综合单价按照 P1×（1-L）×（1-15%）调整；当 P0＞P1×（1+15%）时，该类项目的综合单价按照 P1×（1+15%）调整。（以上 P0、P1、L 的定义按第二章 中标人须知 4.2.4 不平衡报价的认定条款） </w:t>
      </w:r>
    </w:p>
    <w:p w14:paraId="750C9A7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（2）已标价工程量清单中没有适用但有类似于变更工程项目的，可在合理范围内参照类似项目的单价。但如果被参考的类似项目属于不平衡报价的清单项目：当 P0＜P1×（1-L）×（1-15%）时，该类项目的综合单价按照 P1×（1-L）×（1-15%）调整；当 P0＞P1×（1+ 15%）时，该类项目的综合单价按照 P1×（1+15%）调整。（以上 P0、P1、L 的定义按第二章中标人须知 4.2.4 不平衡报价的认定条款） </w:t>
      </w:r>
    </w:p>
    <w:p w14:paraId="31EFD196">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 </w:t>
      </w:r>
    </w:p>
    <w:p w14:paraId="6C009DF8">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中标下浮率=【1-(中标价-报价含税安全生产措施费-固定报价)÷(最高投标限价-最高投标限价含税安全生产措施费-固定报价)】×100% </w:t>
      </w:r>
    </w:p>
    <w:p w14:paraId="670C9CF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4）已标价工程量清单中没有适用也没有类似于变更工程项目，且施工当月项目所在地工程造价管理机构发布的价格信息缺项的，由承包人根据变更工程资料、计量规则、计价办法和通过依次参考清远、肇庆、佛山、广州、东莞等广东省内地区信息价、厂商询价、市场调查等取得有合法依据的市场价格提出变更工程项目的单价，报发包人确认后调整（采用同等四类地区信息价的不下浮，若同等四类城市均没有信息价需采用其他城市信息价、厂商询价或市场调查的则按 80%执行）。 </w:t>
      </w:r>
    </w:p>
    <w:p w14:paraId="2FD9E992">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2.3.3.2</w:t>
      </w:r>
      <w:r>
        <w:rPr>
          <w:rFonts w:hint="eastAsia" w:ascii="宋体" w:hAnsi="宋体" w:eastAsia="宋体" w:cs="宋体"/>
          <w:color w:val="000000"/>
          <w:kern w:val="0"/>
          <w:sz w:val="24"/>
          <w:szCs w:val="24"/>
          <w:highlight w:val="none"/>
          <w:lang w:val="en-US" w:eastAsia="zh-CN" w:bidi="ar"/>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 </w:t>
      </w:r>
    </w:p>
    <w:p w14:paraId="3446B4C9">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由于工程变更引起的措施项目变化，应按发包人批准的承包人专为工程变更拟定的实施方案或实际发生内容，计算其因工程变更而需要增加投入的施工管理人员、增加搭设的临时设施及其他增加的施工措施工程（工作)量。 </w:t>
      </w:r>
    </w:p>
    <w:p w14:paraId="3319C71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2）措施项目费用采用总价包干方式，投标人投标的措施方案被视为是合理可行的，其报价被视为已包含履行合同责任和义务、全面完成招标工程所需发生的全部措施项目费用。中标后措施项目费不因总价合同的暂定数量清单项目价款调整、单价合同的工程量清单缺陷修正而调整，实施过程中不因投标人原因导致的措施方案不合理不可行、措施项目错漏与偏差、工作内容增减、物价波动而调整，结算时仅在非承包人原因导致措施项目实质性变化引起费用增减而相应调整，调整方式按《建设工程工程量清单计价标准》（GB/T50500-2024）执行。 </w:t>
      </w:r>
    </w:p>
    <w:p w14:paraId="08380A1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（3）采用单价计算的措施项目费，应按照实际发生变化的措施项目，按本章第2.3.3.1 </w:t>
      </w:r>
    </w:p>
    <w:p w14:paraId="6A4373B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子目的规定确定单价。 </w:t>
      </w:r>
    </w:p>
    <w:p w14:paraId="5A508412">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（4）按总价或系数计算的措施项目费，应按照实际发生变化的措施项目费调整并考虑中标下浮率因素，即调整金额＝按照实际变化调整后的金额×（1-中标下浮率）。 </w:t>
      </w:r>
    </w:p>
    <w:p w14:paraId="43FCE1B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如果承包人未事先将拟实施的方案提交发包人确认，视为工程变更不引起措施项目费的调整或承包人放弃调整措施项目费的权利。 </w:t>
      </w:r>
    </w:p>
    <w:p w14:paraId="78147BA5">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2.3.3.3 </w:t>
      </w:r>
      <w:r>
        <w:rPr>
          <w:rFonts w:hint="eastAsia" w:ascii="宋体" w:hAnsi="宋体" w:eastAsia="宋体" w:cs="宋体"/>
          <w:color w:val="000000"/>
          <w:kern w:val="0"/>
          <w:sz w:val="24"/>
          <w:szCs w:val="24"/>
          <w:highlight w:val="none"/>
          <w:lang w:val="en-US" w:eastAsia="zh-CN" w:bidi="ar"/>
        </w:rPr>
        <w:t>招标人有权根据本项目建设的实际情况调整建设规模或变更、减少建设内容，如出现因特殊原因取消某子项目的建设，则该子项目未完成的工作内容及费用相应扣减，中标人应在投标报价中综合考虑该因素，中标后不得因此向招标人提出额外的费用补偿或索赔。</w:t>
      </w:r>
    </w:p>
    <w:p w14:paraId="76BEBC2E">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2.3.4</w:t>
      </w:r>
      <w:r>
        <w:rPr>
          <w:rFonts w:hint="eastAsia" w:ascii="宋体" w:hAnsi="宋体" w:eastAsia="宋体" w:cs="宋体"/>
          <w:snapToGrid w:val="0"/>
          <w:color w:val="000000"/>
          <w:kern w:val="0"/>
          <w:sz w:val="24"/>
          <w:szCs w:val="24"/>
          <w:highlight w:val="none"/>
        </w:rPr>
        <w:t xml:space="preserve"> 项目特征不符</w:t>
      </w:r>
    </w:p>
    <w:p w14:paraId="11D2876A">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Fonts w:hint="eastAsia" w:ascii="宋体" w:hAnsi="宋体" w:eastAsia="宋体" w:cs="宋体"/>
          <w:b/>
          <w:bCs/>
          <w:snapToGrid w:val="0"/>
          <w:color w:val="000000"/>
          <w:kern w:val="0"/>
          <w:sz w:val="24"/>
          <w:szCs w:val="24"/>
          <w:highlight w:val="none"/>
        </w:rPr>
        <w:t>2.3.3</w:t>
      </w:r>
      <w:r>
        <w:rPr>
          <w:rFonts w:hint="eastAsia" w:ascii="宋体" w:hAnsi="宋体" w:eastAsia="宋体" w:cs="宋体"/>
          <w:snapToGrid w:val="0"/>
          <w:color w:val="000000"/>
          <w:kern w:val="0"/>
          <w:sz w:val="24"/>
          <w:szCs w:val="24"/>
          <w:highlight w:val="none"/>
        </w:rPr>
        <w:t>目相关条款的规定重新确定相应工程量清单项目的综合单价，并调整合同价款。</w:t>
      </w:r>
    </w:p>
    <w:p w14:paraId="29A6E48E">
      <w:pPr>
        <w:wordWrap w:val="0"/>
        <w:adjustRightInd w:val="0"/>
        <w:snapToGrid w:val="0"/>
        <w:spacing w:line="360" w:lineRule="auto"/>
        <w:ind w:firstLine="48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2.3.5 招标工程量清单缺项</w:t>
      </w:r>
    </w:p>
    <w:p w14:paraId="3B31E467">
      <w:pPr>
        <w:keepNext w:val="0"/>
        <w:keepLines w:val="0"/>
        <w:widowControl/>
        <w:suppressLineNumbers w:val="0"/>
        <w:wordWrap w:val="0"/>
        <w:adjustRightInd w:val="0"/>
        <w:snapToGrid w:val="0"/>
        <w:spacing w:line="360" w:lineRule="auto"/>
        <w:ind w:firstLine="480"/>
        <w:jc w:val="left"/>
        <w:rPr>
          <w:rFonts w:hint="eastAsia" w:ascii="宋体" w:hAnsi="宋体" w:eastAsia="宋体" w:cs="宋体"/>
          <w:b w:val="0"/>
          <w:bCs w:val="0"/>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2.3.5.1 </w:t>
      </w:r>
      <w:r>
        <w:rPr>
          <w:rFonts w:hint="eastAsia" w:ascii="宋体" w:hAnsi="宋体" w:eastAsia="宋体" w:cs="宋体"/>
          <w:b w:val="0"/>
          <w:bCs w:val="0"/>
          <w:snapToGrid w:val="0"/>
          <w:color w:val="000000"/>
          <w:kern w:val="0"/>
          <w:sz w:val="24"/>
          <w:szCs w:val="24"/>
          <w:highlight w:val="none"/>
          <w:lang w:val="en-US" w:eastAsia="zh-CN" w:bidi="ar"/>
        </w:rPr>
        <w:t xml:space="preserve">合同履行期间，由于招标工程量清单中缺项，新增分部分项工程清单项目，应按照本章第 </w:t>
      </w:r>
      <w:r>
        <w:rPr>
          <w:rFonts w:hint="eastAsia" w:ascii="宋体" w:hAnsi="宋体" w:eastAsia="宋体" w:cs="宋体"/>
          <w:b/>
          <w:bCs/>
          <w:snapToGrid w:val="0"/>
          <w:color w:val="000000"/>
          <w:kern w:val="0"/>
          <w:sz w:val="24"/>
          <w:szCs w:val="24"/>
          <w:highlight w:val="none"/>
          <w:lang w:val="en-US" w:eastAsia="zh-CN" w:bidi="ar"/>
        </w:rPr>
        <w:t>2.3.3.1</w:t>
      </w:r>
      <w:r>
        <w:rPr>
          <w:rFonts w:hint="eastAsia" w:ascii="宋体" w:hAnsi="宋体" w:eastAsia="宋体" w:cs="宋体"/>
          <w:b w:val="0"/>
          <w:bCs w:val="0"/>
          <w:snapToGrid w:val="0"/>
          <w:color w:val="000000"/>
          <w:kern w:val="0"/>
          <w:sz w:val="24"/>
          <w:szCs w:val="24"/>
          <w:highlight w:val="none"/>
          <w:lang w:val="en-US" w:eastAsia="zh-CN" w:bidi="ar"/>
        </w:rPr>
        <w:t xml:space="preserve"> 子目的规定确定单价，并调整合同价款。 </w:t>
      </w:r>
    </w:p>
    <w:p w14:paraId="065DFDF3">
      <w:pPr>
        <w:keepNext w:val="0"/>
        <w:keepLines w:val="0"/>
        <w:widowControl/>
        <w:suppressLineNumbers w:val="0"/>
        <w:wordWrap w:val="0"/>
        <w:adjustRightInd w:val="0"/>
        <w:snapToGrid w:val="0"/>
        <w:spacing w:line="360" w:lineRule="auto"/>
        <w:ind w:firstLine="480"/>
        <w:jc w:val="left"/>
        <w:rPr>
          <w:rFonts w:hint="eastAsia" w:ascii="宋体" w:hAnsi="宋体" w:eastAsia="宋体" w:cs="宋体"/>
          <w:b w:val="0"/>
          <w:bCs w:val="0"/>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2.3.5.2 </w:t>
      </w:r>
      <w:r>
        <w:rPr>
          <w:rFonts w:hint="eastAsia" w:ascii="宋体" w:hAnsi="宋体" w:eastAsia="宋体" w:cs="宋体"/>
          <w:b w:val="0"/>
          <w:bCs w:val="0"/>
          <w:snapToGrid w:val="0"/>
          <w:color w:val="000000"/>
          <w:kern w:val="0"/>
          <w:sz w:val="24"/>
          <w:szCs w:val="24"/>
          <w:highlight w:val="none"/>
          <w:lang w:val="en-US" w:eastAsia="zh-CN" w:bidi="ar"/>
        </w:rPr>
        <w:t xml:space="preserve">新增分部分项工程清单项目后，引起措施项目发生变化的，应按照本章第 </w:t>
      </w:r>
      <w:r>
        <w:rPr>
          <w:rFonts w:hint="eastAsia" w:ascii="宋体" w:hAnsi="宋体" w:eastAsia="宋体" w:cs="宋体"/>
          <w:b/>
          <w:bCs/>
          <w:snapToGrid w:val="0"/>
          <w:color w:val="000000"/>
          <w:kern w:val="0"/>
          <w:sz w:val="24"/>
          <w:szCs w:val="24"/>
          <w:highlight w:val="none"/>
          <w:lang w:val="en-US" w:eastAsia="zh-CN" w:bidi="ar"/>
        </w:rPr>
        <w:t>2.3.3.2</w:t>
      </w:r>
      <w:r>
        <w:rPr>
          <w:rFonts w:hint="eastAsia" w:ascii="宋体" w:hAnsi="宋体" w:eastAsia="宋体" w:cs="宋体"/>
          <w:b w:val="0"/>
          <w:bCs w:val="0"/>
          <w:snapToGrid w:val="0"/>
          <w:color w:val="000000"/>
          <w:kern w:val="0"/>
          <w:sz w:val="24"/>
          <w:szCs w:val="24"/>
          <w:highlight w:val="none"/>
          <w:lang w:val="en-US" w:eastAsia="zh-CN" w:bidi="ar"/>
        </w:rPr>
        <w:t xml:space="preserve"> 子目的规定，在承包人提交的实施方案被发包人批准后调整合同价款。 </w:t>
      </w:r>
    </w:p>
    <w:p w14:paraId="07FB310B">
      <w:pPr>
        <w:keepNext w:val="0"/>
        <w:keepLines w:val="0"/>
        <w:widowControl/>
        <w:suppressLineNumbers w:val="0"/>
        <w:wordWrap w:val="0"/>
        <w:adjustRightInd w:val="0"/>
        <w:snapToGrid w:val="0"/>
        <w:spacing w:line="360" w:lineRule="auto"/>
        <w:ind w:firstLine="480"/>
        <w:jc w:val="left"/>
        <w:rPr>
          <w:rFonts w:hint="eastAsia" w:ascii="宋体" w:hAnsi="宋体" w:eastAsia="宋体" w:cs="宋体"/>
          <w:b w:val="0"/>
          <w:bCs w:val="0"/>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2.3.5.3 </w:t>
      </w:r>
      <w:r>
        <w:rPr>
          <w:rFonts w:hint="eastAsia" w:ascii="宋体" w:hAnsi="宋体" w:eastAsia="宋体" w:cs="宋体"/>
          <w:b w:val="0"/>
          <w:bCs w:val="0"/>
          <w:snapToGrid w:val="0"/>
          <w:color w:val="000000"/>
          <w:kern w:val="0"/>
          <w:sz w:val="24"/>
          <w:szCs w:val="24"/>
          <w:highlight w:val="none"/>
          <w:lang w:val="en-US" w:eastAsia="zh-CN" w:bidi="ar"/>
        </w:rPr>
        <w:t>由于清单缺项引起措施项目变化或措施项目缺项的措施项目调整：除安全生产措施项目及以综合单价形式计价、在分部分项工程项目清单中所列属于措施项目的模板等工程及合同约定应予计量的其他措施项目,合同清单的措施项目清单及合同工期均不应予调整。</w:t>
      </w:r>
    </w:p>
    <w:p w14:paraId="1AE19214">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2.3.6</w:t>
      </w:r>
      <w:r>
        <w:rPr>
          <w:rFonts w:hint="eastAsia" w:ascii="宋体" w:hAnsi="宋体" w:eastAsia="宋体" w:cs="宋体"/>
          <w:bCs/>
          <w:snapToGrid w:val="0"/>
          <w:color w:val="000000"/>
          <w:kern w:val="0"/>
          <w:sz w:val="24"/>
          <w:szCs w:val="24"/>
          <w:highlight w:val="none"/>
        </w:rPr>
        <w:t xml:space="preserve"> 物价变化</w:t>
      </w:r>
    </w:p>
    <w:p w14:paraId="4C55A8AC">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2.3.6.1</w:t>
      </w:r>
      <w:r>
        <w:rPr>
          <w:rFonts w:hint="eastAsia" w:ascii="宋体" w:hAnsi="宋体" w:eastAsia="宋体" w:cs="宋体"/>
          <w:bCs/>
          <w:snapToGrid w:val="0"/>
          <w:color w:val="000000"/>
          <w:kern w:val="0"/>
          <w:sz w:val="24"/>
          <w:szCs w:val="24"/>
          <w:highlight w:val="none"/>
        </w:rPr>
        <w:t xml:space="preserve"> 合同履行期间，项目所在地工程造价管理机构发布的动态人工调整系数发生变化时，如果承包人投标报价中人工费（</w:t>
      </w:r>
      <w:r>
        <w:rPr>
          <w:rFonts w:hint="eastAsia" w:ascii="宋体" w:hAnsi="宋体" w:eastAsia="宋体" w:cs="宋体"/>
          <w:snapToGrid w:val="0"/>
          <w:color w:val="000000"/>
          <w:kern w:val="0"/>
          <w:sz w:val="24"/>
          <w:szCs w:val="24"/>
          <w:highlight w:val="none"/>
        </w:rPr>
        <w:t>以下简称“中标人工费”</w:t>
      </w:r>
      <w:r>
        <w:rPr>
          <w:rFonts w:hint="eastAsia" w:ascii="宋体" w:hAnsi="宋体" w:eastAsia="宋体" w:cs="宋体"/>
          <w:bCs/>
          <w:snapToGrid w:val="0"/>
          <w:color w:val="000000"/>
          <w:kern w:val="0"/>
          <w:sz w:val="24"/>
          <w:szCs w:val="24"/>
          <w:highlight w:val="none"/>
        </w:rPr>
        <w:t>）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55A2F422">
      <w:pPr>
        <w:wordWrap w:val="0"/>
        <w:adjustRightInd w:val="0"/>
        <w:snapToGrid w:val="0"/>
        <w:spacing w:line="360" w:lineRule="auto"/>
        <w:ind w:firstLine="480"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结算人工费＝中标人工费×F</w:t>
      </w:r>
      <w:r>
        <w:rPr>
          <w:rFonts w:hint="eastAsia" w:ascii="宋体" w:hAnsi="宋体" w:eastAsia="宋体" w:cs="宋体"/>
          <w:bCs/>
          <w:snapToGrid w:val="0"/>
          <w:color w:val="000000"/>
          <w:kern w:val="0"/>
          <w:sz w:val="24"/>
          <w:szCs w:val="24"/>
          <w:highlight w:val="none"/>
          <w:vertAlign w:val="subscript"/>
        </w:rPr>
        <w:t>1</w:t>
      </w:r>
    </w:p>
    <w:p w14:paraId="7C7416C0">
      <w:pPr>
        <w:wordWrap w:val="0"/>
        <w:adjustRightInd w:val="0"/>
        <w:snapToGrid w:val="0"/>
        <w:spacing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式中，F</w:t>
      </w:r>
      <w:r>
        <w:rPr>
          <w:rFonts w:hint="eastAsia" w:ascii="宋体" w:hAnsi="宋体" w:eastAsia="宋体" w:cs="宋体"/>
          <w:bCs/>
          <w:snapToGrid w:val="0"/>
          <w:color w:val="000000"/>
          <w:kern w:val="0"/>
          <w:sz w:val="24"/>
          <w:szCs w:val="24"/>
          <w:highlight w:val="none"/>
          <w:vertAlign w:val="subscript"/>
        </w:rPr>
        <w:t>1</w:t>
      </w:r>
      <w:r>
        <w:rPr>
          <w:rFonts w:hint="eastAsia" w:ascii="宋体" w:hAnsi="宋体" w:eastAsia="宋体" w:cs="宋体"/>
          <w:bCs/>
          <w:snapToGrid w:val="0"/>
          <w:color w:val="000000"/>
          <w:kern w:val="0"/>
          <w:sz w:val="24"/>
          <w:szCs w:val="24"/>
          <w:highlight w:val="none"/>
        </w:rPr>
        <w:t>为施工当月项目所在地工程造价管理机构发布的动态人工调整系数。</w:t>
      </w:r>
    </w:p>
    <w:p w14:paraId="63E48287">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2.3.6.2</w:t>
      </w:r>
      <w:r>
        <w:rPr>
          <w:rFonts w:hint="eastAsia" w:ascii="宋体" w:hAnsi="宋体" w:eastAsia="宋体" w:cs="宋体"/>
          <w:snapToGrid w:val="0"/>
          <w:color w:val="000000"/>
          <w:kern w:val="0"/>
          <w:sz w:val="24"/>
          <w:szCs w:val="24"/>
          <w:highlight w:val="none"/>
        </w:rPr>
        <w:t xml:space="preserve"> 本招标项目约定，材料、工程设备单价涨跌风险幅度值A为</w:t>
      </w:r>
      <w:r>
        <w:rPr>
          <w:rFonts w:hint="eastAsia" w:ascii="宋体" w:hAnsi="宋体" w:eastAsia="宋体" w:cs="宋体"/>
          <w:snapToGrid w:val="0"/>
          <w:color w:val="000000"/>
          <w:kern w:val="0"/>
          <w:sz w:val="24"/>
          <w:szCs w:val="24"/>
          <w:highlight w:val="none"/>
          <w:u w:val="single"/>
        </w:rPr>
        <w:t xml:space="preserve"> 5% </w:t>
      </w:r>
      <w:r>
        <w:rPr>
          <w:rFonts w:hint="eastAsia" w:ascii="宋体" w:hAnsi="宋体" w:eastAsia="宋体" w:cs="宋体"/>
          <w:snapToGrid w:val="0"/>
          <w:color w:val="000000"/>
          <w:kern w:val="0"/>
          <w:sz w:val="24"/>
          <w:szCs w:val="24"/>
          <w:highlight w:val="none"/>
        </w:rPr>
        <w:t>。合同履行期间，当《</w:t>
      </w:r>
      <w:r>
        <w:rPr>
          <w:rFonts w:hint="eastAsia" w:ascii="宋体" w:hAnsi="宋体" w:eastAsia="宋体" w:cs="宋体"/>
          <w:snapToGrid w:val="0"/>
          <w:color w:val="000000"/>
          <w:kern w:val="0"/>
          <w:sz w:val="24"/>
          <w:szCs w:val="24"/>
          <w:highlight w:val="none"/>
          <w:lang w:val="en-US" w:eastAsia="zh-CN"/>
        </w:rPr>
        <w:t>承包人提供可调价主要材料表一</w:t>
      </w:r>
      <w:r>
        <w:rPr>
          <w:rFonts w:hint="eastAsia" w:ascii="宋体" w:hAnsi="宋体" w:eastAsia="宋体" w:cs="宋体"/>
          <w:snapToGrid w:val="0"/>
          <w:color w:val="000000"/>
          <w:kern w:val="0"/>
          <w:sz w:val="24"/>
          <w:szCs w:val="24"/>
          <w:highlight w:val="none"/>
        </w:rPr>
        <w:t>》（详见招标工程量清单）中的材料、工程设备单价涨跌幅度等于或低于A值时，该材料、工程设备单价不予调整；超过A值时，其超过部分可以调整。相关费用按有关规定进行相应调整。</w:t>
      </w:r>
    </w:p>
    <w:p w14:paraId="7ABBBE5D">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a</w:t>
      </w:r>
      <w:r>
        <w:rPr>
          <w:rFonts w:hint="eastAsia" w:ascii="宋体" w:hAnsi="宋体" w:eastAsia="宋体" w:cs="宋体"/>
          <w:snapToGrid w:val="0"/>
          <w:color w:val="000000"/>
          <w:kern w:val="0"/>
          <w:sz w:val="24"/>
          <w:szCs w:val="24"/>
          <w:highlight w:val="none"/>
        </w:rPr>
        <w:t>．如果承包人投标报价中材料、工程设备单价（以下简称“中标单价”）低于基准日当月项目所在地工程造价管理机构发布的对应材料、工程设备单价（以下简称“基准单价”），该材料、工程设备的结算单价调整公式为：</w:t>
      </w:r>
    </w:p>
    <w:p w14:paraId="39F7D8CF">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25" o:spt="75" type="#_x0000_t75" style="height:33.95pt;width:200.95pt;" o:ole="t" filled="f" stroked="f" coordsize="21600,21600">
            <v:path/>
            <v:fill on="f" focussize="0,0"/>
            <v:stroke on="f"/>
            <v:imagedata r:id="rId30" o:title=""/>
            <o:lock v:ext="edit" grouping="f" rotation="f" text="f" aspectratio="t"/>
            <w10:wrap type="none"/>
            <w10:anchorlock/>
          </v:shape>
          <o:OLEObject Type="Embed" ProgID="Equation.KSEE3" ShapeID="_x0000_i1025" DrawAspect="Content" ObjectID="_1468075725" r:id="rId29">
            <o:LockedField>false</o:LockedField>
          </o:OLEObject>
        </w:object>
      </w:r>
    </w:p>
    <w:p w14:paraId="5907E1E5">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26" o:spt="75" type="#_x0000_t75" style="height:33.95pt;width:198.95pt;" o:ole="t" filled="f" stroked="f" coordsize="21600,21600">
            <v:path/>
            <v:fill on="f" focussize="0,0"/>
            <v:stroke on="f"/>
            <v:imagedata r:id="rId32" o:title=""/>
            <o:lock v:ext="edit" grouping="f" rotation="f" text="f" aspectratio="t"/>
            <w10:wrap type="none"/>
            <w10:anchorlock/>
          </v:shape>
          <o:OLEObject Type="Embed" ProgID="Equation.KSEE3" ShapeID="_x0000_i1026" DrawAspect="Content" ObjectID="_1468075726" r:id="rId31">
            <o:LockedField>false</o:LockedField>
          </o:OLEObject>
        </w:object>
      </w:r>
    </w:p>
    <w:p w14:paraId="5A245CA6">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b</w:t>
      </w:r>
      <w:r>
        <w:rPr>
          <w:rFonts w:hint="eastAsia" w:ascii="宋体" w:hAnsi="宋体" w:eastAsia="宋体" w:cs="宋体"/>
          <w:snapToGrid w:val="0"/>
          <w:color w:val="000000"/>
          <w:kern w:val="0"/>
          <w:sz w:val="24"/>
          <w:szCs w:val="24"/>
          <w:highlight w:val="none"/>
        </w:rPr>
        <w:t>．如果中标单价高于基准单价，该材料、工程设备的结算单价调整公式为：</w:t>
      </w:r>
    </w:p>
    <w:p w14:paraId="1404541A">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27" o:spt="75" type="#_x0000_t75" style="height:33.95pt;width:198.95pt;" o:ole="t" filled="f" stroked="f" coordsize="21600,21600">
            <v:path/>
            <v:fill on="f" focussize="0,0"/>
            <v:stroke on="f"/>
            <v:imagedata r:id="rId34" o:title=""/>
            <o:lock v:ext="edit" grouping="f" rotation="f" text="f" aspectratio="t"/>
            <w10:wrap type="none"/>
            <w10:anchorlock/>
          </v:shape>
          <o:OLEObject Type="Embed" ProgID="Equation.KSEE3" ShapeID="_x0000_i1027" DrawAspect="Content" ObjectID="_1468075727" r:id="rId33">
            <o:LockedField>false</o:LockedField>
          </o:OLEObject>
        </w:object>
      </w:r>
    </w:p>
    <w:p w14:paraId="2F0D12EE">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28" o:spt="75" type="#_x0000_t75" style="height:33.95pt;width:200.95pt;" o:ole="t" filled="f" stroked="f" coordsize="21600,21600">
            <v:path/>
            <v:fill on="f" focussize="0,0"/>
            <v:stroke on="f"/>
            <v:imagedata r:id="rId36" o:title=""/>
            <o:lock v:ext="edit" grouping="f" rotation="f" text="f" aspectratio="t"/>
            <w10:wrap type="none"/>
            <w10:anchorlock/>
          </v:shape>
          <o:OLEObject Type="Embed" ProgID="Equation.KSEE3" ShapeID="_x0000_i1028" DrawAspect="Content" ObjectID="_1468075728" r:id="rId35">
            <o:LockedField>false</o:LockedField>
          </o:OLEObject>
        </w:object>
      </w:r>
    </w:p>
    <w:p w14:paraId="2B6BE3EB">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c</w:t>
      </w:r>
      <w:r>
        <w:rPr>
          <w:rFonts w:hint="eastAsia" w:ascii="宋体" w:hAnsi="宋体" w:eastAsia="宋体" w:cs="宋体"/>
          <w:snapToGrid w:val="0"/>
          <w:color w:val="000000"/>
          <w:kern w:val="0"/>
          <w:sz w:val="24"/>
          <w:szCs w:val="24"/>
          <w:highlight w:val="none"/>
        </w:rPr>
        <w:t>．如果中标单价等于基准单价，该材料、工程设备的结算单价调整公式为：</w:t>
      </w:r>
    </w:p>
    <w:p w14:paraId="0E833F58">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29" o:spt="75" type="#_x0000_t75" style="height:33.95pt;width:200.95pt;" o:ole="t" filled="f" stroked="f" coordsize="21600,21600">
            <v:path/>
            <v:fill on="f" focussize="0,0"/>
            <v:stroke on="f"/>
            <v:imagedata r:id="rId38" o:title=""/>
            <o:lock v:ext="edit" grouping="f" rotation="f" text="f" aspectratio="t"/>
            <w10:wrap type="none"/>
            <w10:anchorlock/>
          </v:shape>
          <o:OLEObject Type="Embed" ProgID="Equation.KSEE3" ShapeID="_x0000_i1029" DrawAspect="Content" ObjectID="_1468075729" r:id="rId37">
            <o:LockedField>false</o:LockedField>
          </o:OLEObject>
        </w:object>
      </w:r>
    </w:p>
    <w:p w14:paraId="438E2306">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o:title=""/>
            <o:lock v:ext="edit" grouping="f" rotation="f" text="f" aspectratio="t"/>
            <w10:wrap type="none"/>
            <w10:anchorlock/>
          </v:shape>
          <o:OLEObject Type="Embed" ProgID="Equation.KSEE3" ShapeID="_x0000_i1030" DrawAspect="Content" ObjectID="_1468075730" r:id="rId39">
            <o:LockedField>false</o:LockedField>
          </o:OLEObject>
        </w:object>
      </w:r>
    </w:p>
    <w:p w14:paraId="5896CADE">
      <w:pPr>
        <w:wordWrap w:val="0"/>
        <w:adjustRightInd w:val="0"/>
        <w:snapToGrid w:val="0"/>
        <w:spacing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以上公式中，F1为中标单价；F0为基准单价、指项目所在地工程造价管理机构</w:t>
      </w:r>
      <w:r>
        <w:rPr>
          <w:rFonts w:hint="eastAsia" w:ascii="宋体" w:hAnsi="宋体" w:eastAsia="宋体" w:cs="宋体"/>
          <w:snapToGrid w:val="0"/>
          <w:color w:val="000000"/>
          <w:kern w:val="0"/>
          <w:sz w:val="24"/>
          <w:szCs w:val="24"/>
          <w:highlight w:val="none"/>
          <w:lang w:eastAsia="zh-CN"/>
        </w:rPr>
        <w:t>最高投标限价</w:t>
      </w:r>
      <w:r>
        <w:rPr>
          <w:rFonts w:hint="eastAsia" w:ascii="宋体" w:hAnsi="宋体" w:eastAsia="宋体" w:cs="宋体"/>
          <w:snapToGrid w:val="0"/>
          <w:color w:val="000000"/>
          <w:kern w:val="0"/>
          <w:sz w:val="24"/>
          <w:szCs w:val="24"/>
          <w:highlight w:val="none"/>
        </w:rPr>
        <w:t>审定当月发布的材料、工程设备单价； F2为施工当月项目所在地工程造价管理机构发布的材料、工程设备单价；A为合同约定的材料、工程设备单价涨跌风险幅度值。</w:t>
      </w:r>
    </w:p>
    <w:p w14:paraId="70B126B8">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2.3.6.3</w:t>
      </w:r>
      <w:r>
        <w:rPr>
          <w:rFonts w:hint="eastAsia" w:ascii="宋体" w:hAnsi="宋体" w:eastAsia="宋体" w:cs="宋体"/>
          <w:snapToGrid w:val="0"/>
          <w:color w:val="000000"/>
          <w:kern w:val="0"/>
          <w:sz w:val="24"/>
          <w:szCs w:val="24"/>
          <w:highlight w:val="none"/>
        </w:rPr>
        <w:t xml:space="preserve"> 合同履行期间，当《</w:t>
      </w:r>
      <w:r>
        <w:rPr>
          <w:rFonts w:hint="default" w:ascii="宋体" w:hAnsi="宋体" w:eastAsia="宋体" w:cs="宋体"/>
          <w:snapToGrid w:val="0"/>
          <w:color w:val="000000"/>
          <w:kern w:val="0"/>
          <w:sz w:val="24"/>
          <w:szCs w:val="24"/>
          <w:highlight w:val="none"/>
        </w:rPr>
        <w:t>承包人提供可调价主要材料表一</w:t>
      </w:r>
      <w:r>
        <w:rPr>
          <w:rFonts w:hint="eastAsia" w:ascii="宋体" w:hAnsi="宋体" w:eastAsia="宋体" w:cs="宋体"/>
          <w:snapToGrid w:val="0"/>
          <w:color w:val="000000"/>
          <w:kern w:val="0"/>
          <w:sz w:val="24"/>
          <w:szCs w:val="24"/>
          <w:highlight w:val="none"/>
        </w:rPr>
        <w:t>》中的材料、工程设备单价发生变化时，由发包人按照实际变化调整，并列入合同价款。（</w:t>
      </w:r>
      <w:r>
        <w:rPr>
          <w:rFonts w:hint="eastAsia" w:ascii="宋体" w:hAnsi="宋体" w:eastAsia="宋体" w:cs="宋体"/>
          <w:snapToGrid w:val="0"/>
          <w:color w:val="000000"/>
          <w:kern w:val="0"/>
          <w:sz w:val="24"/>
          <w:szCs w:val="24"/>
          <w:highlight w:val="none"/>
          <w:lang w:eastAsia="zh-CN"/>
        </w:rPr>
        <w:t>本项目招标人不提供发包材料</w:t>
      </w:r>
      <w:r>
        <w:rPr>
          <w:rFonts w:hint="eastAsia" w:ascii="宋体" w:hAnsi="宋体" w:eastAsia="宋体" w:cs="宋体"/>
          <w:snapToGrid w:val="0"/>
          <w:color w:val="000000"/>
          <w:kern w:val="0"/>
          <w:sz w:val="24"/>
          <w:szCs w:val="24"/>
          <w:highlight w:val="none"/>
        </w:rPr>
        <w:t>）</w:t>
      </w:r>
    </w:p>
    <w:p w14:paraId="3CAD8627">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2.3.6.4</w:t>
      </w:r>
      <w:r>
        <w:rPr>
          <w:rFonts w:hint="eastAsia" w:ascii="宋体" w:hAnsi="宋体" w:eastAsia="宋体" w:cs="宋体"/>
          <w:snapToGrid w:val="0"/>
          <w:color w:val="000000"/>
          <w:kern w:val="0"/>
          <w:sz w:val="24"/>
          <w:szCs w:val="24"/>
          <w:highlight w:val="none"/>
        </w:rPr>
        <w:t xml:space="preserve"> 本招标项目约定，施工机具台班单价涨跌风险幅度值B为</w:t>
      </w:r>
      <w:r>
        <w:rPr>
          <w:rFonts w:hint="eastAsia" w:ascii="宋体" w:hAnsi="宋体" w:eastAsia="宋体" w:cs="宋体"/>
          <w:snapToGrid w:val="0"/>
          <w:color w:val="000000"/>
          <w:kern w:val="0"/>
          <w:sz w:val="24"/>
          <w:szCs w:val="24"/>
          <w:highlight w:val="none"/>
          <w:u w:val="single"/>
        </w:rPr>
        <w:t xml:space="preserve"> 10% </w:t>
      </w:r>
      <w:r>
        <w:rPr>
          <w:rFonts w:hint="eastAsia" w:ascii="宋体" w:hAnsi="宋体" w:eastAsia="宋体" w:cs="宋体"/>
          <w:snapToGrid w:val="0"/>
          <w:color w:val="000000"/>
          <w:kern w:val="0"/>
          <w:sz w:val="24"/>
          <w:szCs w:val="24"/>
          <w:highlight w:val="none"/>
        </w:rPr>
        <w:t>。合同履行期间，当施工机具台班单价涨跌幅度等于或低于B值时，该施工机具台班单价不予调整；超过B值时，其超过部分可以调整。相关费用按有关规定进行相应调整。</w:t>
      </w:r>
    </w:p>
    <w:p w14:paraId="1403BC43">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a</w:t>
      </w:r>
      <w:r>
        <w:rPr>
          <w:rFonts w:hint="eastAsia" w:ascii="宋体" w:hAnsi="宋体" w:eastAsia="宋体" w:cs="宋体"/>
          <w:snapToGrid w:val="0"/>
          <w:color w:val="000000"/>
          <w:kern w:val="0"/>
          <w:sz w:val="24"/>
          <w:szCs w:val="24"/>
          <w:highlight w:val="none"/>
        </w:rPr>
        <w:t>．如果承包人投标报价中施工机具台班单价（以下简称“中标单价”）低于基准日当月项目所在地工程造价管理机构发布的对应施工机具台班单价（以下简称“基准单价”），该施工机具台班的结算单价调整公式为：</w:t>
      </w:r>
    </w:p>
    <w:p w14:paraId="04F0B2E0">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o:title=""/>
            <o:lock v:ext="edit" grouping="f" rotation="f" text="f" aspectratio="t"/>
            <w10:wrap type="none"/>
            <w10:anchorlock/>
          </v:shape>
          <o:OLEObject Type="Embed" ProgID="Equation.KSEE3" ShapeID="_x0000_i1031" DrawAspect="Content" ObjectID="_1468075731" r:id="rId41">
            <o:LockedField>false</o:LockedField>
          </o:OLEObject>
        </w:object>
      </w:r>
    </w:p>
    <w:p w14:paraId="537FE89C">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32" o:spt="75" type="#_x0000_t75" style="height:33.95pt;width:198pt;" o:ole="t" filled="f" o:preferrelative="t" stroked="f" coordsize="21600,21600">
            <v:path/>
            <v:fill on="f" focussize="0,0"/>
            <v:stroke on="f"/>
            <v:imagedata r:id="rId44" o:title=""/>
            <o:lock v:ext="edit" grouping="f" rotation="f" text="f" aspectratio="t"/>
            <w10:wrap type="none"/>
            <w10:anchorlock/>
          </v:shape>
          <o:OLEObject Type="Embed" ProgID="Equation.KSEE3" ShapeID="_x0000_i1032" DrawAspect="Content" ObjectID="_1468075732" r:id="rId43">
            <o:LockedField>false</o:LockedField>
          </o:OLEObject>
        </w:object>
      </w:r>
    </w:p>
    <w:p w14:paraId="6C28F08B">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b</w:t>
      </w:r>
      <w:r>
        <w:rPr>
          <w:rFonts w:hint="eastAsia" w:ascii="宋体" w:hAnsi="宋体" w:eastAsia="宋体" w:cs="宋体"/>
          <w:snapToGrid w:val="0"/>
          <w:color w:val="000000"/>
          <w:kern w:val="0"/>
          <w:sz w:val="24"/>
          <w:szCs w:val="24"/>
          <w:highlight w:val="none"/>
        </w:rPr>
        <w:t>．如果中标单价高于基准单价，该施工机具台班的结算单价调整公式为：</w:t>
      </w:r>
    </w:p>
    <w:p w14:paraId="70B8B9F7">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33" o:spt="75" type="#_x0000_t75" style="height:33.95pt;width:198pt;" o:ole="t" filled="f" o:preferrelative="t" stroked="f" coordsize="21600,21600">
            <v:path/>
            <v:fill on="f" focussize="0,0"/>
            <v:stroke on="f"/>
            <v:imagedata r:id="rId46" o:title=""/>
            <o:lock v:ext="edit" grouping="f" rotation="f" text="f" aspectratio="t"/>
            <w10:wrap type="none"/>
            <w10:anchorlock/>
          </v:shape>
          <o:OLEObject Type="Embed" ProgID="Equation.KSEE3" ShapeID="_x0000_i1033" DrawAspect="Content" ObjectID="_1468075733" r:id="rId45">
            <o:LockedField>false</o:LockedField>
          </o:OLEObject>
        </w:object>
      </w:r>
    </w:p>
    <w:p w14:paraId="4C446C88">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o:title=""/>
            <o:lock v:ext="edit" grouping="f" rotation="f" text="f" aspectratio="t"/>
            <w10:wrap type="none"/>
            <w10:anchorlock/>
          </v:shape>
          <o:OLEObject Type="Embed" ProgID="Equation.KSEE3" ShapeID="_x0000_i1034" DrawAspect="Content" ObjectID="_1468075734" r:id="rId47">
            <o:LockedField>false</o:LockedField>
          </o:OLEObject>
        </w:object>
      </w:r>
    </w:p>
    <w:p w14:paraId="1937AAC5">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c</w:t>
      </w:r>
      <w:r>
        <w:rPr>
          <w:rFonts w:hint="eastAsia" w:ascii="宋体" w:hAnsi="宋体" w:eastAsia="宋体" w:cs="宋体"/>
          <w:snapToGrid w:val="0"/>
          <w:color w:val="000000"/>
          <w:kern w:val="0"/>
          <w:sz w:val="24"/>
          <w:szCs w:val="24"/>
          <w:highlight w:val="none"/>
        </w:rPr>
        <w:t>．如果中标单价等于基准单价，该施工机具台班的结算单价调整公式为：</w:t>
      </w:r>
    </w:p>
    <w:p w14:paraId="16BEAD86">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o:title=""/>
            <o:lock v:ext="edit" grouping="f" rotation="f" text="f" aspectratio="t"/>
            <w10:wrap type="none"/>
            <w10:anchorlock/>
          </v:shape>
          <o:OLEObject Type="Embed" ProgID="Equation.KSEE3" ShapeID="_x0000_i1035" DrawAspect="Content" ObjectID="_1468075735" r:id="rId49">
            <o:LockedField>false</o:LockedField>
          </o:OLEObject>
        </w:object>
      </w:r>
    </w:p>
    <w:p w14:paraId="6CDCCD3E">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o:title=""/>
            <o:lock v:ext="edit" grouping="f" rotation="f" text="f" aspectratio="t"/>
            <w10:wrap type="none"/>
            <w10:anchorlock/>
          </v:shape>
          <o:OLEObject Type="Embed" ProgID="Equation.KSEE3" ShapeID="_x0000_i1036" DrawAspect="Content" ObjectID="_1468075736" r:id="rId51">
            <o:LockedField>false</o:LockedField>
          </o:OLEObject>
        </w:object>
      </w:r>
    </w:p>
    <w:p w14:paraId="2E3B4F6C">
      <w:pPr>
        <w:wordWrap w:val="0"/>
        <w:adjustRightInd w:val="0"/>
        <w:snapToGrid w:val="0"/>
        <w:spacing w:line="360" w:lineRule="auto"/>
        <w:ind w:firstLine="480" w:firstLineChars="200"/>
        <w:rPr>
          <w:rFonts w:hint="default" w:ascii="宋体" w:hAnsi="宋体" w:eastAsia="宋体" w:cs="宋体"/>
          <w:snapToGrid w:val="0"/>
          <w:color w:val="000000"/>
          <w:kern w:val="0"/>
          <w:sz w:val="24"/>
          <w:szCs w:val="24"/>
          <w:highlight w:val="none"/>
          <w:lang w:val="en-US" w:eastAsia="zh-CN"/>
        </w:rPr>
      </w:pPr>
      <w:r>
        <w:rPr>
          <w:rFonts w:hint="default" w:ascii="宋体" w:hAnsi="宋体" w:eastAsia="宋体" w:cs="宋体"/>
          <w:snapToGrid w:val="0"/>
          <w:color w:val="000000"/>
          <w:kern w:val="0"/>
          <w:sz w:val="24"/>
          <w:szCs w:val="24"/>
          <w:highlight w:val="none"/>
          <w:lang w:val="en-US" w:eastAsia="zh-CN"/>
        </w:rPr>
        <w:t>以上公式中，F1为中标单价；F0为基准单价；F2为施工当月项目所在地工程造价管理机构发布的施工机具台班单价；B为合同约定的施工机具台班单价涨跌风险幅度值。</w:t>
      </w:r>
    </w:p>
    <w:p w14:paraId="7E1D3623">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2.3.7</w:t>
      </w:r>
      <w:r>
        <w:rPr>
          <w:rFonts w:hint="eastAsia" w:ascii="宋体" w:hAnsi="宋体" w:eastAsia="宋体" w:cs="宋体"/>
          <w:bCs/>
          <w:snapToGrid w:val="0"/>
          <w:color w:val="000000"/>
          <w:kern w:val="0"/>
          <w:sz w:val="24"/>
          <w:szCs w:val="24"/>
          <w:highlight w:val="none"/>
        </w:rPr>
        <w:t xml:space="preserve"> 暂估价和暂列金额</w:t>
      </w:r>
    </w:p>
    <w:p w14:paraId="6DA2829A">
      <w:pPr>
        <w:keepNext w:val="0"/>
        <w:keepLines w:val="0"/>
        <w:widowControl/>
        <w:suppressLineNumbers w:val="0"/>
        <w:spacing w:line="360" w:lineRule="auto"/>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2.3.7.1 </w:t>
      </w:r>
      <w:r>
        <w:rPr>
          <w:rFonts w:hint="eastAsia" w:ascii="宋体" w:hAnsi="宋体" w:eastAsia="宋体" w:cs="宋体"/>
          <w:color w:val="000000"/>
          <w:kern w:val="0"/>
          <w:sz w:val="24"/>
          <w:szCs w:val="24"/>
          <w:highlight w:val="none"/>
          <w:lang w:val="en-US" w:eastAsia="zh-CN" w:bidi="ar"/>
        </w:rPr>
        <w:t xml:space="preserve">暂估价项目按第一章第三节“投标人须知正文”第 </w:t>
      </w:r>
      <w:r>
        <w:rPr>
          <w:rFonts w:hint="eastAsia" w:ascii="宋体" w:hAnsi="宋体" w:eastAsia="宋体" w:cs="宋体"/>
          <w:b/>
          <w:bCs/>
          <w:color w:val="000000"/>
          <w:kern w:val="0"/>
          <w:sz w:val="24"/>
          <w:szCs w:val="24"/>
          <w:highlight w:val="none"/>
          <w:lang w:val="en-US" w:eastAsia="zh-CN" w:bidi="ar"/>
        </w:rPr>
        <w:t xml:space="preserve">8.5 </w:t>
      </w:r>
      <w:r>
        <w:rPr>
          <w:rFonts w:hint="eastAsia" w:ascii="宋体" w:hAnsi="宋体" w:eastAsia="宋体" w:cs="宋体"/>
          <w:color w:val="000000"/>
          <w:kern w:val="0"/>
          <w:sz w:val="24"/>
          <w:szCs w:val="24"/>
          <w:highlight w:val="none"/>
          <w:lang w:val="en-US" w:eastAsia="zh-CN" w:bidi="ar"/>
        </w:rPr>
        <w:t xml:space="preserve">条的规定确定专业工程承包人（或材料供应商、工程设备供应商）后，将专业工程合同价款（或材料单价、工程设备单价）取代相应暂估价，并调整合同价款。 </w:t>
      </w:r>
    </w:p>
    <w:p w14:paraId="0B1BAD5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结算时暂估价（若有）中所列的材料（设备）数量按实际发生数量计算；承包人须提供材料（设备）的发票及购销合同，并提供详细的图纸、工程量计算式、施工图片、现场记录、转账记录等佐证作为结算依据，以实际采购单价为结算价，但不得高于本次招标工程量清单中的材料（设备）单价。 </w:t>
      </w:r>
    </w:p>
    <w:p w14:paraId="0C54A04F">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2.3.7.1.1 本最高投标限价设专业工程暂估价:</w:t>
      </w:r>
    </w:p>
    <w:p w14:paraId="0C52966F">
      <w:pPr>
        <w:spacing w:line="360" w:lineRule="auto"/>
        <w:rPr>
          <w:rFonts w:hint="default" w:ascii="宋体" w:hAnsi="宋体" w:eastAsia="宋体" w:cs="宋体"/>
          <w:b/>
          <w:bCs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kern w:val="0"/>
          <w:sz w:val="24"/>
          <w:szCs w:val="24"/>
          <w:highlight w:val="none"/>
          <w:lang w:val="en-US" w:eastAsia="zh-CN" w:bidi="ar"/>
        </w:rPr>
        <w:t>1）废钢残值回收：暂定不含税单价按-104717.90元/项，含税-114142.51元/项;结算时应提供施工图片、施工工程量记录、合同、发票形成闭环的佐证材料作为结算依据，按实结算但不超过含税金额。</w:t>
      </w:r>
      <w:r>
        <w:rPr>
          <w:rFonts w:hint="eastAsia" w:ascii="宋体" w:hAnsi="宋体" w:eastAsia="宋体" w:cs="宋体"/>
          <w:b/>
          <w:bCs/>
          <w:color w:val="000000"/>
          <w:kern w:val="0"/>
          <w:sz w:val="24"/>
          <w:szCs w:val="24"/>
          <w:highlight w:val="none"/>
          <w:lang w:val="en-US" w:eastAsia="zh-CN" w:bidi="ar"/>
        </w:rPr>
        <w:br w:type="textWrapping"/>
      </w:r>
      <w:r>
        <w:rPr>
          <w:rFonts w:hint="eastAsia" w:ascii="宋体" w:hAnsi="宋体" w:eastAsia="宋体" w:cs="宋体"/>
          <w:b/>
          <w:bCs/>
          <w:color w:val="000000"/>
          <w:kern w:val="0"/>
          <w:sz w:val="24"/>
          <w:szCs w:val="24"/>
          <w:highlight w:val="none"/>
          <w:lang w:val="en-US" w:eastAsia="zh-CN" w:bidi="ar"/>
        </w:rPr>
        <w:t xml:space="preserve">   </w:t>
      </w:r>
      <w:r>
        <w:rPr>
          <w:rFonts w:hint="eastAsia" w:ascii="宋体" w:hAnsi="宋体" w:eastAsia="宋体" w:cs="宋体"/>
          <w:b/>
          <w:bCs w:val="0"/>
          <w:snapToGrid w:val="0"/>
          <w:color w:val="000000" w:themeColor="text1"/>
          <w:kern w:val="0"/>
          <w:sz w:val="24"/>
          <w:szCs w:val="24"/>
          <w:highlight w:val="none"/>
          <w:lang w:val="en-US" w:eastAsia="zh-CN" w:bidi="ar-SA"/>
          <w14:textFill>
            <w14:solidFill>
              <w14:schemeClr w14:val="tx1"/>
            </w14:solidFill>
          </w14:textFill>
        </w:rPr>
        <w:t>2）通航安全评估报告编制及评审费：</w:t>
      </w:r>
      <w:r>
        <w:rPr>
          <w:rFonts w:hint="default" w:ascii="宋体" w:hAnsi="宋体" w:eastAsia="宋体" w:cs="宋体"/>
          <w:b/>
          <w:bCs w:val="0"/>
          <w:snapToGrid w:val="0"/>
          <w:color w:val="000000" w:themeColor="text1"/>
          <w:kern w:val="0"/>
          <w:sz w:val="24"/>
          <w:szCs w:val="24"/>
          <w:highlight w:val="none"/>
          <w:lang w:val="en-US" w:eastAsia="zh-CN"/>
          <w14:textFill>
            <w14:solidFill>
              <w14:schemeClr w14:val="tx1"/>
            </w14:solidFill>
          </w14:textFill>
        </w:rPr>
        <w:t>通航安全评估报告编制及评审费按含税金额120000.00元（大写：壹拾贰万元整）计列，税率为6%，结算时应提供合同、发票等形成闭环的佐证材料作为结算依据，最终结算按实际发生金额结算。</w:t>
      </w:r>
    </w:p>
    <w:p w14:paraId="346ECDC9">
      <w:pPr>
        <w:pStyle w:val="13"/>
        <w:keepNext w:val="0"/>
        <w:keepLines w:val="0"/>
        <w:widowControl/>
        <w:suppressLineNumbers w:val="0"/>
        <w:spacing w:before="0" w:beforeAutospacing="0" w:after="0" w:afterAutospacing="0" w:line="360" w:lineRule="auto"/>
        <w:ind w:left="0" w:right="0" w:firstLine="482" w:firstLineChars="200"/>
        <w:rPr>
          <w:rFonts w:hint="default" w:ascii="宋体" w:hAnsi="宋体" w:eastAsia="宋体" w:cs="宋体"/>
          <w:b/>
          <w:bCs/>
          <w:color w:val="000000"/>
          <w:kern w:val="0"/>
          <w:sz w:val="24"/>
          <w:szCs w:val="24"/>
          <w:highlight w:val="none"/>
          <w:lang w:val="en-US" w:eastAsia="zh-CN" w:bidi="ar"/>
        </w:rPr>
      </w:pPr>
    </w:p>
    <w:p w14:paraId="3E94AFF6">
      <w:pPr>
        <w:keepNext w:val="0"/>
        <w:keepLines w:val="0"/>
        <w:widowControl/>
        <w:suppressLineNumbers w:val="0"/>
        <w:spacing w:line="360" w:lineRule="auto"/>
        <w:ind w:firstLine="723" w:firstLineChars="300"/>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2.3.7.2 </w:t>
      </w:r>
      <w:r>
        <w:rPr>
          <w:rFonts w:hint="eastAsia" w:ascii="宋体" w:hAnsi="宋体" w:eastAsia="宋体" w:cs="宋体"/>
          <w:color w:val="000000"/>
          <w:kern w:val="0"/>
          <w:sz w:val="24"/>
          <w:szCs w:val="24"/>
          <w:highlight w:val="none"/>
          <w:lang w:val="en-US" w:eastAsia="zh-CN" w:bidi="ar"/>
        </w:rPr>
        <w:t xml:space="preserve">暂列金额由发包人掌握和使用。暂列金额项目若有发生，按第一章第三节“投标人须知正文”第 </w:t>
      </w:r>
      <w:r>
        <w:rPr>
          <w:rFonts w:hint="eastAsia" w:ascii="宋体" w:hAnsi="宋体" w:eastAsia="宋体" w:cs="宋体"/>
          <w:b/>
          <w:bCs/>
          <w:color w:val="000000"/>
          <w:kern w:val="0"/>
          <w:sz w:val="24"/>
          <w:szCs w:val="24"/>
          <w:highlight w:val="none"/>
          <w:lang w:val="en-US" w:eastAsia="zh-CN" w:bidi="ar"/>
        </w:rPr>
        <w:t xml:space="preserve">8.6 </w:t>
      </w:r>
      <w:r>
        <w:rPr>
          <w:rFonts w:hint="eastAsia" w:ascii="宋体" w:hAnsi="宋体" w:eastAsia="宋体" w:cs="宋体"/>
          <w:color w:val="000000"/>
          <w:kern w:val="0"/>
          <w:sz w:val="24"/>
          <w:szCs w:val="24"/>
          <w:highlight w:val="none"/>
          <w:lang w:val="en-US" w:eastAsia="zh-CN" w:bidi="ar"/>
        </w:rPr>
        <w:t xml:space="preserve">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暂列金额用于以下情形：（1）施工合同签订时尚未确定或者不可预见的所需材料、设备、服务的采购，施工中可能发生的工程变更、合同约定调整因素出现时的工程价款调整以及发生的索赔、现场签证确认等的费用。（2）国家政策性人工价差调整。（3）当合同履行期间， </w:t>
      </w:r>
    </w:p>
    <w:p w14:paraId="400FF2CA">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因人工、材料、工程设备、机械台班价格波动影响合同价款时，引起工程所在地工程造价管理机构发布的价格信息中材料、工程设备价格（仅限于钢筋、商品砼、水泥、砂、石、商品砂浆、电缆）变化超过 5%或施工机械使用费变化超过 10%时，发包人或承包人材料价格可调整 5%以外的部分、施工机械使用费可调整 10%以外的部分。（4）征拆后地表以下构筑物清运费用，预算未包含相关费用，结算时根据实际工程量在暂列金额中计算。（5）前期土方工程中的垃圾消纳处理费（若有）结算时提供签证、发票等作为依据。（6）施工合同签订时尚未确定或者不可预见的所需材料、设备、服务的采购。结算时按实际发生根据本章“3．工程付款办法”有关条款进行结算。</w:t>
      </w:r>
    </w:p>
    <w:p w14:paraId="10341222">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2.3.8 </w:t>
      </w:r>
      <w:r>
        <w:rPr>
          <w:rFonts w:hint="eastAsia" w:ascii="宋体" w:hAnsi="宋体" w:eastAsia="宋体" w:cs="宋体"/>
          <w:color w:val="000000"/>
          <w:kern w:val="0"/>
          <w:sz w:val="24"/>
          <w:szCs w:val="24"/>
          <w:highlight w:val="none"/>
          <w:lang w:val="en-US" w:eastAsia="zh-CN" w:bidi="ar"/>
        </w:rPr>
        <w:t xml:space="preserve">预算包干费按相关规定计算，本招标项目的预算包干费内容包括： </w:t>
      </w:r>
    </w:p>
    <w:p w14:paraId="6F8F255E">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（1）土建与装饰装修工程预算包干费按分部分项的人工费与施工机具费之和的 7%计算，施工雨水、污水的排除；因地形影响造成的场内料具二次运输；20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w:t>
      </w:r>
    </w:p>
    <w:p w14:paraId="77143DFE">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（2）市政工程预算包干费按分部分项的人工费与施工机具费之和的 6%计算，预算包干包括：施工雨(污)水的排除、因地形影响造成的场内料具二次运输、施工材料堆放场地的整理、施工中的临时停水停电、基础埋深 2m 以内挖土方的塌方、日间照明施工增加费(不包括地下室和特殊工程)、完工清场后的垃圾外运、地上(地下)设施，建筑物的临时保护设施费和二次加工基地设施费、雨季施工增加费、己完工程及设备保护等，包干的内容不再依据方案或签证计算费用。 </w:t>
      </w:r>
    </w:p>
    <w:p w14:paraId="6E31B10E">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（3）园林绿化工程预算包干费按分部分项的人工费与施工机具费之和的 6%计算，预算包干内容包括：施工雨(污)水的排除；场内料具二次运输；树穴内的泥浆清除；工程用水加压措施；施工材料堆放场地的整理；工程成品的保护；施工中的临时停水停电；日间施工照明增加费；完工后的场地清理。 </w:t>
      </w:r>
    </w:p>
    <w:p w14:paraId="74F3236D">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（4）安装工程预算包干费按分部分项的人工费与施工机具费之和的 10%计算，预算包干内容包括：施工雨(污)水的排除、因地形影响造成的场内料具二次运输、20m 高以下的工程用水加压措施、施工材料堆放场地的整理、机电安装后的补洞(槽)工料费、工程成品保护费、施工中的临时停水停电、基础埋深 2m 以内挖土方的塌方、日间照明施工增加费(不包括地下室和特殊工程)、完工清场后的垃圾外运等。对于以上预算包干内容，承包人不得提出额外付款或延长工期等要求。对此类要求，发包人不作任何考虑及答复。</w:t>
      </w:r>
    </w:p>
    <w:p w14:paraId="47F1892B">
      <w:pPr>
        <w:wordWrap w:val="0"/>
        <w:adjustRightInd w:val="0"/>
        <w:snapToGrid w:val="0"/>
        <w:spacing w:line="360" w:lineRule="auto"/>
        <w:ind w:firstLine="602" w:firstLineChars="25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2.3.9</w:t>
      </w:r>
      <w:r>
        <w:rPr>
          <w:rFonts w:hint="eastAsia" w:ascii="宋体" w:hAnsi="宋体" w:eastAsia="宋体" w:cs="宋体"/>
          <w:bCs/>
          <w:snapToGrid w:val="0"/>
          <w:color w:val="000000"/>
          <w:kern w:val="0"/>
          <w:sz w:val="24"/>
          <w:szCs w:val="24"/>
          <w:highlight w:val="none"/>
        </w:rPr>
        <w:t xml:space="preserve"> 其余事项（如不可抗力、索赔、现场签证等）的调整原则按照</w:t>
      </w:r>
      <w:r>
        <w:rPr>
          <w:rFonts w:hint="eastAsia" w:ascii="宋体" w:hAnsi="宋体" w:eastAsia="宋体" w:cs="宋体"/>
          <w:bCs/>
          <w:snapToGrid w:val="0"/>
          <w:color w:val="000000"/>
          <w:kern w:val="0"/>
          <w:sz w:val="24"/>
          <w:szCs w:val="24"/>
          <w:highlight w:val="none"/>
          <w:lang w:eastAsia="zh-CN"/>
        </w:rPr>
        <w:t>《建设工程工程量清单计价标准》（GB/T50500—2024）</w:t>
      </w:r>
      <w:r>
        <w:rPr>
          <w:rFonts w:hint="eastAsia" w:ascii="宋体" w:hAnsi="宋体" w:eastAsia="宋体" w:cs="宋体"/>
          <w:bCs/>
          <w:snapToGrid w:val="0"/>
          <w:color w:val="000000"/>
          <w:kern w:val="0"/>
          <w:sz w:val="24"/>
          <w:szCs w:val="24"/>
          <w:highlight w:val="none"/>
        </w:rPr>
        <w:t>有关规定执行。</w:t>
      </w:r>
    </w:p>
    <w:p w14:paraId="6CC3D554">
      <w:pPr>
        <w:wordWrap w:val="0"/>
        <w:adjustRightInd w:val="0"/>
        <w:snapToGrid w:val="0"/>
        <w:spacing w:line="360" w:lineRule="auto"/>
        <w:ind w:firstLine="602" w:firstLineChars="250"/>
        <w:rPr>
          <w:rFonts w:hint="eastAsia" w:ascii="宋体" w:hAnsi="宋体" w:eastAsia="宋体" w:cs="宋体"/>
          <w:b/>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2.4</w:t>
      </w:r>
      <w:r>
        <w:rPr>
          <w:rFonts w:hint="eastAsia" w:ascii="宋体" w:hAnsi="宋体" w:eastAsia="宋体" w:cs="宋体"/>
          <w:snapToGrid w:val="0"/>
          <w:color w:val="000000"/>
          <w:kern w:val="0"/>
          <w:sz w:val="24"/>
          <w:szCs w:val="24"/>
          <w:highlight w:val="none"/>
        </w:rPr>
        <w:t xml:space="preserve"> 凡将引起合同价款调增的事项，承包人必须于拟实施14天前，将详细的报价书（含拟实施项目名称、变更部位、理由、预计造价等）报监理单位审核和发包人批准后方可实施。</w:t>
      </w:r>
    </w:p>
    <w:p w14:paraId="44CF7DFC">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2.5</w:t>
      </w:r>
      <w:r>
        <w:rPr>
          <w:rFonts w:hint="eastAsia" w:ascii="宋体" w:hAnsi="宋体" w:eastAsia="宋体" w:cs="宋体"/>
          <w:snapToGrid w:val="0"/>
          <w:color w:val="000000"/>
          <w:kern w:val="0"/>
          <w:sz w:val="24"/>
          <w:szCs w:val="24"/>
          <w:highlight w:val="none"/>
        </w:rPr>
        <w:t xml:space="preserve"> 承包人不得以不完全了解现场情况为理由，提出额外付款或延长工期等要求。对此类要求，发包人不作任何考虑及答复。</w:t>
      </w:r>
    </w:p>
    <w:p w14:paraId="468851E8">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2.6</w:t>
      </w:r>
      <w:r>
        <w:rPr>
          <w:rFonts w:hint="eastAsia" w:ascii="宋体" w:hAnsi="宋体" w:eastAsia="宋体" w:cs="宋体"/>
          <w:snapToGrid w:val="0"/>
          <w:color w:val="000000"/>
          <w:kern w:val="0"/>
          <w:sz w:val="24"/>
          <w:szCs w:val="24"/>
          <w:highlight w:val="none"/>
        </w:rPr>
        <w:t xml:space="preserve"> 承包人已标价工程量清单中漏报、错报或少报的清单项目，其价格均视为已经包含在其它清单项目中，竣工结算时不得重新组价和调整。</w:t>
      </w:r>
    </w:p>
    <w:p w14:paraId="0E5E161D">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2.7</w:t>
      </w:r>
      <w:r>
        <w:rPr>
          <w:rFonts w:hint="eastAsia" w:ascii="宋体" w:hAnsi="宋体" w:eastAsia="宋体" w:cs="宋体"/>
          <w:snapToGrid w:val="0"/>
          <w:color w:val="000000"/>
          <w:kern w:val="0"/>
          <w:sz w:val="24"/>
          <w:szCs w:val="24"/>
          <w:highlight w:val="none"/>
        </w:rPr>
        <w:t xml:space="preserve"> 项目完工后，发、承包双方和受其委托具备相应资质的工程造价咨询单位必须按照</w:t>
      </w:r>
      <w:r>
        <w:rPr>
          <w:rFonts w:hint="eastAsia" w:ascii="宋体" w:hAnsi="宋体" w:eastAsia="宋体" w:cs="宋体"/>
          <w:snapToGrid w:val="0"/>
          <w:color w:val="000000"/>
          <w:kern w:val="0"/>
          <w:sz w:val="24"/>
          <w:szCs w:val="24"/>
          <w:highlight w:val="none"/>
          <w:lang w:eastAsia="zh-CN"/>
        </w:rPr>
        <w:t>《建设工程工程量清单计价标准》（GB/T50500—2024）</w:t>
      </w:r>
      <w:r>
        <w:rPr>
          <w:rFonts w:hint="eastAsia" w:ascii="宋体" w:hAnsi="宋体" w:eastAsia="宋体" w:cs="宋体"/>
          <w:snapToGrid w:val="0"/>
          <w:color w:val="000000"/>
          <w:kern w:val="0"/>
          <w:sz w:val="24"/>
          <w:szCs w:val="24"/>
          <w:highlight w:val="none"/>
        </w:rPr>
        <w:t>和国家、省、市的有关规定办理竣工结算。</w:t>
      </w:r>
    </w:p>
    <w:p w14:paraId="7475C8D8">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2.8</w:t>
      </w:r>
      <w:r>
        <w:rPr>
          <w:rFonts w:hint="eastAsia" w:ascii="宋体" w:hAnsi="宋体" w:eastAsia="宋体" w:cs="宋体"/>
          <w:snapToGrid w:val="0"/>
          <w:color w:val="000000"/>
          <w:kern w:val="0"/>
          <w:sz w:val="24"/>
          <w:szCs w:val="24"/>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14:paraId="5F863F0C">
      <w:pPr>
        <w:pStyle w:val="6"/>
        <w:spacing w:before="155" w:line="360" w:lineRule="auto"/>
        <w:ind w:left="1" w:right="80" w:firstLine="473"/>
        <w:rPr>
          <w:rFonts w:hint="eastAsia" w:ascii="宋体" w:hAnsi="宋体" w:eastAsia="宋体" w:cs="宋体"/>
          <w:spacing w:val="-1"/>
          <w:sz w:val="24"/>
          <w:szCs w:val="24"/>
          <w:highlight w:val="none"/>
          <w:u w:val="single"/>
        </w:rPr>
      </w:pPr>
      <w:r>
        <w:rPr>
          <w:rFonts w:hint="eastAsia" w:ascii="宋体" w:hAnsi="宋体" w:eastAsia="宋体" w:cs="宋体"/>
          <w:b/>
          <w:bCs/>
          <w:snapToGrid w:val="0"/>
          <w:color w:val="000000"/>
          <w:kern w:val="0"/>
          <w:sz w:val="24"/>
          <w:szCs w:val="24"/>
          <w:highlight w:val="none"/>
        </w:rPr>
        <w:t xml:space="preserve">2.9 </w:t>
      </w:r>
      <w:r>
        <w:rPr>
          <w:rFonts w:hint="eastAsia" w:ascii="宋体" w:hAnsi="宋体" w:eastAsia="宋体" w:cs="宋体"/>
          <w:snapToGrid w:val="0"/>
          <w:color w:val="000000"/>
          <w:kern w:val="0"/>
          <w:sz w:val="24"/>
          <w:szCs w:val="24"/>
          <w:highlight w:val="none"/>
        </w:rPr>
        <w:t>暂估价的结算原则：</w:t>
      </w:r>
      <w:r>
        <w:rPr>
          <w:rFonts w:hint="eastAsia" w:ascii="宋体" w:hAnsi="宋体" w:eastAsia="宋体" w:cs="宋体"/>
          <w:spacing w:val="-1"/>
          <w:sz w:val="24"/>
          <w:szCs w:val="24"/>
          <w:highlight w:val="none"/>
          <w:lang w:val="en-US" w:eastAsia="zh-CN"/>
        </w:rPr>
        <w:t>暂列金的计算方式</w:t>
      </w:r>
      <w:r>
        <w:rPr>
          <w:rFonts w:hint="eastAsia" w:ascii="宋体" w:hAnsi="宋体" w:eastAsia="宋体" w:cs="宋体"/>
          <w:spacing w:val="-1"/>
          <w:sz w:val="24"/>
          <w:szCs w:val="24"/>
          <w:highlight w:val="none"/>
          <w:u w:val="single"/>
          <w:lang w:val="en-US" w:eastAsia="zh-CN"/>
        </w:rPr>
        <w:t>按分部分项合计*10%计算，</w:t>
      </w:r>
      <w:r>
        <w:rPr>
          <w:rFonts w:hint="eastAsia" w:ascii="宋体" w:hAnsi="宋体" w:eastAsia="宋体" w:cs="宋体"/>
          <w:spacing w:val="-1"/>
          <w:sz w:val="24"/>
          <w:szCs w:val="24"/>
          <w:highlight w:val="none"/>
          <w:u w:val="single"/>
        </w:rPr>
        <w:t>暂列金额</w:t>
      </w:r>
      <w:r>
        <w:rPr>
          <w:rFonts w:hint="eastAsia" w:ascii="宋体" w:hAnsi="宋体" w:eastAsia="宋体" w:cs="宋体"/>
          <w:spacing w:val="-1"/>
          <w:sz w:val="24"/>
          <w:szCs w:val="24"/>
          <w:highlight w:val="none"/>
          <w:u w:val="single"/>
          <w:lang w:val="en-US" w:eastAsia="zh-CN"/>
        </w:rPr>
        <w:t>的计算方式</w:t>
      </w:r>
      <w:r>
        <w:rPr>
          <w:rFonts w:hint="eastAsia" w:ascii="宋体" w:hAnsi="宋体" w:eastAsia="宋体" w:cs="宋体"/>
          <w:spacing w:val="-1"/>
          <w:sz w:val="24"/>
          <w:szCs w:val="24"/>
          <w:highlight w:val="none"/>
          <w:u w:val="single"/>
        </w:rPr>
        <w:t>按实际发生在结算审核完成后支付。</w:t>
      </w:r>
    </w:p>
    <w:p w14:paraId="75A58006">
      <w:pPr>
        <w:wordWrap w:val="0"/>
        <w:adjustRightInd w:val="0"/>
        <w:snapToGrid w:val="0"/>
        <w:spacing w:line="360" w:lineRule="auto"/>
        <w:ind w:firstLine="560"/>
        <w:rPr>
          <w:rFonts w:hint="eastAsia" w:ascii="宋体" w:hAnsi="宋体" w:eastAsia="宋体" w:cs="宋体"/>
          <w:b/>
          <w:bCs/>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本工程暂估价为招标人在工程量清单中提供的用于支付必然发生但暂时不能确定价格的材料、工程设备的单价以及专业工程的金额。材料暂估价结算时提供购买发票、转账凭证、合同等佐证依据，其结算原则按本章“2.工程结算原则”有关条款进行结算。各部分暂估价的结算价不得超过暂估价。</w:t>
      </w:r>
    </w:p>
    <w:p w14:paraId="4F6DAB01">
      <w:pPr>
        <w:wordWrap w:val="0"/>
        <w:adjustRightInd w:val="0"/>
        <w:snapToGrid w:val="0"/>
        <w:spacing w:line="360" w:lineRule="auto"/>
        <w:ind w:firstLine="56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 xml:space="preserve">2.10 </w:t>
      </w:r>
      <w:r>
        <w:rPr>
          <w:rFonts w:hint="eastAsia" w:ascii="宋体" w:hAnsi="宋体" w:eastAsia="宋体" w:cs="宋体"/>
          <w:snapToGrid w:val="0"/>
          <w:color w:val="000000"/>
          <w:kern w:val="0"/>
          <w:sz w:val="24"/>
          <w:szCs w:val="24"/>
          <w:highlight w:val="none"/>
        </w:rPr>
        <w:t>暂列金额的结算原则：暂列金额由发包人掌握使用，工程合同履行期间，由于发包人的要求（注：必须要有发包人的书面通知）导致发生设计变更或合同约定调整因素出现时的工程价款调整以及发生的索赔、现场签证等，其工程量按实调整，其造价调整按本章“2工程结算原则”有关条款进行调整。暂列金额如有余额归发包人。</w:t>
      </w:r>
    </w:p>
    <w:p w14:paraId="6E947341">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bookmarkStart w:id="168" w:name="_Toc8343"/>
      <w:r>
        <w:rPr>
          <w:rFonts w:hint="eastAsia" w:ascii="宋体" w:hAnsi="宋体" w:eastAsia="宋体" w:cs="宋体"/>
          <w:b/>
          <w:bCs/>
          <w:snapToGrid w:val="0"/>
          <w:color w:val="000000"/>
          <w:kern w:val="0"/>
          <w:sz w:val="24"/>
          <w:szCs w:val="24"/>
          <w:highlight w:val="none"/>
        </w:rPr>
        <w:t>2.11</w:t>
      </w:r>
      <w:r>
        <w:rPr>
          <w:rFonts w:hint="eastAsia" w:ascii="宋体" w:hAnsi="宋体" w:eastAsia="宋体" w:cs="宋体"/>
          <w:snapToGrid w:val="0"/>
          <w:color w:val="000000"/>
          <w:kern w:val="0"/>
          <w:sz w:val="24"/>
          <w:szCs w:val="24"/>
          <w:highlight w:val="none"/>
        </w:rPr>
        <w:t>结算总价在</w:t>
      </w:r>
      <w:r>
        <w:rPr>
          <w:rFonts w:hint="eastAsia" w:ascii="宋体" w:hAnsi="宋体" w:eastAsia="宋体" w:cs="宋体"/>
          <w:snapToGrid w:val="0"/>
          <w:color w:val="000000"/>
          <w:kern w:val="0"/>
          <w:sz w:val="24"/>
          <w:szCs w:val="24"/>
          <w:highlight w:val="none"/>
          <w:lang w:eastAsia="zh-CN"/>
        </w:rPr>
        <w:t>最高投标限价</w:t>
      </w:r>
      <w:r>
        <w:rPr>
          <w:rFonts w:hint="eastAsia" w:ascii="宋体" w:hAnsi="宋体" w:eastAsia="宋体" w:cs="宋体"/>
          <w:snapToGrid w:val="0"/>
          <w:color w:val="000000"/>
          <w:kern w:val="0"/>
          <w:sz w:val="24"/>
          <w:szCs w:val="24"/>
          <w:highlight w:val="none"/>
        </w:rPr>
        <w:t>范围内按实结算，结算总价不得超过本次招标的</w:t>
      </w:r>
      <w:r>
        <w:rPr>
          <w:rFonts w:hint="eastAsia" w:ascii="宋体" w:hAnsi="宋体" w:eastAsia="宋体" w:cs="宋体"/>
          <w:snapToGrid w:val="0"/>
          <w:color w:val="000000"/>
          <w:kern w:val="0"/>
          <w:sz w:val="24"/>
          <w:szCs w:val="24"/>
          <w:highlight w:val="none"/>
          <w:lang w:eastAsia="zh-CN"/>
        </w:rPr>
        <w:t>最高投标限价</w:t>
      </w:r>
      <w:r>
        <w:rPr>
          <w:rFonts w:hint="eastAsia" w:ascii="宋体" w:hAnsi="宋体" w:eastAsia="宋体" w:cs="宋体"/>
          <w:snapToGrid w:val="0"/>
          <w:color w:val="000000"/>
          <w:kern w:val="0"/>
          <w:sz w:val="24"/>
          <w:szCs w:val="24"/>
          <w:highlight w:val="none"/>
        </w:rPr>
        <w:t>。项目实施过程中涉及工程造价控制、计量、价差调整等事项，最终以</w:t>
      </w:r>
      <w:r>
        <w:rPr>
          <w:rFonts w:hint="eastAsia" w:ascii="宋体" w:hAnsi="宋体" w:eastAsia="宋体" w:cs="宋体"/>
          <w:snapToGrid w:val="0"/>
          <w:color w:val="000000"/>
          <w:kern w:val="0"/>
          <w:sz w:val="24"/>
          <w:szCs w:val="24"/>
          <w:highlight w:val="none"/>
          <w:lang w:eastAsia="zh-CN"/>
        </w:rPr>
        <w:t>市</w:t>
      </w:r>
      <w:r>
        <w:rPr>
          <w:rFonts w:hint="eastAsia" w:ascii="宋体" w:hAnsi="宋体" w:eastAsia="宋体" w:cs="宋体"/>
          <w:snapToGrid w:val="0"/>
          <w:color w:val="000000"/>
          <w:kern w:val="0"/>
          <w:sz w:val="24"/>
          <w:szCs w:val="24"/>
          <w:highlight w:val="none"/>
        </w:rPr>
        <w:t>财政投资评审中心的审核意见为准。</w:t>
      </w:r>
      <w:bookmarkEnd w:id="168"/>
    </w:p>
    <w:p w14:paraId="78B551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 计日工结算原则</w:t>
      </w:r>
    </w:p>
    <w:p w14:paraId="6A91AB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本项目设置计日工（交通协管员）720工日；计日工结算原则</w:t>
      </w:r>
    </w:p>
    <w:p w14:paraId="04E6E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w:t>
      </w:r>
      <w:r>
        <w:rPr>
          <w:rFonts w:hint="default" w:ascii="宋体" w:hAnsi="宋体" w:eastAsia="宋体" w:cs="宋体"/>
          <w:b w:val="0"/>
          <w:bCs/>
          <w:snapToGrid w:val="0"/>
          <w:color w:val="auto"/>
          <w:kern w:val="0"/>
          <w:sz w:val="24"/>
          <w:szCs w:val="24"/>
          <w:highlight w:val="none"/>
          <w:lang w:val="en-US" w:eastAsia="zh-CN"/>
        </w:rPr>
        <w:t>1</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val="0"/>
          <w:bCs/>
          <w:snapToGrid w:val="0"/>
          <w:color w:val="auto"/>
          <w:kern w:val="0"/>
          <w:sz w:val="24"/>
          <w:szCs w:val="24"/>
          <w:highlight w:val="none"/>
          <w:lang w:val="en-US" w:eastAsia="zh-CN"/>
        </w:rPr>
        <w:t>计日工适用条件</w:t>
      </w:r>
    </w:p>
    <w:p w14:paraId="2EFE6D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除合同另有约定外，仅在发生合同范围外的零星工作、应急处理、发包人或监理人书面指令的临时用工、用料、用机，且无法按工程量清单子目计价时，方可采用计日工计价。</w:t>
      </w:r>
    </w:p>
    <w:p w14:paraId="455C05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未经发包人或监理人书面指令实施的工作，一律不按计日工结算。</w:t>
      </w:r>
    </w:p>
    <w:p w14:paraId="4E0180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w:t>
      </w:r>
      <w:r>
        <w:rPr>
          <w:rFonts w:hint="default" w:ascii="宋体" w:hAnsi="宋体" w:eastAsia="宋体" w:cs="宋体"/>
          <w:b w:val="0"/>
          <w:bCs/>
          <w:snapToGrid w:val="0"/>
          <w:color w:val="auto"/>
          <w:kern w:val="0"/>
          <w:sz w:val="24"/>
          <w:szCs w:val="24"/>
          <w:highlight w:val="none"/>
          <w:lang w:val="en-US" w:eastAsia="zh-CN"/>
        </w:rPr>
        <w:t>2.计日工单价确定</w:t>
      </w:r>
    </w:p>
    <w:p w14:paraId="509086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（1）计日工单价以投标文件已标价工程量清单中的计日工单价为准，单价为综合单价，包含人工费、材料费、施工机具使用费、管理费、利润、风险费用等全部费用，除增值税外不再另行计取其他费用。</w:t>
      </w:r>
    </w:p>
    <w:p w14:paraId="3D4D0A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（2）清单中无对应计日工单价的，由承包人根据市场价格水平提出报价，经发包人审核确认后执行；协商不一致的，按合同变更估价原则处理。</w:t>
      </w:r>
    </w:p>
    <w:p w14:paraId="344DE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（3）除合同约定的价格调整情形外，计日工单价不作调整。</w:t>
      </w:r>
    </w:p>
    <w:p w14:paraId="590AC7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2.12.3 </w:t>
      </w:r>
      <w:r>
        <w:rPr>
          <w:rFonts w:hint="default" w:ascii="宋体" w:hAnsi="宋体" w:eastAsia="宋体" w:cs="宋体"/>
          <w:b w:val="0"/>
          <w:bCs/>
          <w:snapToGrid w:val="0"/>
          <w:color w:val="auto"/>
          <w:kern w:val="0"/>
          <w:sz w:val="24"/>
          <w:szCs w:val="24"/>
          <w:highlight w:val="none"/>
          <w:lang w:val="en-US" w:eastAsia="zh-CN"/>
        </w:rPr>
        <w:t>现场计量与签证</w:t>
      </w:r>
    </w:p>
    <w:p w14:paraId="4580DA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（1）承包人应逐日记录计日工的人工工种及工日数、材料名称及消耗量、机械型号及台班数量，同步留存现场影像、领料、派工等资料。</w:t>
      </w:r>
    </w:p>
    <w:p w14:paraId="272F4A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（2）承包人应在每项计日工工作完成后24 小时内提交现场签证资料，经监理人核实、发包人确认后作为结算依据。</w:t>
      </w:r>
    </w:p>
    <w:p w14:paraId="6CB588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（3）发包人、监理人逾期未审核且未提出异议的，视为认可承包人报送的计量数量；资料不全、逾期未报的，发包人有权不予计量。</w:t>
      </w:r>
    </w:p>
    <w:p w14:paraId="1F03C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w:t>
      </w:r>
      <w:r>
        <w:rPr>
          <w:rFonts w:hint="default" w:ascii="宋体" w:hAnsi="宋体" w:eastAsia="宋体" w:cs="宋体"/>
          <w:b w:val="0"/>
          <w:bCs/>
          <w:snapToGrid w:val="0"/>
          <w:color w:val="auto"/>
          <w:kern w:val="0"/>
          <w:sz w:val="24"/>
          <w:szCs w:val="24"/>
          <w:highlight w:val="none"/>
          <w:lang w:val="en-US" w:eastAsia="zh-CN"/>
        </w:rPr>
        <w:t>4 结算与支付</w:t>
      </w:r>
    </w:p>
    <w:p w14:paraId="4C4564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（1）计日工结算价款 = ∑（确认人工工日数量 × 人工单价）+ ∑（确认材料数量 × 材料单价）+ ∑（确认机械台班数量 × 机械台班单价）</w:t>
      </w:r>
    </w:p>
    <w:p w14:paraId="77A107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（2）增值税按国家现行税率另行计算，并入相应工程价款支付。</w:t>
      </w:r>
    </w:p>
    <w:p w14:paraId="07C5BD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（3）经确认的当期计日工费用，随工程进度款同期支付；竣工结算时，按全部有效签证文件汇总计入竣工结算总价。</w:t>
      </w:r>
    </w:p>
    <w:p w14:paraId="6888C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2.12.5</w:t>
      </w:r>
      <w:r>
        <w:rPr>
          <w:rFonts w:hint="default" w:ascii="宋体" w:hAnsi="宋体" w:eastAsia="宋体" w:cs="宋体"/>
          <w:b w:val="0"/>
          <w:bCs/>
          <w:snapToGrid w:val="0"/>
          <w:color w:val="auto"/>
          <w:kern w:val="0"/>
          <w:sz w:val="24"/>
          <w:szCs w:val="24"/>
          <w:highlight w:val="none"/>
          <w:lang w:val="en-US" w:eastAsia="zh-CN"/>
        </w:rPr>
        <w:t xml:space="preserve"> 其他约定</w:t>
      </w:r>
    </w:p>
    <w:p w14:paraId="62F1C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（1）超出指令范围、擅自施工、重复计量及无有效签证的计日工工作量，发包人不予计量和支付。</w:t>
      </w:r>
    </w:p>
    <w:p w14:paraId="4617BF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rPr>
        <w:t>（2）计日工相关计量、计价争议，按本合同争议解决条款执行。</w:t>
      </w:r>
    </w:p>
    <w:p w14:paraId="6FABE39C">
      <w:pPr>
        <w:pStyle w:val="3"/>
        <w:wordWrap w:val="0"/>
        <w:autoSpaceDE/>
        <w:autoSpaceDN/>
        <w:snapToGrid w:val="0"/>
        <w:spacing w:before="120" w:beforeLines="50" w:line="360" w:lineRule="auto"/>
        <w:jc w:val="both"/>
        <w:rPr>
          <w:rFonts w:hint="eastAsia" w:ascii="宋体" w:hAnsi="宋体" w:eastAsia="宋体" w:cs="宋体"/>
          <w:b/>
          <w:snapToGrid w:val="0"/>
          <w:color w:val="000000"/>
          <w:sz w:val="24"/>
          <w:szCs w:val="24"/>
          <w:highlight w:val="none"/>
        </w:rPr>
      </w:pPr>
      <w:bookmarkStart w:id="169" w:name="_Toc231"/>
      <w:bookmarkStart w:id="170" w:name="_Toc11883"/>
      <w:bookmarkStart w:id="171" w:name="_Toc10161"/>
      <w:bookmarkStart w:id="172" w:name="_Toc6483"/>
      <w:r>
        <w:rPr>
          <w:rFonts w:hint="eastAsia" w:ascii="宋体" w:hAnsi="宋体" w:eastAsia="宋体" w:cs="宋体"/>
          <w:b/>
          <w:snapToGrid w:val="0"/>
          <w:color w:val="000000"/>
          <w:sz w:val="24"/>
          <w:szCs w:val="24"/>
          <w:highlight w:val="none"/>
        </w:rPr>
        <w:t>3．工程付款办法</w:t>
      </w:r>
      <w:bookmarkEnd w:id="169"/>
      <w:bookmarkEnd w:id="170"/>
      <w:bookmarkEnd w:id="171"/>
      <w:bookmarkEnd w:id="172"/>
    </w:p>
    <w:p w14:paraId="75FED63A">
      <w:pPr>
        <w:wordWrap w:val="0"/>
        <w:adjustRightInd w:val="0"/>
        <w:snapToGrid w:val="0"/>
        <w:spacing w:line="360" w:lineRule="auto"/>
        <w:ind w:firstLine="56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bidi="ar"/>
        </w:rPr>
        <w:t>3.1</w:t>
      </w:r>
      <w:r>
        <w:rPr>
          <w:rFonts w:hint="eastAsia" w:ascii="宋体" w:hAnsi="宋体" w:eastAsia="宋体" w:cs="宋体"/>
          <w:color w:val="000000"/>
          <w:kern w:val="0"/>
          <w:sz w:val="24"/>
          <w:szCs w:val="24"/>
          <w:highlight w:val="none"/>
          <w:lang w:bidi="ar"/>
        </w:rPr>
        <w:t xml:space="preserve"> 本招标项目</w:t>
      </w:r>
      <w:r>
        <w:rPr>
          <w:rFonts w:hint="eastAsia" w:ascii="宋体" w:hAnsi="宋体" w:eastAsia="宋体" w:cs="宋体"/>
          <w:color w:val="000000"/>
          <w:kern w:val="0"/>
          <w:sz w:val="24"/>
          <w:szCs w:val="24"/>
          <w:highlight w:val="none"/>
          <w:u w:val="single"/>
          <w:lang w:bidi="ar"/>
        </w:rPr>
        <w:t xml:space="preserve"> 支付 </w:t>
      </w:r>
      <w:r>
        <w:rPr>
          <w:rFonts w:hint="eastAsia" w:ascii="宋体" w:hAnsi="宋体" w:eastAsia="宋体" w:cs="宋体"/>
          <w:color w:val="000000"/>
          <w:kern w:val="0"/>
          <w:sz w:val="24"/>
          <w:szCs w:val="24"/>
          <w:highlight w:val="none"/>
          <w:lang w:bidi="ar"/>
        </w:rPr>
        <w:t>施工预付款。</w:t>
      </w:r>
    </w:p>
    <w:p w14:paraId="1BF6A783">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bidi="ar"/>
        </w:rPr>
        <w:t>3.2</w:t>
      </w:r>
      <w:r>
        <w:rPr>
          <w:rFonts w:hint="eastAsia" w:ascii="宋体" w:hAnsi="宋体" w:eastAsia="宋体" w:cs="宋体"/>
          <w:color w:val="000000"/>
          <w:kern w:val="0"/>
          <w:sz w:val="24"/>
          <w:szCs w:val="24"/>
          <w:highlight w:val="none"/>
          <w:lang w:bidi="ar"/>
        </w:rPr>
        <w:t xml:space="preserve"> 施工预付款必须专用于合同工程，并按以下原则支付和抵扣：</w:t>
      </w:r>
    </w:p>
    <w:p w14:paraId="3BF9FCD1">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bidi="ar"/>
        </w:rPr>
        <w:t>3.2.1</w:t>
      </w:r>
      <w:r>
        <w:rPr>
          <w:rFonts w:hint="eastAsia" w:ascii="宋体" w:hAnsi="宋体" w:eastAsia="宋体" w:cs="宋体"/>
          <w:color w:val="000000"/>
          <w:kern w:val="0"/>
          <w:sz w:val="24"/>
          <w:szCs w:val="24"/>
          <w:highlight w:val="none"/>
          <w:lang w:bidi="ar"/>
        </w:rPr>
        <w:t xml:space="preserve"> 施工预付款支付比例为：按施工合同价</w:t>
      </w:r>
      <w:r>
        <w:rPr>
          <w:rFonts w:hint="eastAsia" w:ascii="宋体" w:hAnsi="宋体" w:eastAsia="宋体" w:cs="宋体"/>
          <w:color w:val="000000"/>
          <w:kern w:val="0"/>
          <w:sz w:val="24"/>
          <w:szCs w:val="24"/>
          <w:highlight w:val="none"/>
          <w:lang w:eastAsia="zh-CN" w:bidi="ar"/>
        </w:rPr>
        <w:t>（暂列金</w:t>
      </w:r>
      <w:r>
        <w:rPr>
          <w:rFonts w:hint="eastAsia" w:ascii="宋体" w:hAnsi="宋体" w:eastAsia="宋体" w:cs="宋体"/>
          <w:color w:val="000000"/>
          <w:kern w:val="0"/>
          <w:sz w:val="24"/>
          <w:szCs w:val="24"/>
          <w:highlight w:val="none"/>
          <w:lang w:val="en-US" w:eastAsia="zh-CN" w:bidi="ar"/>
        </w:rPr>
        <w:t>额、专业工程暂估价、安全生产措施费除外）</w:t>
      </w:r>
      <w:r>
        <w:rPr>
          <w:rFonts w:hint="eastAsia" w:ascii="宋体" w:hAnsi="宋体" w:eastAsia="宋体" w:cs="宋体"/>
          <w:color w:val="000000"/>
          <w:kern w:val="0"/>
          <w:sz w:val="24"/>
          <w:szCs w:val="24"/>
          <w:highlight w:val="none"/>
          <w:lang w:bidi="ar"/>
        </w:rPr>
        <w:t>的</w:t>
      </w:r>
      <w:r>
        <w:rPr>
          <w:rFonts w:hint="eastAsia" w:ascii="宋体" w:hAnsi="宋体" w:eastAsia="宋体" w:cs="宋体"/>
          <w:color w:val="000000"/>
          <w:kern w:val="0"/>
          <w:sz w:val="24"/>
          <w:szCs w:val="24"/>
          <w:highlight w:val="none"/>
          <w:u w:val="single"/>
          <w:lang w:bidi="ar"/>
        </w:rPr>
        <w:t xml:space="preserve"> </w:t>
      </w:r>
      <w:r>
        <w:rPr>
          <w:rFonts w:hint="eastAsia" w:ascii="宋体" w:hAnsi="宋体" w:eastAsia="宋体" w:cs="宋体"/>
          <w:color w:val="000000"/>
          <w:kern w:val="0"/>
          <w:sz w:val="24"/>
          <w:szCs w:val="24"/>
          <w:highlight w:val="none"/>
          <w:u w:val="single"/>
          <w:lang w:val="en-US" w:eastAsia="zh-CN" w:bidi="ar"/>
        </w:rPr>
        <w:t>3</w:t>
      </w:r>
      <w:r>
        <w:rPr>
          <w:rFonts w:hint="eastAsia" w:ascii="宋体" w:hAnsi="宋体" w:eastAsia="宋体" w:cs="宋体"/>
          <w:color w:val="000000"/>
          <w:kern w:val="0"/>
          <w:sz w:val="24"/>
          <w:szCs w:val="24"/>
          <w:highlight w:val="none"/>
          <w:u w:val="single"/>
          <w:lang w:bidi="ar"/>
        </w:rPr>
        <w:t xml:space="preserve">0% </w:t>
      </w:r>
      <w:r>
        <w:rPr>
          <w:rFonts w:hint="eastAsia" w:ascii="宋体" w:hAnsi="宋体" w:eastAsia="宋体" w:cs="宋体"/>
          <w:color w:val="000000"/>
          <w:kern w:val="0"/>
          <w:sz w:val="24"/>
          <w:szCs w:val="24"/>
          <w:highlight w:val="none"/>
          <w:lang w:bidi="ar"/>
        </w:rPr>
        <w:t>支付。</w:t>
      </w:r>
    </w:p>
    <w:p w14:paraId="0B2CBAE2">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3.2.2</w:t>
      </w:r>
      <w:r>
        <w:rPr>
          <w:rFonts w:hint="eastAsia" w:ascii="宋体" w:hAnsi="宋体" w:eastAsia="宋体" w:cs="宋体"/>
          <w:color w:val="000000"/>
          <w:kern w:val="0"/>
          <w:sz w:val="24"/>
          <w:szCs w:val="24"/>
          <w:highlight w:val="none"/>
          <w:lang w:bidi="ar"/>
        </w:rPr>
        <w:t xml:space="preserve"> 本招标项目</w:t>
      </w:r>
      <w:r>
        <w:rPr>
          <w:rFonts w:hint="eastAsia" w:ascii="宋体" w:hAnsi="宋体" w:eastAsia="宋体" w:cs="宋体"/>
          <w:color w:val="000000"/>
          <w:kern w:val="0"/>
          <w:sz w:val="24"/>
          <w:szCs w:val="24"/>
          <w:highlight w:val="none"/>
          <w:u w:val="single"/>
          <w:lang w:bidi="ar"/>
        </w:rPr>
        <w:t xml:space="preserve"> 要求 </w:t>
      </w:r>
      <w:r>
        <w:rPr>
          <w:rFonts w:hint="eastAsia" w:ascii="宋体" w:hAnsi="宋体" w:eastAsia="宋体" w:cs="宋体"/>
          <w:color w:val="000000"/>
          <w:kern w:val="0"/>
          <w:sz w:val="24"/>
          <w:szCs w:val="24"/>
          <w:highlight w:val="none"/>
          <w:lang w:bidi="ar"/>
        </w:rPr>
        <w:t>承包人提供与预付款等额的预付款保函。</w:t>
      </w:r>
    </w:p>
    <w:p w14:paraId="18BB7DCF">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color w:val="000000"/>
          <w:kern w:val="0"/>
          <w:sz w:val="24"/>
          <w:szCs w:val="24"/>
          <w:highlight w:val="none"/>
          <w:lang w:bidi="ar"/>
        </w:rPr>
        <w:t>3.2.3</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snapToGrid w:val="0"/>
          <w:color w:val="000000"/>
          <w:kern w:val="0"/>
          <w:sz w:val="24"/>
          <w:szCs w:val="24"/>
          <w:highlight w:val="none"/>
        </w:rPr>
        <w:t>承包人应在签订合同后，</w:t>
      </w:r>
      <w:r>
        <w:rPr>
          <w:rFonts w:hint="eastAsia" w:ascii="宋体" w:hAnsi="宋体" w:eastAsia="宋体" w:cs="宋体"/>
          <w:b/>
          <w:snapToGrid w:val="0"/>
          <w:color w:val="000000"/>
          <w:sz w:val="24"/>
          <w:szCs w:val="24"/>
          <w:highlight w:val="none"/>
        </w:rPr>
        <w:t>在提供符合要求的预付款保函或预付款保险及</w:t>
      </w:r>
      <w:r>
        <w:rPr>
          <w:rFonts w:hint="eastAsia" w:ascii="宋体" w:hAnsi="宋体" w:eastAsia="宋体" w:cs="宋体"/>
          <w:snapToGrid w:val="0"/>
          <w:color w:val="000000"/>
          <w:kern w:val="0"/>
          <w:sz w:val="24"/>
          <w:szCs w:val="24"/>
          <w:highlight w:val="none"/>
        </w:rPr>
        <w:t>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0C954735">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color w:val="000000"/>
          <w:kern w:val="0"/>
          <w:sz w:val="24"/>
          <w:szCs w:val="24"/>
          <w:highlight w:val="none"/>
          <w:lang w:bidi="ar"/>
        </w:rPr>
        <w:t>3.2.4</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snapToGrid w:val="0"/>
          <w:color w:val="000000"/>
          <w:kern w:val="0"/>
          <w:sz w:val="24"/>
          <w:szCs w:val="24"/>
          <w:highlight w:val="none"/>
        </w:rPr>
        <w:t xml:space="preserve"> 发包人没有按时支付预付款的，承包人可催告发包人支付；发包人</w:t>
      </w:r>
      <w:r>
        <w:rPr>
          <w:rFonts w:hint="eastAsia" w:ascii="宋体" w:hAnsi="宋体" w:eastAsia="宋体" w:cs="宋体"/>
          <w:snapToGrid w:val="0"/>
          <w:color w:val="000000"/>
          <w:kern w:val="0"/>
          <w:sz w:val="24"/>
          <w:szCs w:val="24"/>
          <w:highlight w:val="none"/>
          <w:lang w:eastAsia="zh-CN"/>
        </w:rPr>
        <w:t>应配合做好支付工作，但承包人不得以此为理由暂停施工</w:t>
      </w:r>
      <w:r>
        <w:rPr>
          <w:rFonts w:hint="eastAsia" w:ascii="宋体" w:hAnsi="宋体" w:eastAsia="宋体" w:cs="宋体"/>
          <w:snapToGrid w:val="0"/>
          <w:color w:val="000000"/>
          <w:kern w:val="0"/>
          <w:sz w:val="24"/>
          <w:szCs w:val="24"/>
          <w:highlight w:val="none"/>
        </w:rPr>
        <w:t>。</w:t>
      </w:r>
    </w:p>
    <w:p w14:paraId="42E4EB26">
      <w:pPr>
        <w:wordWrap w:val="0"/>
        <w:adjustRightInd w:val="0"/>
        <w:snapToGrid w:val="0"/>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bidi="ar"/>
        </w:rPr>
        <w:t>3.2.5</w:t>
      </w:r>
      <w:r>
        <w:rPr>
          <w:rFonts w:hint="eastAsia" w:ascii="宋体" w:hAnsi="宋体" w:eastAsia="宋体" w:cs="宋体"/>
          <w:color w:val="000000"/>
          <w:kern w:val="0"/>
          <w:sz w:val="24"/>
          <w:szCs w:val="24"/>
          <w:highlight w:val="none"/>
          <w:lang w:bidi="ar"/>
        </w:rPr>
        <w:t xml:space="preserve"> 预付款</w:t>
      </w:r>
      <w:r>
        <w:rPr>
          <w:rFonts w:hint="eastAsia" w:ascii="宋体" w:hAnsi="宋体" w:eastAsia="宋体" w:cs="宋体"/>
          <w:color w:val="000000"/>
          <w:kern w:val="0"/>
          <w:sz w:val="24"/>
          <w:szCs w:val="24"/>
          <w:highlight w:val="none"/>
          <w:u w:val="single"/>
          <w:lang w:eastAsia="zh-CN" w:bidi="ar"/>
        </w:rPr>
        <w:t>应按当期工程进度的</w:t>
      </w:r>
      <w:r>
        <w:rPr>
          <w:rFonts w:hint="eastAsia" w:ascii="宋体" w:hAnsi="宋体" w:eastAsia="宋体" w:cs="宋体"/>
          <w:color w:val="000000"/>
          <w:kern w:val="0"/>
          <w:sz w:val="24"/>
          <w:szCs w:val="24"/>
          <w:highlight w:val="none"/>
          <w:u w:val="single"/>
          <w:lang w:val="en-US" w:eastAsia="zh-CN" w:bidi="ar"/>
        </w:rPr>
        <w:t>50%进行同等比例</w:t>
      </w:r>
      <w:r>
        <w:rPr>
          <w:rFonts w:hint="eastAsia" w:ascii="宋体" w:hAnsi="宋体" w:eastAsia="宋体" w:cs="宋体"/>
          <w:color w:val="000000"/>
          <w:kern w:val="0"/>
          <w:sz w:val="24"/>
          <w:szCs w:val="24"/>
          <w:highlight w:val="none"/>
          <w:u w:val="single"/>
          <w:lang w:eastAsia="zh-CN" w:bidi="ar"/>
        </w:rPr>
        <w:t>扣回</w:t>
      </w:r>
      <w:r>
        <w:rPr>
          <w:rFonts w:hint="eastAsia" w:ascii="宋体" w:hAnsi="宋体" w:eastAsia="宋体" w:cs="宋体"/>
          <w:color w:val="000000"/>
          <w:kern w:val="0"/>
          <w:sz w:val="24"/>
          <w:szCs w:val="24"/>
          <w:highlight w:val="none"/>
          <w:lang w:val="en-US" w:eastAsia="zh-CN" w:bidi="ar"/>
        </w:rPr>
        <w:t>，直到扣回的金额达到合同约定的预付款金额为止</w:t>
      </w:r>
      <w:r>
        <w:rPr>
          <w:rFonts w:hint="eastAsia" w:ascii="宋体" w:hAnsi="宋体" w:eastAsia="宋体" w:cs="宋体"/>
          <w:snapToGrid w:val="0"/>
          <w:color w:val="000000"/>
          <w:kern w:val="0"/>
          <w:sz w:val="24"/>
          <w:szCs w:val="24"/>
          <w:highlight w:val="none"/>
        </w:rPr>
        <w:t>。</w:t>
      </w:r>
    </w:p>
    <w:p w14:paraId="5F3362F9">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bidi="ar"/>
        </w:rPr>
        <w:t>3.3</w:t>
      </w:r>
      <w:r>
        <w:rPr>
          <w:rFonts w:hint="eastAsia" w:ascii="宋体" w:hAnsi="宋体" w:eastAsia="宋体" w:cs="宋体"/>
          <w:color w:val="000000"/>
          <w:kern w:val="0"/>
          <w:sz w:val="24"/>
          <w:szCs w:val="24"/>
          <w:highlight w:val="none"/>
          <w:lang w:bidi="ar"/>
        </w:rPr>
        <w:t xml:space="preserve"> 施工过程中按</w:t>
      </w:r>
      <w:r>
        <w:rPr>
          <w:rFonts w:hint="eastAsia" w:ascii="宋体" w:hAnsi="宋体" w:eastAsia="宋体" w:cs="宋体"/>
          <w:color w:val="000000"/>
          <w:kern w:val="0"/>
          <w:sz w:val="24"/>
          <w:szCs w:val="24"/>
          <w:highlight w:val="none"/>
          <w:lang w:eastAsia="zh-CN" w:bidi="ar"/>
        </w:rPr>
        <w:t>60%、100%工程总进度</w:t>
      </w:r>
      <w:r>
        <w:rPr>
          <w:rFonts w:hint="eastAsia" w:ascii="宋体" w:hAnsi="宋体" w:eastAsia="宋体" w:cs="宋体"/>
          <w:color w:val="000000"/>
          <w:kern w:val="0"/>
          <w:sz w:val="24"/>
          <w:szCs w:val="24"/>
          <w:highlight w:val="none"/>
          <w:lang w:bidi="ar"/>
        </w:rPr>
        <w:t>支付工程进度款：承包人按</w:t>
      </w:r>
      <w:r>
        <w:rPr>
          <w:rFonts w:hint="eastAsia" w:ascii="宋体" w:hAnsi="宋体" w:eastAsia="宋体" w:cs="宋体"/>
          <w:color w:val="000000"/>
          <w:kern w:val="0"/>
          <w:sz w:val="24"/>
          <w:szCs w:val="24"/>
          <w:highlight w:val="none"/>
          <w:lang w:val="en-US" w:eastAsia="zh-CN" w:bidi="ar"/>
        </w:rPr>
        <w:t>60%和100%的</w:t>
      </w:r>
      <w:r>
        <w:rPr>
          <w:rFonts w:hint="eastAsia" w:ascii="宋体" w:hAnsi="宋体" w:eastAsia="宋体" w:cs="宋体"/>
          <w:color w:val="000000"/>
          <w:kern w:val="0"/>
          <w:sz w:val="24"/>
          <w:szCs w:val="24"/>
          <w:highlight w:val="none"/>
          <w:lang w:bidi="ar"/>
        </w:rPr>
        <w:t>工程实际完成工程量（含变更及增加工程）申报，承包人必须将《已完成工程量报表》和《工程付款申请书》报监理单位。经监理单位审核、发包人审定后的工程进度款（指已经按照合同约定，扣除该支付期内因承包人违约而应扣除的管理费），</w:t>
      </w:r>
      <w:r>
        <w:rPr>
          <w:rFonts w:hint="eastAsia" w:ascii="宋体" w:hAnsi="宋体" w:eastAsia="宋体" w:cs="宋体"/>
          <w:color w:val="000000"/>
          <w:kern w:val="0"/>
          <w:sz w:val="24"/>
          <w:szCs w:val="24"/>
          <w:highlight w:val="none"/>
          <w:lang w:eastAsia="zh-CN" w:bidi="ar"/>
        </w:rPr>
        <w:t>提交给发包人申请支付，累计支付金额不超过合同总价的</w:t>
      </w:r>
      <w:r>
        <w:rPr>
          <w:rFonts w:hint="eastAsia" w:ascii="宋体" w:hAnsi="宋体" w:eastAsia="宋体" w:cs="宋体"/>
          <w:color w:val="000000"/>
          <w:kern w:val="0"/>
          <w:sz w:val="24"/>
          <w:szCs w:val="24"/>
          <w:highlight w:val="none"/>
          <w:lang w:val="en-US" w:eastAsia="zh-CN" w:bidi="ar"/>
        </w:rPr>
        <w:t>80%</w:t>
      </w:r>
      <w:r>
        <w:rPr>
          <w:rFonts w:hint="eastAsia" w:ascii="宋体" w:hAnsi="宋体" w:eastAsia="宋体" w:cs="宋体"/>
          <w:color w:val="000000"/>
          <w:kern w:val="0"/>
          <w:sz w:val="24"/>
          <w:szCs w:val="24"/>
          <w:highlight w:val="none"/>
          <w:lang w:bidi="ar"/>
        </w:rPr>
        <w:t>。</w:t>
      </w:r>
    </w:p>
    <w:p w14:paraId="3A56A00B">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color w:val="000000"/>
          <w:kern w:val="0"/>
          <w:sz w:val="24"/>
          <w:szCs w:val="24"/>
          <w:highlight w:val="none"/>
          <w:lang w:bidi="ar"/>
        </w:rPr>
        <w:t>3.4</w:t>
      </w:r>
      <w:r>
        <w:rPr>
          <w:rFonts w:hint="eastAsia" w:ascii="宋体" w:hAnsi="宋体" w:eastAsia="宋体" w:cs="宋体"/>
          <w:color w:val="000000"/>
          <w:kern w:val="0"/>
          <w:sz w:val="24"/>
          <w:szCs w:val="24"/>
          <w:highlight w:val="none"/>
          <w:lang w:bidi="ar"/>
        </w:rPr>
        <w:t xml:space="preserve"> 工程进度款按工程实际完成工程量</w:t>
      </w:r>
      <w:r>
        <w:rPr>
          <w:rFonts w:hint="eastAsia" w:ascii="宋体" w:hAnsi="宋体" w:eastAsia="宋体" w:cs="宋体"/>
          <w:color w:val="000000"/>
          <w:kern w:val="0"/>
          <w:sz w:val="24"/>
          <w:szCs w:val="24"/>
          <w:highlight w:val="none"/>
          <w:lang w:eastAsia="zh-CN" w:bidi="ar"/>
        </w:rPr>
        <w:t>并经第三方造价咨询单位审核后进行</w:t>
      </w:r>
      <w:r>
        <w:rPr>
          <w:rFonts w:hint="eastAsia" w:ascii="宋体" w:hAnsi="宋体" w:eastAsia="宋体" w:cs="宋体"/>
          <w:color w:val="000000"/>
          <w:kern w:val="0"/>
          <w:sz w:val="24"/>
          <w:szCs w:val="24"/>
          <w:highlight w:val="none"/>
          <w:lang w:bidi="ar"/>
        </w:rPr>
        <w:t>支付</w:t>
      </w:r>
      <w:r>
        <w:rPr>
          <w:rFonts w:hint="eastAsia" w:ascii="宋体" w:hAnsi="宋体" w:eastAsia="宋体" w:cs="宋体"/>
          <w:snapToGrid w:val="0"/>
          <w:color w:val="000000"/>
          <w:kern w:val="0"/>
          <w:sz w:val="24"/>
          <w:szCs w:val="24"/>
          <w:highlight w:val="none"/>
        </w:rPr>
        <w:t>，工程进度款中的作业工人工资款项由发包人单独足额拨付到承包人的工资专户。</w:t>
      </w:r>
    </w:p>
    <w:p w14:paraId="005381B5">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3.5</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color w:val="000000"/>
          <w:kern w:val="0"/>
          <w:sz w:val="24"/>
          <w:szCs w:val="24"/>
          <w:highlight w:val="none"/>
          <w:lang w:val="en-US" w:eastAsia="zh-CN" w:bidi="ar"/>
        </w:rPr>
        <w:t>施工预付款中包含安全生产措施费预付款。措施项目费中的“安全生产措施费”拨付按照《建设工程工程量清单计价标准》（GB/T50500—2024）执行，参照《关于印发&lt;广东省建设厅建筑工程安全防护、文明施工措施费用管理办法&gt;的通知》支付。承包人应在签订合同后，在项目开工、开通建设工程安措费专用账户、购买安全生产责任保险的前提下向发包人提交安全生产措施费申请，项目预付安全生产措施费总额的 50%，其余部分应按照提前安排的原则进行分解，并与工程进度款同期支付。发承包双方在计算应付工程进度款时，不应扣回预付款安全生产措施费，在工程结算时一次性扣回。安全生产措施费必须专款专用，并由发包人单独拨付到承包人的建设工程安全生产措施费专用账户。</w:t>
      </w:r>
    </w:p>
    <w:p w14:paraId="727E4812">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bidi="ar"/>
        </w:rPr>
        <w:t>3.6</w:t>
      </w:r>
      <w:r>
        <w:rPr>
          <w:rFonts w:hint="eastAsia" w:ascii="宋体" w:hAnsi="宋体" w:eastAsia="宋体" w:cs="宋体"/>
          <w:color w:val="000000"/>
          <w:kern w:val="0"/>
          <w:sz w:val="24"/>
          <w:szCs w:val="24"/>
          <w:highlight w:val="none"/>
          <w:lang w:bidi="ar"/>
        </w:rPr>
        <w:t xml:space="preserve"> 变更工程造价必须经监理单位核实，并经发包人核定后方可支付。</w:t>
      </w:r>
    </w:p>
    <w:p w14:paraId="2F90C2A3">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bCs/>
          <w:color w:val="000000"/>
          <w:kern w:val="0"/>
          <w:sz w:val="24"/>
          <w:szCs w:val="24"/>
          <w:highlight w:val="none"/>
          <w:lang w:bidi="ar"/>
        </w:rPr>
        <w:t>3.7</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b w:val="0"/>
          <w:bCs w:val="0"/>
          <w:caps w:val="0"/>
          <w:smallCaps w:val="0"/>
          <w:snapToGrid w:val="0"/>
          <w:color w:val="000000"/>
          <w:spacing w:val="0"/>
          <w:kern w:val="0"/>
          <w:sz w:val="24"/>
          <w:szCs w:val="24"/>
          <w:highlight w:val="none"/>
          <w:lang w:eastAsia="zh-CN"/>
        </w:rPr>
        <w:t>竣工验收合格后</w:t>
      </w:r>
      <w:r>
        <w:rPr>
          <w:rFonts w:hint="eastAsia" w:ascii="宋体" w:hAnsi="宋体" w:eastAsia="宋体" w:cs="宋体"/>
          <w:b w:val="0"/>
          <w:bCs w:val="0"/>
          <w:caps w:val="0"/>
          <w:smallCaps w:val="0"/>
          <w:snapToGrid w:val="0"/>
          <w:color w:val="000000"/>
          <w:spacing w:val="0"/>
          <w:kern w:val="0"/>
          <w:sz w:val="24"/>
          <w:szCs w:val="24"/>
          <w:highlight w:val="none"/>
          <w:lang w:val="en-US" w:eastAsia="zh-CN"/>
        </w:rPr>
        <w:t>，</w:t>
      </w:r>
      <w:r>
        <w:rPr>
          <w:rFonts w:hint="eastAsia" w:ascii="宋体" w:hAnsi="宋体" w:eastAsia="宋体" w:cs="宋体"/>
          <w:b w:val="0"/>
          <w:bCs w:val="0"/>
          <w:caps w:val="0"/>
          <w:smallCaps w:val="0"/>
          <w:snapToGrid w:val="0"/>
          <w:color w:val="000000"/>
          <w:spacing w:val="0"/>
          <w:kern w:val="0"/>
          <w:sz w:val="24"/>
          <w:szCs w:val="24"/>
          <w:highlight w:val="none"/>
        </w:rPr>
        <w:t>支付</w:t>
      </w:r>
      <w:r>
        <w:rPr>
          <w:rFonts w:hint="eastAsia" w:ascii="宋体" w:hAnsi="宋体" w:eastAsia="宋体" w:cs="宋体"/>
          <w:b w:val="0"/>
          <w:bCs w:val="0"/>
          <w:caps w:val="0"/>
          <w:smallCaps w:val="0"/>
          <w:snapToGrid w:val="0"/>
          <w:color w:val="000000"/>
          <w:spacing w:val="0"/>
          <w:kern w:val="0"/>
          <w:sz w:val="24"/>
          <w:szCs w:val="24"/>
          <w:highlight w:val="none"/>
          <w:lang w:eastAsia="zh-CN"/>
        </w:rPr>
        <w:t>至合同价款的</w:t>
      </w:r>
      <w:r>
        <w:rPr>
          <w:rFonts w:hint="eastAsia" w:ascii="宋体" w:hAnsi="宋体" w:eastAsia="宋体" w:cs="宋体"/>
          <w:b w:val="0"/>
          <w:bCs w:val="0"/>
          <w:caps w:val="0"/>
          <w:smallCaps w:val="0"/>
          <w:snapToGrid w:val="0"/>
          <w:color w:val="000000"/>
          <w:spacing w:val="0"/>
          <w:kern w:val="0"/>
          <w:sz w:val="24"/>
          <w:szCs w:val="24"/>
          <w:highlight w:val="none"/>
          <w:lang w:val="en-US" w:eastAsia="zh-CN"/>
        </w:rPr>
        <w:t>90</w:t>
      </w:r>
      <w:r>
        <w:rPr>
          <w:rFonts w:hint="eastAsia" w:ascii="宋体" w:hAnsi="宋体" w:eastAsia="宋体" w:cs="宋体"/>
          <w:b w:val="0"/>
          <w:bCs w:val="0"/>
          <w:caps w:val="0"/>
          <w:smallCaps w:val="0"/>
          <w:snapToGrid w:val="0"/>
          <w:color w:val="000000"/>
          <w:spacing w:val="0"/>
          <w:kern w:val="0"/>
          <w:sz w:val="24"/>
          <w:szCs w:val="24"/>
          <w:highlight w:val="none"/>
        </w:rPr>
        <w:t>%</w:t>
      </w:r>
      <w:r>
        <w:rPr>
          <w:rFonts w:hint="eastAsia" w:ascii="宋体" w:hAnsi="宋体" w:eastAsia="宋体" w:cs="宋体"/>
          <w:b w:val="0"/>
          <w:bCs w:val="0"/>
          <w:caps w:val="0"/>
          <w:smallCaps w:val="0"/>
          <w:snapToGrid w:val="0"/>
          <w:color w:val="000000"/>
          <w:spacing w:val="0"/>
          <w:kern w:val="0"/>
          <w:sz w:val="24"/>
          <w:szCs w:val="24"/>
          <w:highlight w:val="none"/>
          <w:lang w:eastAsia="zh-CN"/>
        </w:rPr>
        <w:t>（不计息）；</w:t>
      </w:r>
      <w:r>
        <w:rPr>
          <w:rFonts w:hint="eastAsia" w:ascii="宋体" w:hAnsi="宋体" w:eastAsia="宋体" w:cs="宋体"/>
          <w:b w:val="0"/>
          <w:bCs w:val="0"/>
          <w:caps w:val="0"/>
          <w:smallCaps w:val="0"/>
          <w:snapToGrid w:val="0"/>
          <w:color w:val="000000"/>
          <w:spacing w:val="0"/>
          <w:kern w:val="0"/>
          <w:sz w:val="24"/>
          <w:szCs w:val="24"/>
          <w:highlight w:val="none"/>
        </w:rPr>
        <w:t>结算审核完成后，于次月支付</w:t>
      </w:r>
      <w:r>
        <w:rPr>
          <w:rFonts w:hint="eastAsia" w:ascii="宋体" w:hAnsi="宋体" w:eastAsia="宋体" w:cs="宋体"/>
          <w:b w:val="0"/>
          <w:bCs w:val="0"/>
          <w:caps w:val="0"/>
          <w:smallCaps w:val="0"/>
          <w:snapToGrid w:val="0"/>
          <w:color w:val="000000"/>
          <w:spacing w:val="0"/>
          <w:kern w:val="0"/>
          <w:sz w:val="24"/>
          <w:szCs w:val="24"/>
          <w:highlight w:val="none"/>
          <w:lang w:eastAsia="zh-CN"/>
        </w:rPr>
        <w:t>至合同价格</w:t>
      </w:r>
      <w:r>
        <w:rPr>
          <w:rFonts w:hint="eastAsia" w:ascii="宋体" w:hAnsi="宋体" w:eastAsia="宋体" w:cs="宋体"/>
          <w:b w:val="0"/>
          <w:bCs w:val="0"/>
          <w:caps w:val="0"/>
          <w:smallCaps w:val="0"/>
          <w:snapToGrid w:val="0"/>
          <w:color w:val="000000"/>
          <w:spacing w:val="0"/>
          <w:kern w:val="0"/>
          <w:sz w:val="24"/>
          <w:szCs w:val="24"/>
          <w:highlight w:val="none"/>
        </w:rPr>
        <w:t>的97%</w:t>
      </w:r>
      <w:r>
        <w:rPr>
          <w:rFonts w:hint="eastAsia" w:ascii="宋体" w:hAnsi="宋体" w:eastAsia="宋体" w:cs="宋体"/>
          <w:b w:val="0"/>
          <w:bCs w:val="0"/>
          <w:caps w:val="0"/>
          <w:smallCaps w:val="0"/>
          <w:snapToGrid w:val="0"/>
          <w:color w:val="000000"/>
          <w:spacing w:val="0"/>
          <w:kern w:val="0"/>
          <w:sz w:val="24"/>
          <w:szCs w:val="24"/>
          <w:highlight w:val="none"/>
          <w:lang w:eastAsia="zh-CN"/>
        </w:rPr>
        <w:t>（支付时间以当地财政实际支出时间为准），</w:t>
      </w:r>
      <w:r>
        <w:rPr>
          <w:rFonts w:hint="eastAsia" w:ascii="宋体" w:hAnsi="宋体" w:eastAsia="宋体" w:cs="宋体"/>
          <w:b w:val="0"/>
          <w:bCs w:val="0"/>
          <w:caps w:val="0"/>
          <w:smallCaps w:val="0"/>
          <w:snapToGrid w:val="0"/>
          <w:color w:val="000000"/>
          <w:spacing w:val="0"/>
          <w:kern w:val="0"/>
          <w:sz w:val="24"/>
          <w:szCs w:val="24"/>
          <w:highlight w:val="none"/>
        </w:rPr>
        <w:t>剩余3%</w:t>
      </w:r>
      <w:r>
        <w:rPr>
          <w:rFonts w:hint="eastAsia" w:ascii="宋体" w:hAnsi="宋体" w:eastAsia="宋体" w:cs="宋体"/>
          <w:b w:val="0"/>
          <w:bCs w:val="0"/>
          <w:caps w:val="0"/>
          <w:smallCaps w:val="0"/>
          <w:snapToGrid w:val="0"/>
          <w:color w:val="000000"/>
          <w:spacing w:val="0"/>
          <w:kern w:val="0"/>
          <w:sz w:val="24"/>
          <w:szCs w:val="24"/>
          <w:highlight w:val="none"/>
          <w:lang w:eastAsia="zh-CN"/>
        </w:rPr>
        <w:t>转</w:t>
      </w:r>
      <w:r>
        <w:rPr>
          <w:rFonts w:hint="eastAsia" w:ascii="宋体" w:hAnsi="宋体" w:eastAsia="宋体" w:cs="宋体"/>
          <w:b w:val="0"/>
          <w:bCs w:val="0"/>
          <w:caps w:val="0"/>
          <w:smallCaps w:val="0"/>
          <w:snapToGrid w:val="0"/>
          <w:color w:val="000000"/>
          <w:spacing w:val="0"/>
          <w:kern w:val="0"/>
          <w:sz w:val="24"/>
          <w:szCs w:val="24"/>
          <w:highlight w:val="none"/>
        </w:rPr>
        <w:t>为质量保证金</w:t>
      </w:r>
      <w:r>
        <w:rPr>
          <w:rFonts w:hint="eastAsia" w:ascii="宋体" w:hAnsi="宋体" w:eastAsia="宋体" w:cs="宋体"/>
          <w:b w:val="0"/>
          <w:bCs w:val="0"/>
          <w:caps w:val="0"/>
          <w:smallCaps w:val="0"/>
          <w:snapToGrid w:val="0"/>
          <w:color w:val="000000"/>
          <w:spacing w:val="0"/>
          <w:kern w:val="0"/>
          <w:sz w:val="24"/>
          <w:szCs w:val="24"/>
          <w:highlight w:val="none"/>
          <w:lang w:eastAsia="zh-CN"/>
        </w:rPr>
        <w:t>；承包人提交了等额</w:t>
      </w:r>
      <w:r>
        <w:rPr>
          <w:rFonts w:hint="eastAsia" w:ascii="宋体" w:hAnsi="宋体" w:eastAsia="宋体" w:cs="宋体"/>
          <w:b w:val="0"/>
          <w:bCs w:val="0"/>
          <w:caps w:val="0"/>
          <w:smallCaps w:val="0"/>
          <w:snapToGrid w:val="0"/>
          <w:color w:val="000000"/>
          <w:spacing w:val="0"/>
          <w:kern w:val="0"/>
          <w:sz w:val="24"/>
          <w:szCs w:val="24"/>
          <w:highlight w:val="none"/>
          <w:lang w:val="en-US" w:eastAsia="zh-CN"/>
        </w:rPr>
        <w:t>质量保证担保或质量保证保险的，于次月一次性结清合同价格</w:t>
      </w:r>
      <w:r>
        <w:rPr>
          <w:rFonts w:hint="eastAsia" w:ascii="宋体" w:hAnsi="宋体" w:eastAsia="宋体" w:cs="宋体"/>
          <w:bCs/>
          <w:snapToGrid w:val="0"/>
          <w:color w:val="000000"/>
          <w:kern w:val="0"/>
          <w:sz w:val="24"/>
          <w:szCs w:val="24"/>
          <w:highlight w:val="none"/>
        </w:rPr>
        <w:t>。</w:t>
      </w:r>
    </w:p>
    <w:p w14:paraId="70DB5292">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lang w:bidi="ar"/>
        </w:rPr>
        <w:t>3.8</w:t>
      </w:r>
      <w:r>
        <w:rPr>
          <w:rFonts w:hint="eastAsia" w:ascii="宋体" w:hAnsi="宋体" w:eastAsia="宋体" w:cs="宋体"/>
          <w:bCs/>
          <w:color w:val="000000"/>
          <w:kern w:val="0"/>
          <w:sz w:val="24"/>
          <w:szCs w:val="24"/>
          <w:highlight w:val="none"/>
          <w:lang w:bidi="ar"/>
        </w:rPr>
        <w:t xml:space="preserve"> 本招标项目缺陷责任期为</w:t>
      </w:r>
      <w:r>
        <w:rPr>
          <w:rFonts w:hint="eastAsia" w:ascii="宋体" w:hAnsi="宋体" w:eastAsia="宋体" w:cs="宋体"/>
          <w:bCs/>
          <w:color w:val="000000"/>
          <w:kern w:val="0"/>
          <w:sz w:val="24"/>
          <w:szCs w:val="24"/>
          <w:highlight w:val="none"/>
          <w:u w:val="single"/>
          <w:lang w:val="en-US" w:eastAsia="zh-CN" w:bidi="ar"/>
        </w:rPr>
        <w:t>2</w:t>
      </w:r>
      <w:r>
        <w:rPr>
          <w:rFonts w:hint="eastAsia" w:ascii="宋体" w:hAnsi="宋体" w:eastAsia="宋体" w:cs="宋体"/>
          <w:bCs/>
          <w:color w:val="000000"/>
          <w:kern w:val="0"/>
          <w:sz w:val="24"/>
          <w:szCs w:val="24"/>
          <w:highlight w:val="none"/>
          <w:lang w:bidi="ar"/>
        </w:rPr>
        <w:t>年（自通过竣工验收之日起计）。</w:t>
      </w:r>
      <w:r>
        <w:rPr>
          <w:rFonts w:hint="eastAsia" w:ascii="宋体" w:hAnsi="宋体" w:eastAsia="宋体" w:cs="宋体"/>
          <w:color w:val="000000"/>
          <w:kern w:val="0"/>
          <w:sz w:val="24"/>
          <w:szCs w:val="24"/>
          <w:highlight w:val="none"/>
          <w:lang w:bidi="ar"/>
        </w:rPr>
        <w:t>缺陷责任期到期后，承包人向发包人申请退还质量保证。发包人收到退还申请后，于14天内会同承包人进行核实。经双方核实且均无异议后，发包人在核实之日起</w:t>
      </w:r>
      <w:r>
        <w:rPr>
          <w:rFonts w:hint="eastAsia" w:ascii="宋体" w:hAnsi="宋体" w:eastAsia="宋体" w:cs="宋体"/>
          <w:color w:val="000000"/>
          <w:kern w:val="0"/>
          <w:sz w:val="24"/>
          <w:szCs w:val="24"/>
          <w:highlight w:val="none"/>
          <w:u w:val="single"/>
          <w:lang w:bidi="ar"/>
        </w:rPr>
        <w:t xml:space="preserve"> 14 </w:t>
      </w:r>
      <w:r>
        <w:rPr>
          <w:rFonts w:hint="eastAsia" w:ascii="宋体" w:hAnsi="宋体" w:eastAsia="宋体" w:cs="宋体"/>
          <w:color w:val="000000"/>
          <w:kern w:val="0"/>
          <w:sz w:val="24"/>
          <w:szCs w:val="24"/>
          <w:highlight w:val="none"/>
          <w:lang w:bidi="ar"/>
        </w:rPr>
        <w:t>天内将应返保证金（或银行保函）退还承包人。</w:t>
      </w:r>
    </w:p>
    <w:p w14:paraId="24310525">
      <w:pPr>
        <w:pStyle w:val="6"/>
        <w:spacing w:before="155" w:line="360" w:lineRule="auto"/>
        <w:ind w:left="1" w:right="80" w:firstLine="473"/>
        <w:rPr>
          <w:rFonts w:hint="eastAsia" w:ascii="宋体" w:hAnsi="宋体" w:eastAsia="宋体" w:cs="宋体"/>
          <w:spacing w:val="-1"/>
          <w:sz w:val="24"/>
          <w:szCs w:val="24"/>
          <w:highlight w:val="none"/>
          <w:u w:val="single"/>
        </w:rPr>
      </w:pPr>
      <w:r>
        <w:rPr>
          <w:rFonts w:hint="eastAsia" w:ascii="宋体" w:hAnsi="宋体" w:eastAsia="宋体" w:cs="宋体"/>
          <w:b/>
          <w:bCs/>
          <w:color w:val="000000"/>
          <w:sz w:val="24"/>
          <w:szCs w:val="24"/>
          <w:highlight w:val="none"/>
          <w:lang w:bidi="ar"/>
        </w:rPr>
        <w:t>3.9</w:t>
      </w:r>
      <w:r>
        <w:rPr>
          <w:rFonts w:hint="eastAsia" w:ascii="宋体" w:hAnsi="宋体" w:eastAsia="宋体" w:cs="宋体"/>
          <w:color w:val="000000"/>
          <w:sz w:val="24"/>
          <w:szCs w:val="24"/>
          <w:highlight w:val="none"/>
          <w:lang w:bidi="ar"/>
        </w:rPr>
        <w:t xml:space="preserve"> </w:t>
      </w:r>
      <w:r>
        <w:rPr>
          <w:rFonts w:hint="eastAsia" w:ascii="宋体" w:hAnsi="宋体" w:eastAsia="宋体" w:cs="宋体"/>
          <w:spacing w:val="-1"/>
          <w:sz w:val="24"/>
          <w:szCs w:val="24"/>
          <w:highlight w:val="none"/>
        </w:rPr>
        <w:t>暂列金额</w:t>
      </w:r>
      <w:r>
        <w:rPr>
          <w:rFonts w:hint="eastAsia" w:ascii="宋体" w:hAnsi="宋体" w:eastAsia="宋体" w:cs="宋体"/>
          <w:spacing w:val="-1"/>
          <w:sz w:val="24"/>
          <w:szCs w:val="24"/>
          <w:highlight w:val="none"/>
          <w:lang w:val="en-US" w:eastAsia="zh-CN"/>
        </w:rPr>
        <w:t>计算方式与</w:t>
      </w:r>
      <w:r>
        <w:rPr>
          <w:rFonts w:hint="eastAsia" w:ascii="宋体" w:hAnsi="宋体" w:eastAsia="宋体" w:cs="宋体"/>
          <w:spacing w:val="-1"/>
          <w:sz w:val="24"/>
          <w:szCs w:val="24"/>
          <w:highlight w:val="none"/>
        </w:rPr>
        <w:t>结算方式：</w:t>
      </w:r>
      <w:r>
        <w:rPr>
          <w:rFonts w:hint="eastAsia" w:ascii="宋体" w:hAnsi="宋体" w:eastAsia="宋体" w:cs="宋体"/>
          <w:spacing w:val="-1"/>
          <w:sz w:val="24"/>
          <w:szCs w:val="24"/>
          <w:highlight w:val="none"/>
          <w:lang w:val="en-US" w:eastAsia="zh-CN"/>
        </w:rPr>
        <w:t>暂列金的计算方式</w:t>
      </w:r>
      <w:r>
        <w:rPr>
          <w:rFonts w:hint="eastAsia" w:ascii="宋体" w:hAnsi="宋体" w:eastAsia="宋体" w:cs="宋体"/>
          <w:spacing w:val="-1"/>
          <w:sz w:val="24"/>
          <w:szCs w:val="24"/>
          <w:highlight w:val="none"/>
          <w:u w:val="single"/>
          <w:lang w:val="en-US" w:eastAsia="zh-CN"/>
        </w:rPr>
        <w:t>按分部分项合计*10%计算，</w:t>
      </w:r>
      <w:r>
        <w:rPr>
          <w:rFonts w:hint="eastAsia" w:ascii="宋体" w:hAnsi="宋体" w:eastAsia="宋体" w:cs="宋体"/>
          <w:spacing w:val="-1"/>
          <w:sz w:val="24"/>
          <w:szCs w:val="24"/>
          <w:highlight w:val="none"/>
          <w:u w:val="single"/>
        </w:rPr>
        <w:t>暂列金额</w:t>
      </w:r>
      <w:r>
        <w:rPr>
          <w:rFonts w:hint="eastAsia" w:ascii="宋体" w:hAnsi="宋体" w:eastAsia="宋体" w:cs="宋体"/>
          <w:spacing w:val="-1"/>
          <w:sz w:val="24"/>
          <w:szCs w:val="24"/>
          <w:highlight w:val="none"/>
          <w:u w:val="single"/>
          <w:lang w:val="en-US" w:eastAsia="zh-CN"/>
        </w:rPr>
        <w:t>的计算方式</w:t>
      </w:r>
      <w:r>
        <w:rPr>
          <w:rFonts w:hint="eastAsia" w:ascii="宋体" w:hAnsi="宋体" w:eastAsia="宋体" w:cs="宋体"/>
          <w:spacing w:val="-1"/>
          <w:sz w:val="24"/>
          <w:szCs w:val="24"/>
          <w:highlight w:val="none"/>
          <w:u w:val="single"/>
        </w:rPr>
        <w:t>按实际发生在结算审核完成后支付。</w:t>
      </w:r>
    </w:p>
    <w:p w14:paraId="5DC1A870">
      <w:pPr>
        <w:wordWrap w:val="0"/>
        <w:autoSpaceDE w:val="0"/>
        <w:adjustRightInd w:val="0"/>
        <w:snapToGrid w:val="0"/>
        <w:spacing w:line="360" w:lineRule="auto"/>
        <w:ind w:firstLine="482" w:firstLineChars="200"/>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3.10</w:t>
      </w:r>
      <w:r>
        <w:rPr>
          <w:rFonts w:hint="eastAsia" w:ascii="宋体" w:hAnsi="宋体" w:eastAsia="宋体" w:cs="宋体"/>
          <w:color w:val="000000"/>
          <w:kern w:val="0"/>
          <w:sz w:val="24"/>
          <w:szCs w:val="24"/>
          <w:highlight w:val="none"/>
          <w:lang w:bidi="ar"/>
        </w:rPr>
        <w:t xml:space="preserve"> 暂列金额支付方式：</w:t>
      </w:r>
      <w:r>
        <w:rPr>
          <w:rFonts w:hint="eastAsia" w:ascii="宋体" w:hAnsi="宋体" w:eastAsia="宋体" w:cs="宋体"/>
          <w:color w:val="000000"/>
          <w:kern w:val="0"/>
          <w:sz w:val="24"/>
          <w:szCs w:val="24"/>
          <w:highlight w:val="none"/>
          <w:u w:val="single"/>
          <w:lang w:bidi="ar"/>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暂停拨付。在暂列金额的范围内，最终经发包人确认后支付至该部分实际完成工程量的90％，其余部分待结算完成审核后支付至97%，剩余3%为工程质量保修金</w:t>
      </w:r>
      <w:r>
        <w:rPr>
          <w:rFonts w:hint="eastAsia" w:ascii="宋体" w:hAnsi="宋体" w:eastAsia="宋体" w:cs="宋体"/>
          <w:color w:val="000000"/>
          <w:kern w:val="0"/>
          <w:sz w:val="24"/>
          <w:szCs w:val="24"/>
          <w:highlight w:val="none"/>
          <w:lang w:bidi="ar"/>
        </w:rPr>
        <w:t>。</w:t>
      </w:r>
    </w:p>
    <w:p w14:paraId="545A9451">
      <w:pPr>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3.11</w:t>
      </w:r>
      <w:r>
        <w:rPr>
          <w:rFonts w:hint="eastAsia" w:ascii="宋体" w:hAnsi="宋体" w:eastAsia="宋体" w:cs="宋体"/>
          <w:color w:val="000000"/>
          <w:sz w:val="24"/>
          <w:szCs w:val="24"/>
          <w:highlight w:val="none"/>
          <w:lang w:val="en-US" w:eastAsia="zh-CN"/>
        </w:rPr>
        <w:t xml:space="preserve"> 材料暂估价、专业工程暂估价支付方式：材料暂估价、专业工程暂估价与每个月的工程进度款一并报送，但需要列明详细项目内容，该部分材料暂估价、专业工程暂估价按该部分实际完成工程价款的 85%支付，剩余部分待最终结算完成审核后支付至 97%，剩余 3% 为工程质量保修金。 </w:t>
      </w:r>
    </w:p>
    <w:p w14:paraId="55698EE9">
      <w:pPr>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3.12</w:t>
      </w:r>
      <w:r>
        <w:rPr>
          <w:rFonts w:hint="eastAsia" w:ascii="宋体" w:hAnsi="宋体" w:eastAsia="宋体" w:cs="宋体"/>
          <w:color w:val="000000"/>
          <w:sz w:val="24"/>
          <w:szCs w:val="24"/>
          <w:highlight w:val="none"/>
          <w:lang w:val="en-US" w:eastAsia="zh-CN"/>
        </w:rPr>
        <w:t xml:space="preserve"> 承包人和分包人根据《韶关市财政局 韶关市发展和改革局关于开展我市政府投资项目资金穿透式监管试点工作的通知》签订《政府投资项目资金穿透式监管协议》（附件 3、附件 4）并进行工程相关款项支付。</w:t>
      </w:r>
    </w:p>
    <w:p w14:paraId="4B51A61F">
      <w:pPr>
        <w:wordWrap w:val="0"/>
        <w:adjustRightInd w:val="0"/>
        <w:snapToGrid w:val="0"/>
        <w:spacing w:line="360" w:lineRule="auto"/>
        <w:ind w:firstLine="482" w:firstLineChars="200"/>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4．专用合同条款</w:t>
      </w:r>
      <w:bookmarkEnd w:id="166"/>
      <w:bookmarkEnd w:id="167"/>
      <w:r>
        <w:rPr>
          <w:rFonts w:hint="eastAsia" w:ascii="宋体" w:hAnsi="宋体" w:eastAsia="宋体" w:cs="宋体"/>
          <w:snapToGrid w:val="0"/>
          <w:color w:val="000000"/>
          <w:kern w:val="0"/>
          <w:sz w:val="24"/>
          <w:szCs w:val="24"/>
          <w:highlight w:val="none"/>
        </w:rPr>
        <w:t>（由招标人自行补充）</w:t>
      </w:r>
    </w:p>
    <w:p w14:paraId="362A8826">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 xml:space="preserve"> 4.1承包人必须依照各相关规定做好工人工资支付保证金、工人工资支付专用账户、用工实名制管理工作。</w:t>
      </w:r>
    </w:p>
    <w:p w14:paraId="5C213742">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（1）施工预付款中已包括施工合同价的5%专用于承包人办理工人工资支付保证金，承包人必须于合同签订后5个工作日内办理完成保证金缴交或免缴手续。</w:t>
      </w:r>
    </w:p>
    <w:p w14:paraId="2CBC4A8B">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（2）承包人已依照相关规定开立工人工资支付专用账户，发包人支付工程进度款时，其中</w:t>
      </w:r>
      <w:r>
        <w:rPr>
          <w:rFonts w:hint="eastAsia" w:ascii="宋体" w:hAnsi="宋体" w:eastAsia="宋体" w:cs="宋体"/>
          <w:bCs/>
          <w:snapToGrid w:val="0"/>
          <w:color w:val="000000"/>
          <w:sz w:val="24"/>
          <w:szCs w:val="24"/>
          <w:highlight w:val="none"/>
          <w:lang w:val="en-US" w:eastAsia="zh-CN"/>
        </w:rPr>
        <w:t>85</w:t>
      </w:r>
      <w:r>
        <w:rPr>
          <w:rFonts w:hint="eastAsia" w:ascii="宋体" w:hAnsi="宋体" w:eastAsia="宋体" w:cs="宋体"/>
          <w:bCs/>
          <w:snapToGrid w:val="0"/>
          <w:color w:val="000000"/>
          <w:sz w:val="24"/>
          <w:szCs w:val="24"/>
          <w:highlight w:val="none"/>
        </w:rPr>
        <w:t>%支付进入本合同协议书载明的承包人账户、其中</w:t>
      </w:r>
      <w:r>
        <w:rPr>
          <w:rFonts w:hint="eastAsia" w:ascii="宋体" w:hAnsi="宋体" w:eastAsia="宋体" w:cs="宋体"/>
          <w:bCs/>
          <w:snapToGrid w:val="0"/>
          <w:color w:val="000000"/>
          <w:sz w:val="24"/>
          <w:szCs w:val="24"/>
          <w:highlight w:val="none"/>
          <w:lang w:val="en-US" w:eastAsia="zh-CN"/>
        </w:rPr>
        <w:t>15</w:t>
      </w:r>
      <w:r>
        <w:rPr>
          <w:rFonts w:hint="eastAsia" w:ascii="宋体" w:hAnsi="宋体" w:eastAsia="宋体" w:cs="宋体"/>
          <w:bCs/>
          <w:snapToGrid w:val="0"/>
          <w:color w:val="000000"/>
          <w:sz w:val="24"/>
          <w:szCs w:val="24"/>
          <w:highlight w:val="none"/>
        </w:rPr>
        <w:t>%支付进入本款载明的工人工资支付专用账户。承包人必须与所有聘用人员签订劳动合同，并按劳动合同约定每月足额通过专用账户发放工资，并按月将工资发放资料提交一份给发包人。</w:t>
      </w:r>
    </w:p>
    <w:p w14:paraId="36B29CC9">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（3）承包人应在开工前编制用工实名管理专项方案以及费用使用计划，经监理单位审批后，作为施工合同的组成部分，并依照相关规定做好用工实名信息化化管理。</w:t>
      </w:r>
    </w:p>
    <w:p w14:paraId="40BE1F7D">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4.2承包人除办理用工保险外还须根据</w:t>
      </w:r>
      <w:r>
        <w:rPr>
          <w:rFonts w:hint="eastAsia" w:ascii="宋体" w:hAnsi="宋体" w:eastAsia="宋体" w:cs="宋体"/>
          <w:bCs/>
          <w:snapToGrid w:val="0"/>
          <w:color w:val="000000"/>
          <w:sz w:val="24"/>
          <w:szCs w:val="24"/>
          <w:highlight w:val="none"/>
          <w:lang w:val="en-US" w:eastAsia="zh-CN"/>
        </w:rPr>
        <w:t>韶关市浈江区住房和城乡建设局</w:t>
      </w:r>
      <w:r>
        <w:rPr>
          <w:rFonts w:hint="eastAsia" w:ascii="宋体" w:hAnsi="宋体" w:eastAsia="宋体" w:cs="宋体"/>
          <w:bCs/>
          <w:snapToGrid w:val="0"/>
          <w:color w:val="000000"/>
          <w:sz w:val="24"/>
          <w:szCs w:val="24"/>
          <w:highlight w:val="none"/>
        </w:rPr>
        <w:t>《关于贯彻落实房屋建筑和市政基础设施施工领域安全生产责任保险工作的通知》（2022年1月17日）相关要求落实安全生产责任保险。</w:t>
      </w:r>
    </w:p>
    <w:p w14:paraId="201FCB94">
      <w:pPr>
        <w:pStyle w:val="25"/>
        <w:numPr>
          <w:ilvl w:val="0"/>
          <w:numId w:val="1"/>
        </w:numPr>
        <w:spacing w:line="360" w:lineRule="auto"/>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最终以合同签订为准，其他合同条款由招标人与中标人自行协商约定。</w:t>
      </w:r>
    </w:p>
    <w:p w14:paraId="7E8AA3BC">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76D7DAFE">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auto"/>
          <w:spacing w:val="0"/>
          <w:highlight w:val="none"/>
        </w:rPr>
      </w:pPr>
      <w:bookmarkStart w:id="173" w:name="_Toc22943"/>
      <w:r>
        <w:rPr>
          <w:rFonts w:hint="eastAsia" w:ascii="宋体" w:hAnsi="宋体" w:eastAsia="宋体" w:cs="宋体"/>
          <w:b/>
          <w:bCs/>
          <w:color w:val="auto"/>
          <w:spacing w:val="0"/>
          <w:sz w:val="24"/>
          <w:szCs w:val="24"/>
          <w:highlight w:val="none"/>
        </w:rPr>
        <w:t>第四章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技术要求</w:t>
      </w:r>
      <w:bookmarkEnd w:id="173"/>
    </w:p>
    <w:p w14:paraId="3201299A">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9B809F3">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auto"/>
          <w:spacing w:val="0"/>
          <w:sz w:val="24"/>
          <w:szCs w:val="24"/>
          <w:highlight w:val="none"/>
        </w:rPr>
      </w:pPr>
      <w:bookmarkStart w:id="174" w:name="_Toc10988"/>
      <w:bookmarkStart w:id="175" w:name="_Toc10155"/>
      <w:r>
        <w:rPr>
          <w:rFonts w:hint="eastAsia" w:ascii="宋体" w:hAnsi="宋体" w:eastAsia="宋体" w:cs="宋体"/>
          <w:b/>
          <w:bCs/>
          <w:color w:val="auto"/>
          <w:spacing w:val="0"/>
          <w:sz w:val="24"/>
          <w:szCs w:val="24"/>
          <w:highlight w:val="none"/>
        </w:rPr>
        <w:t>1 ．房屋建筑工程建设项目</w:t>
      </w:r>
      <w:bookmarkEnd w:id="174"/>
      <w:bookmarkEnd w:id="175"/>
    </w:p>
    <w:p w14:paraId="050B4243">
      <w:pPr>
        <w:keepNext w:val="0"/>
        <w:keepLines w:val="0"/>
        <w:pageBreakBefore w:val="0"/>
        <w:wordWrap w:val="0"/>
        <w:overflowPunct/>
        <w:topLinePunct w:val="0"/>
        <w:bidi w:val="0"/>
        <w:spacing w:before="152"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房屋建筑工程建设项目必须执行的现行技术规范，包括且不限于：</w:t>
      </w:r>
    </w:p>
    <w:p w14:paraId="3EC0C14D">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（1）《建筑工程施工质量验收统一标准》；</w:t>
      </w:r>
    </w:p>
    <w:p w14:paraId="22B24C08">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（2）《建筑地基基础工程施工质量验收规范》；</w:t>
      </w:r>
    </w:p>
    <w:p w14:paraId="5ED60998">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（3）《砌体工程施工质量验收规范》；</w:t>
      </w:r>
    </w:p>
    <w:p w14:paraId="25C5BA7D">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（4）《混凝土结构工程施工质量验收规范》；</w:t>
      </w:r>
    </w:p>
    <w:p w14:paraId="25488D25">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（5）《屋面工程质量验收规范》；</w:t>
      </w:r>
    </w:p>
    <w:p w14:paraId="6337919B">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（6）《地下防水工程质量验收规范》；</w:t>
      </w:r>
    </w:p>
    <w:p w14:paraId="2609EC74">
      <w:pPr>
        <w:keepNext w:val="0"/>
        <w:keepLines w:val="0"/>
        <w:pageBreakBefore w:val="0"/>
        <w:wordWrap w:val="0"/>
        <w:overflowPunct/>
        <w:topLinePunct w:val="0"/>
        <w:bidi w:val="0"/>
        <w:spacing w:before="156"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（7）《建筑地面工程施工质量验收规范》；</w:t>
      </w:r>
    </w:p>
    <w:p w14:paraId="4F1399EE">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（8）《建筑装饰装修工程施工质量验收规范》；</w:t>
      </w:r>
    </w:p>
    <w:p w14:paraId="64083FE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（9）《建筑给排水及采暖工程施工质量验收规范》；</w:t>
      </w:r>
    </w:p>
    <w:p w14:paraId="069B6833">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（10）《建筑电气工程施工质量验收规范》；</w:t>
      </w:r>
    </w:p>
    <w:p w14:paraId="67EBC88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（11）《住建部绿色建筑评价标准》；</w:t>
      </w:r>
    </w:p>
    <w:p w14:paraId="37F4B5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（12）《建筑节能与可再生能源利用通用规范》（GB55015-2021）；</w:t>
      </w:r>
    </w:p>
    <w:p w14:paraId="2389BAA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（13）《建筑环境通用规范》；</w:t>
      </w:r>
    </w:p>
    <w:p w14:paraId="16160537">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6" w:name="_Toc12084"/>
      <w:bookmarkStart w:id="177" w:name="_Toc16294"/>
      <w:r>
        <w:rPr>
          <w:rFonts w:hint="eastAsia" w:ascii="宋体" w:hAnsi="宋体" w:eastAsia="宋体" w:cs="宋体"/>
          <w:color w:val="auto"/>
          <w:spacing w:val="0"/>
          <w:sz w:val="24"/>
          <w:szCs w:val="24"/>
          <w:highlight w:val="none"/>
        </w:rPr>
        <w:t>（14）《建筑与市政工程无障碍通用规范》 GB 55019-2021；</w:t>
      </w:r>
      <w:bookmarkEnd w:id="176"/>
      <w:bookmarkEnd w:id="177"/>
    </w:p>
    <w:p w14:paraId="7D62B0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8" w:name="_Toc1177"/>
      <w:bookmarkStart w:id="179" w:name="_Toc15158"/>
      <w:r>
        <w:rPr>
          <w:rFonts w:hint="eastAsia" w:ascii="宋体" w:hAnsi="宋体" w:eastAsia="宋体" w:cs="宋体"/>
          <w:color w:val="auto"/>
          <w:spacing w:val="0"/>
          <w:sz w:val="24"/>
          <w:szCs w:val="24"/>
          <w:highlight w:val="none"/>
        </w:rPr>
        <w:t>（15）《建筑防火通用规范》GB 55037-2022;</w:t>
      </w:r>
      <w:bookmarkEnd w:id="178"/>
      <w:bookmarkEnd w:id="179"/>
    </w:p>
    <w:p w14:paraId="6015FD54">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0" w:name="_Toc24233"/>
      <w:bookmarkStart w:id="181" w:name="_Toc2461"/>
      <w:r>
        <w:rPr>
          <w:rFonts w:hint="eastAsia" w:ascii="宋体" w:hAnsi="宋体" w:eastAsia="宋体" w:cs="宋体"/>
          <w:color w:val="auto"/>
          <w:spacing w:val="0"/>
          <w:sz w:val="24"/>
          <w:szCs w:val="24"/>
          <w:highlight w:val="none"/>
        </w:rPr>
        <w:t>（16）《建筑与市政工程抗震通用规范》GB55002-2001;</w:t>
      </w:r>
      <w:bookmarkEnd w:id="180"/>
      <w:bookmarkEnd w:id="181"/>
    </w:p>
    <w:p w14:paraId="1F60129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2" w:name="_Toc5777"/>
      <w:bookmarkStart w:id="183" w:name="_Toc8109"/>
      <w:r>
        <w:rPr>
          <w:rFonts w:hint="eastAsia" w:ascii="宋体" w:hAnsi="宋体" w:eastAsia="宋体" w:cs="宋体"/>
          <w:color w:val="auto"/>
          <w:spacing w:val="0"/>
          <w:sz w:val="24"/>
          <w:szCs w:val="24"/>
          <w:highlight w:val="none"/>
        </w:rPr>
        <w:t>（17）《建筑与市政地基基础通用规范》GB55003-2001;</w:t>
      </w:r>
      <w:bookmarkEnd w:id="182"/>
      <w:bookmarkEnd w:id="183"/>
    </w:p>
    <w:p w14:paraId="7769CBE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（18）《广东省住房和城乡建设厅绿色施工导则》；</w:t>
      </w:r>
    </w:p>
    <w:p w14:paraId="2E0BAF3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（19）《广东省建筑工程绿色施工评价标准》；</w:t>
      </w:r>
    </w:p>
    <w:p w14:paraId="4AD58CA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（20）《广东省建筑节能与绿色建筑工程施工质量验收规范》</w:t>
      </w:r>
    </w:p>
    <w:p w14:paraId="2252F8FB">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（21）其他现行国家、广东省关于房建工程的施工及验收规范、定额、规程、标准。</w:t>
      </w:r>
    </w:p>
    <w:p w14:paraId="2829F9CD">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BD7F3EB">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auto"/>
          <w:spacing w:val="0"/>
          <w:sz w:val="24"/>
          <w:szCs w:val="24"/>
          <w:highlight w:val="none"/>
        </w:rPr>
      </w:pPr>
      <w:bookmarkStart w:id="184" w:name="_Toc15652"/>
      <w:bookmarkStart w:id="185" w:name="_Toc1126"/>
      <w:r>
        <w:rPr>
          <w:rFonts w:hint="eastAsia" w:ascii="宋体" w:hAnsi="宋体" w:eastAsia="宋体" w:cs="宋体"/>
          <w:b/>
          <w:bCs/>
          <w:color w:val="auto"/>
          <w:spacing w:val="0"/>
          <w:sz w:val="24"/>
          <w:szCs w:val="24"/>
          <w:highlight w:val="none"/>
        </w:rPr>
        <w:t>2 ．市政基础设施工程建设项目</w:t>
      </w:r>
      <w:bookmarkEnd w:id="184"/>
      <w:bookmarkEnd w:id="185"/>
    </w:p>
    <w:p w14:paraId="3B044182">
      <w:pPr>
        <w:keepNext w:val="0"/>
        <w:keepLines w:val="0"/>
        <w:pageBreakBefore w:val="0"/>
        <w:wordWrap w:val="0"/>
        <w:overflowPunct/>
        <w:topLinePunct w:val="0"/>
        <w:bidi w:val="0"/>
        <w:spacing w:before="154" w:line="220" w:lineRule="auto"/>
        <w:ind w:left="1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市政基础设施工程建设项目必须执行的现行技术规范，包括且不限于：</w:t>
      </w:r>
    </w:p>
    <w:p w14:paraId="28C3DC9E">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（1）《公路路基施工技术规范》；</w:t>
      </w:r>
    </w:p>
    <w:p w14:paraId="4D013B7E">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（2）《市政道路工程质量检验评定标准》；</w:t>
      </w:r>
    </w:p>
    <w:p w14:paraId="1D0CEE6F">
      <w:pPr>
        <w:keepNext w:val="0"/>
        <w:keepLines w:val="0"/>
        <w:pageBreakBefore w:val="0"/>
        <w:wordWrap w:val="0"/>
        <w:overflowPunct/>
        <w:topLinePunct w:val="0"/>
        <w:bidi w:val="0"/>
        <w:spacing w:before="154"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（3）《市政排水管渠工程质量检验评定标准》；</w:t>
      </w:r>
    </w:p>
    <w:p w14:paraId="5762B28C">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（4）《给水排水管道工程施工及验收规范》；</w:t>
      </w:r>
    </w:p>
    <w:p w14:paraId="2C15D184">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（5）《城市道路路基工程施工及验收规范》；</w:t>
      </w:r>
    </w:p>
    <w:p w14:paraId="289264E6">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（6）《水泥砼路面施工及验收规范》；</w:t>
      </w:r>
    </w:p>
    <w:p w14:paraId="2933B3E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（7）《公路水泥砼路面施工技术规范》；</w:t>
      </w:r>
    </w:p>
    <w:p w14:paraId="6AFB4FD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（8）《埋地硬聚氯乙烯排水管道工程技术规程》；</w:t>
      </w:r>
    </w:p>
    <w:p w14:paraId="77DD156A">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（9）《沥青路面施工及验收规范》；</w:t>
      </w:r>
    </w:p>
    <w:p w14:paraId="6315DB4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（10）《广东省市政工程施工质量技术资料统一用表》。</w:t>
      </w:r>
    </w:p>
    <w:p w14:paraId="0ADE511F">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6" w:name="_Toc30781"/>
      <w:bookmarkStart w:id="187" w:name="_Toc8494"/>
      <w:r>
        <w:rPr>
          <w:rFonts w:hint="eastAsia" w:ascii="宋体" w:hAnsi="宋体" w:eastAsia="宋体" w:cs="宋体"/>
          <w:color w:val="auto"/>
          <w:spacing w:val="0"/>
          <w:sz w:val="24"/>
          <w:szCs w:val="24"/>
          <w:highlight w:val="none"/>
        </w:rPr>
        <w:t>（11）《建筑与市政工程无障碍通用规范》 GB 55019-2021；</w:t>
      </w:r>
      <w:bookmarkEnd w:id="186"/>
      <w:bookmarkEnd w:id="187"/>
    </w:p>
    <w:p w14:paraId="3B2A76D8">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8" w:name="_Toc31143"/>
      <w:bookmarkStart w:id="189" w:name="_Toc17383"/>
      <w:r>
        <w:rPr>
          <w:rFonts w:hint="eastAsia" w:ascii="宋体" w:hAnsi="宋体" w:eastAsia="宋体" w:cs="宋体"/>
          <w:color w:val="auto"/>
          <w:spacing w:val="0"/>
          <w:sz w:val="24"/>
          <w:szCs w:val="24"/>
          <w:highlight w:val="none"/>
        </w:rPr>
        <w:t>（12）《建筑防火通用规范》GB 55037-2022;</w:t>
      </w:r>
      <w:bookmarkEnd w:id="188"/>
      <w:bookmarkEnd w:id="189"/>
    </w:p>
    <w:p w14:paraId="5317219A">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0" w:name="_Toc954"/>
      <w:bookmarkStart w:id="191" w:name="_Toc32476"/>
      <w:r>
        <w:rPr>
          <w:rFonts w:hint="eastAsia" w:ascii="宋体" w:hAnsi="宋体" w:eastAsia="宋体" w:cs="宋体"/>
          <w:color w:val="auto"/>
          <w:spacing w:val="0"/>
          <w:sz w:val="24"/>
          <w:szCs w:val="24"/>
          <w:highlight w:val="none"/>
        </w:rPr>
        <w:t>（13）《建筑与市政工程抗震通用规范》GB55002-2001;</w:t>
      </w:r>
      <w:bookmarkEnd w:id="190"/>
      <w:bookmarkEnd w:id="191"/>
    </w:p>
    <w:p w14:paraId="04AA5FD5">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2" w:name="_Toc7185"/>
      <w:bookmarkStart w:id="193" w:name="_Toc27898"/>
      <w:r>
        <w:rPr>
          <w:rFonts w:hint="eastAsia" w:ascii="宋体" w:hAnsi="宋体" w:eastAsia="宋体" w:cs="宋体"/>
          <w:color w:val="auto"/>
          <w:spacing w:val="0"/>
          <w:sz w:val="24"/>
          <w:szCs w:val="24"/>
          <w:highlight w:val="none"/>
        </w:rPr>
        <w:t>（14）《建筑与市政地基基础通用规范》GB55003-2001;</w:t>
      </w:r>
      <w:bookmarkEnd w:id="192"/>
      <w:bookmarkEnd w:id="193"/>
    </w:p>
    <w:p w14:paraId="62803EA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4" w:name="_Toc17281"/>
      <w:bookmarkStart w:id="195" w:name="_Toc29669"/>
      <w:r>
        <w:rPr>
          <w:rFonts w:hint="eastAsia" w:ascii="宋体" w:hAnsi="宋体" w:eastAsia="宋体" w:cs="宋体"/>
          <w:color w:val="auto"/>
          <w:spacing w:val="0"/>
          <w:sz w:val="24"/>
          <w:szCs w:val="24"/>
          <w:highlight w:val="none"/>
        </w:rPr>
        <w:t>（15）《城市道路照明设计标准》（CJJ45-2015）；</w:t>
      </w:r>
      <w:bookmarkEnd w:id="194"/>
      <w:bookmarkEnd w:id="195"/>
    </w:p>
    <w:p w14:paraId="35B71F3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6" w:name="_Toc31812"/>
      <w:bookmarkStart w:id="197" w:name="_Toc9161"/>
      <w:r>
        <w:rPr>
          <w:rFonts w:hint="eastAsia" w:ascii="宋体" w:hAnsi="宋体" w:eastAsia="宋体" w:cs="宋体"/>
          <w:color w:val="auto"/>
          <w:spacing w:val="0"/>
          <w:sz w:val="24"/>
          <w:szCs w:val="24"/>
          <w:highlight w:val="none"/>
        </w:rPr>
        <w:t>（16）《低压配电设计规范》（GB50054-2011）；</w:t>
      </w:r>
      <w:bookmarkEnd w:id="196"/>
      <w:bookmarkEnd w:id="197"/>
    </w:p>
    <w:p w14:paraId="6E393E7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8" w:name="_Toc18255"/>
      <w:bookmarkStart w:id="199" w:name="_Toc6405"/>
      <w:r>
        <w:rPr>
          <w:rFonts w:hint="eastAsia" w:ascii="宋体" w:hAnsi="宋体" w:eastAsia="宋体" w:cs="宋体"/>
          <w:color w:val="auto"/>
          <w:spacing w:val="0"/>
          <w:sz w:val="24"/>
          <w:szCs w:val="24"/>
          <w:highlight w:val="none"/>
        </w:rPr>
        <w:t>（17）《城市道路照明工程施工及验收规程》（CJJ89-2012）；</w:t>
      </w:r>
      <w:bookmarkEnd w:id="198"/>
      <w:bookmarkEnd w:id="199"/>
    </w:p>
    <w:p w14:paraId="274C675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（18）《LED 道路照明工程技术规范》（DB44/T 1898-2016）；</w:t>
      </w:r>
    </w:p>
    <w:p w14:paraId="123F693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（19）《灯具第 1 部分：一般要求与试验》（GB7000.1-2015）；</w:t>
      </w:r>
    </w:p>
    <w:p w14:paraId="429D4794">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（20）《电缆工程电缆设计标准》（GB50217-2018）；</w:t>
      </w:r>
    </w:p>
    <w:p w14:paraId="404BFE10">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（21）其他现行国家、广东省关于市政工程的技术及验收规范、定额、规程、标准。</w:t>
      </w:r>
    </w:p>
    <w:p w14:paraId="43D072C0">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3D026D9D">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0D07F4F1">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pacing w:val="0"/>
          <w:sz w:val="24"/>
          <w:szCs w:val="24"/>
          <w:highlight w:val="none"/>
        </w:rPr>
      </w:pPr>
      <w:bookmarkStart w:id="200" w:name="_Toc17417"/>
      <w:bookmarkStart w:id="201" w:name="_Toc9200"/>
      <w:r>
        <w:rPr>
          <w:rFonts w:hint="eastAsia" w:ascii="宋体" w:hAnsi="宋体" w:eastAsia="宋体" w:cs="宋体"/>
          <w:b/>
          <w:bCs/>
          <w:color w:val="auto"/>
          <w:spacing w:val="0"/>
          <w:sz w:val="24"/>
          <w:szCs w:val="24"/>
          <w:highlight w:val="none"/>
        </w:rPr>
        <w:t>3 ．备查要求</w:t>
      </w:r>
      <w:bookmarkEnd w:id="200"/>
      <w:bookmarkEnd w:id="201"/>
    </w:p>
    <w:p w14:paraId="0A659DD4">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spacing w:val="0"/>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0"/>
          <w:sz w:val="24"/>
          <w:szCs w:val="24"/>
          <w:highlight w:val="none"/>
        </w:rPr>
        <w:t>承包人必须在施工现场准备至少一套上述规范，发包人和监理单位可随时检查承 包人的上述规范，并监督承包人按规范要求执行。</w:t>
      </w:r>
    </w:p>
    <w:p w14:paraId="70A319DE">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auto"/>
          <w:spacing w:val="0"/>
          <w:sz w:val="24"/>
          <w:szCs w:val="24"/>
          <w:highlight w:val="none"/>
        </w:rPr>
      </w:pPr>
      <w:bookmarkStart w:id="202" w:name="bookmark100"/>
      <w:bookmarkEnd w:id="202"/>
      <w:bookmarkStart w:id="203" w:name="bookmark146"/>
      <w:bookmarkEnd w:id="203"/>
      <w:bookmarkStart w:id="204" w:name="_Toc17497"/>
      <w:r>
        <w:rPr>
          <w:rFonts w:hint="eastAsia" w:ascii="宋体" w:hAnsi="宋体" w:eastAsia="宋体" w:cs="宋体"/>
          <w:b/>
          <w:bCs/>
          <w:color w:val="auto"/>
          <w:spacing w:val="0"/>
          <w:sz w:val="24"/>
          <w:szCs w:val="24"/>
          <w:highlight w:val="none"/>
        </w:rPr>
        <w:t>第五章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图纸和招标工程量清单</w:t>
      </w:r>
      <w:bookmarkEnd w:id="204"/>
    </w:p>
    <w:p w14:paraId="6AC473F9">
      <w:pPr>
        <w:pStyle w:val="6"/>
        <w:keepNext w:val="0"/>
        <w:keepLines w:val="0"/>
        <w:pageBreakBefore w:val="0"/>
        <w:wordWrap w:val="0"/>
        <w:overflowPunct/>
        <w:topLinePunct w:val="0"/>
        <w:bidi w:val="0"/>
        <w:spacing w:line="283" w:lineRule="auto"/>
        <w:rPr>
          <w:rFonts w:hint="eastAsia" w:ascii="宋体" w:hAnsi="宋体" w:eastAsia="宋体" w:cs="宋体"/>
          <w:color w:val="auto"/>
          <w:spacing w:val="0"/>
          <w:highlight w:val="none"/>
        </w:rPr>
      </w:pPr>
    </w:p>
    <w:p w14:paraId="5D6D037F">
      <w:pPr>
        <w:pStyle w:val="6"/>
        <w:keepNext w:val="0"/>
        <w:keepLines w:val="0"/>
        <w:pageBreakBefore w:val="0"/>
        <w:wordWrap w:val="0"/>
        <w:overflowPunct/>
        <w:topLinePunct w:val="0"/>
        <w:bidi w:val="0"/>
        <w:spacing w:line="284" w:lineRule="auto"/>
        <w:rPr>
          <w:rFonts w:hint="eastAsia" w:ascii="宋体" w:hAnsi="宋体" w:eastAsia="宋体" w:cs="宋体"/>
          <w:color w:val="auto"/>
          <w:spacing w:val="0"/>
          <w:highlight w:val="none"/>
        </w:rPr>
      </w:pPr>
    </w:p>
    <w:p w14:paraId="0445B316">
      <w:pPr>
        <w:keepNext w:val="0"/>
        <w:keepLines w:val="0"/>
        <w:pageBreakBefore w:val="0"/>
        <w:wordWrap w:val="0"/>
        <w:overflowPunct/>
        <w:topLinePunct w:val="0"/>
        <w:bidi w:val="0"/>
        <w:spacing w:before="78" w:line="219" w:lineRule="auto"/>
        <w:ind w:left="10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□有，另附复印件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有，自行网上下载(浏览)           □无</w:t>
      </w:r>
    </w:p>
    <w:p w14:paraId="06973F82">
      <w:pPr>
        <w:pStyle w:val="6"/>
        <w:keepNext w:val="0"/>
        <w:keepLines w:val="0"/>
        <w:pageBreakBefore w:val="0"/>
        <w:wordWrap w:val="0"/>
        <w:overflowPunct/>
        <w:topLinePunct w:val="0"/>
        <w:bidi w:val="0"/>
        <w:spacing w:line="265" w:lineRule="auto"/>
        <w:rPr>
          <w:rFonts w:hint="eastAsia" w:ascii="宋体" w:hAnsi="宋体" w:eastAsia="宋体" w:cs="宋体"/>
          <w:color w:val="auto"/>
          <w:spacing w:val="0"/>
          <w:highlight w:val="none"/>
        </w:rPr>
      </w:pPr>
    </w:p>
    <w:p w14:paraId="48CAC688">
      <w:pPr>
        <w:keepNext w:val="0"/>
        <w:keepLines w:val="0"/>
        <w:pageBreakBefore w:val="0"/>
        <w:wordWrap w:val="0"/>
        <w:overflowPunct/>
        <w:topLinePunct w:val="0"/>
        <w:bidi w:val="0"/>
        <w:spacing w:before="151" w:line="222" w:lineRule="auto"/>
        <w:ind w:left="715"/>
        <w:outlineLvl w:val="2"/>
        <w:rPr>
          <w:rFonts w:hint="eastAsia" w:ascii="宋体" w:hAnsi="宋体" w:eastAsia="宋体" w:cs="宋体"/>
          <w:color w:val="auto"/>
          <w:spacing w:val="0"/>
          <w:sz w:val="24"/>
          <w:szCs w:val="24"/>
          <w:highlight w:val="none"/>
        </w:rPr>
      </w:pPr>
      <w:bookmarkStart w:id="205" w:name="_Toc24446"/>
      <w:bookmarkStart w:id="206" w:name="_Toc23405"/>
      <w:r>
        <w:rPr>
          <w:rFonts w:hint="eastAsia" w:ascii="宋体" w:hAnsi="宋体" w:eastAsia="宋体" w:cs="宋体"/>
          <w:b/>
          <w:bCs/>
          <w:color w:val="auto"/>
          <w:spacing w:val="0"/>
          <w:sz w:val="24"/>
          <w:szCs w:val="24"/>
          <w:highlight w:val="none"/>
        </w:rPr>
        <w:t>1 ．图纸</w:t>
      </w:r>
      <w:bookmarkEnd w:id="205"/>
      <w:bookmarkEnd w:id="206"/>
    </w:p>
    <w:p w14:paraId="3CE037BD">
      <w:pPr>
        <w:keepNext w:val="0"/>
        <w:keepLines w:val="0"/>
        <w:pageBreakBefore w:val="0"/>
        <w:wordWrap w:val="0"/>
        <w:overflowPunct/>
        <w:topLinePunct w:val="0"/>
        <w:bidi w:val="0"/>
        <w:spacing w:before="150" w:line="330" w:lineRule="auto"/>
        <w:ind w:left="230" w:firstLine="48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本招标文件随文另附施工图（电子文件）一套。</w:t>
      </w:r>
    </w:p>
    <w:p w14:paraId="15A44684">
      <w:pPr>
        <w:pStyle w:val="6"/>
        <w:keepNext w:val="0"/>
        <w:keepLines w:val="0"/>
        <w:pageBreakBefore w:val="0"/>
        <w:wordWrap w:val="0"/>
        <w:overflowPunct/>
        <w:topLinePunct w:val="0"/>
        <w:bidi w:val="0"/>
        <w:spacing w:line="253" w:lineRule="auto"/>
        <w:rPr>
          <w:rFonts w:hint="eastAsia" w:ascii="宋体" w:hAnsi="宋体" w:eastAsia="宋体" w:cs="宋体"/>
          <w:color w:val="auto"/>
          <w:spacing w:val="0"/>
          <w:highlight w:val="none"/>
        </w:rPr>
      </w:pPr>
    </w:p>
    <w:p w14:paraId="58FD0004">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auto"/>
          <w:spacing w:val="0"/>
          <w:sz w:val="24"/>
          <w:szCs w:val="24"/>
          <w:highlight w:val="none"/>
        </w:rPr>
      </w:pPr>
      <w:bookmarkStart w:id="207" w:name="_Toc3353"/>
      <w:bookmarkStart w:id="208" w:name="_Toc9064"/>
      <w:r>
        <w:rPr>
          <w:rFonts w:hint="eastAsia" w:ascii="宋体" w:hAnsi="宋体" w:eastAsia="宋体" w:cs="宋体"/>
          <w:b/>
          <w:bCs/>
          <w:color w:val="auto"/>
          <w:spacing w:val="0"/>
          <w:sz w:val="24"/>
          <w:szCs w:val="24"/>
          <w:highlight w:val="none"/>
        </w:rPr>
        <w:t>2 ．招标工程量清单</w:t>
      </w:r>
      <w:bookmarkEnd w:id="207"/>
      <w:bookmarkEnd w:id="208"/>
    </w:p>
    <w:p w14:paraId="65F4E704">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本招标文件随文另附</w:t>
      </w:r>
      <w:bookmarkStart w:id="209" w:name="OLE_LINK33"/>
      <w:r>
        <w:rPr>
          <w:rFonts w:hint="eastAsia" w:ascii="宋体" w:hAnsi="宋体" w:eastAsia="宋体" w:cs="宋体"/>
          <w:color w:val="auto"/>
          <w:spacing w:val="0"/>
          <w:sz w:val="24"/>
          <w:szCs w:val="24"/>
          <w:highlight w:val="none"/>
          <w:u w:val="single"/>
        </w:rPr>
        <w:t>招标工程量清单  EXCEL 版</w:t>
      </w:r>
      <w:bookmarkEnd w:id="209"/>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电子文件一套。</w:t>
      </w:r>
    </w:p>
    <w:p w14:paraId="33AD0AD8">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auto"/>
          <w:spacing w:val="0"/>
          <w:sz w:val="24"/>
          <w:szCs w:val="24"/>
          <w:highlight w:val="none"/>
        </w:rPr>
      </w:pPr>
      <w:bookmarkStart w:id="210" w:name="bookmark147"/>
      <w:bookmarkEnd w:id="210"/>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本工程按照以下依据编制</w:t>
      </w:r>
      <w:r>
        <w:rPr>
          <w:rFonts w:hint="eastAsia" w:ascii="宋体" w:hAnsi="宋体" w:eastAsia="宋体" w:cs="宋体"/>
          <w:color w:val="auto"/>
          <w:spacing w:val="0"/>
          <w:sz w:val="24"/>
          <w:szCs w:val="24"/>
          <w:highlight w:val="none"/>
          <w:u w:val="single"/>
        </w:rPr>
        <w:t>招标工程量清单</w:t>
      </w:r>
      <w:r>
        <w:rPr>
          <w:rFonts w:hint="eastAsia" w:ascii="宋体" w:hAnsi="宋体" w:eastAsia="宋体" w:cs="宋体"/>
          <w:color w:val="auto"/>
          <w:spacing w:val="0"/>
          <w:sz w:val="24"/>
          <w:szCs w:val="24"/>
          <w:highlight w:val="none"/>
        </w:rPr>
        <w:t>：</w:t>
      </w:r>
    </w:p>
    <w:p w14:paraId="4ADE5BD6">
      <w:pPr>
        <w:keepNext w:val="0"/>
        <w:keepLines w:val="0"/>
        <w:pageBreakBefore w:val="0"/>
        <w:wordWrap w:val="0"/>
        <w:overflowPunct/>
        <w:topLinePunct w:val="0"/>
        <w:bidi w:val="0"/>
        <w:spacing w:before="12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1C4EC15">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auto"/>
          <w:spacing w:val="0"/>
          <w:sz w:val="24"/>
          <w:szCs w:val="24"/>
          <w:highlight w:val="none"/>
          <w:u w:val="single"/>
        </w:rPr>
        <w:t>工程量清单</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的补充和(或)修改文件。</w:t>
      </w:r>
    </w:p>
    <w:p w14:paraId="396435DC">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（3）本招标工程量清单措施项目中的</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不得作为竞争性费用，投标报价必须按本招标工程量清单规定的金额填报。</w:t>
      </w:r>
    </w:p>
    <w:p w14:paraId="7E3C2A06">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4F500B5">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0D23E0F">
      <w:pPr>
        <w:keepNext w:val="0"/>
        <w:keepLines w:val="0"/>
        <w:pageBreakBefore w:val="0"/>
        <w:wordWrap w:val="0"/>
        <w:overflowPunct/>
        <w:topLinePunct w:val="0"/>
        <w:bidi w:val="0"/>
        <w:spacing w:before="146" w:line="221"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（6）施工图及相关资料；</w:t>
      </w:r>
    </w:p>
    <w:p w14:paraId="40D30AFB">
      <w:pPr>
        <w:keepNext w:val="0"/>
        <w:keepLines w:val="0"/>
        <w:pageBreakBefore w:val="0"/>
        <w:wordWrap w:val="0"/>
        <w:overflowPunct/>
        <w:topLinePunct w:val="0"/>
        <w:bidi w:val="0"/>
        <w:spacing w:before="153"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（7）招标文件；</w:t>
      </w:r>
    </w:p>
    <w:p w14:paraId="1BB0CBB1">
      <w:pPr>
        <w:keepNext w:val="0"/>
        <w:keepLines w:val="0"/>
        <w:pageBreakBefore w:val="0"/>
        <w:wordWrap w:val="0"/>
        <w:overflowPunct/>
        <w:topLinePunct w:val="0"/>
        <w:bidi w:val="0"/>
        <w:spacing w:before="155"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（8）施工现场情况、地勘水文资料、工程特点及常规施工方案；</w:t>
      </w:r>
    </w:p>
    <w:p w14:paraId="6410E1A2">
      <w:pPr>
        <w:keepNext w:val="0"/>
        <w:keepLines w:val="0"/>
        <w:pageBreakBefore w:val="0"/>
        <w:wordWrap w:val="0"/>
        <w:overflowPunct/>
        <w:topLinePunct w:val="0"/>
        <w:bidi w:val="0"/>
        <w:spacing w:before="15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（9）与建设工程有关的标准、规范、技术资料、材料设备信息价或市场价格等。</w:t>
      </w:r>
    </w:p>
    <w:p w14:paraId="1D4C5EAD">
      <w:pPr>
        <w:pStyle w:val="25"/>
        <w:rPr>
          <w:rFonts w:hint="eastAsia"/>
          <w:highlight w:val="none"/>
        </w:rPr>
      </w:pPr>
    </w:p>
    <w:p w14:paraId="4AC2D2DC">
      <w:pPr>
        <w:keepNext w:val="0"/>
        <w:keepLines w:val="0"/>
        <w:pageBreakBefore w:val="0"/>
        <w:wordWrap w:val="0"/>
        <w:overflowPunct/>
        <w:topLinePunct w:val="0"/>
        <w:bidi w:val="0"/>
        <w:spacing w:line="219" w:lineRule="auto"/>
        <w:rPr>
          <w:rFonts w:hint="eastAsia" w:ascii="宋体" w:hAnsi="宋体" w:eastAsia="宋体" w:cs="宋体"/>
          <w:color w:val="auto"/>
          <w:spacing w:val="0"/>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DDC0F87">
      <w:pPr>
        <w:pStyle w:val="6"/>
        <w:keepNext w:val="0"/>
        <w:keepLines w:val="0"/>
        <w:pageBreakBefore w:val="0"/>
        <w:wordWrap w:val="0"/>
        <w:overflowPunct/>
        <w:topLinePunct w:val="0"/>
        <w:bidi w:val="0"/>
        <w:spacing w:line="304" w:lineRule="auto"/>
        <w:rPr>
          <w:rFonts w:hint="eastAsia" w:ascii="宋体" w:hAnsi="宋体" w:eastAsia="宋体" w:cs="宋体"/>
          <w:color w:val="auto"/>
          <w:spacing w:val="0"/>
          <w:highlight w:val="none"/>
        </w:rPr>
      </w:pPr>
    </w:p>
    <w:p w14:paraId="53A71D7E">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auto"/>
          <w:spacing w:val="0"/>
          <w:sz w:val="24"/>
          <w:szCs w:val="24"/>
          <w:highlight w:val="none"/>
        </w:rPr>
      </w:pPr>
      <w:bookmarkStart w:id="211" w:name="_Toc5775"/>
      <w:r>
        <w:rPr>
          <w:rFonts w:hint="eastAsia" w:ascii="宋体" w:hAnsi="宋体" w:eastAsia="宋体" w:cs="宋体"/>
          <w:b/>
          <w:bCs/>
          <w:color w:val="auto"/>
          <w:spacing w:val="0"/>
          <w:sz w:val="24"/>
          <w:szCs w:val="24"/>
          <w:highlight w:val="none"/>
        </w:rPr>
        <w:t>第六章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投标文件格式</w:t>
      </w:r>
      <w:bookmarkEnd w:id="211"/>
    </w:p>
    <w:p w14:paraId="2EC1601C">
      <w:pPr>
        <w:pStyle w:val="6"/>
        <w:keepNext w:val="0"/>
        <w:keepLines w:val="0"/>
        <w:pageBreakBefore w:val="0"/>
        <w:wordWrap w:val="0"/>
        <w:overflowPunct/>
        <w:topLinePunct w:val="0"/>
        <w:bidi w:val="0"/>
        <w:spacing w:line="302" w:lineRule="auto"/>
        <w:jc w:val="right"/>
        <w:rPr>
          <w:rFonts w:hint="eastAsia" w:ascii="宋体" w:hAnsi="宋体" w:eastAsia="宋体" w:cs="宋体"/>
          <w:color w:val="auto"/>
          <w:spacing w:val="0"/>
          <w:highlight w:val="none"/>
        </w:rPr>
      </w:pPr>
    </w:p>
    <w:p w14:paraId="35317F27">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12" w:name="_Toc21804"/>
      <w:r>
        <w:rPr>
          <w:rFonts w:hint="eastAsia" w:ascii="宋体" w:hAnsi="宋体" w:eastAsia="宋体" w:cs="宋体"/>
          <w:b/>
          <w:bCs/>
          <w:color w:val="auto"/>
          <w:spacing w:val="0"/>
          <w:sz w:val="24"/>
          <w:szCs w:val="24"/>
          <w:highlight w:val="none"/>
        </w:rPr>
        <w:t>格式一</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封面</w:t>
      </w:r>
      <w:bookmarkEnd w:id="212"/>
    </w:p>
    <w:p w14:paraId="22939F0A">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66915BCF">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6B9238C0">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51AEF4BE">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72F4C1F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90D7A8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40A7482">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2B960F2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2B958D73">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7A72E1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rPr>
        <w:t>投</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18D44A5D">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2A01F55B">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60F88F6F">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auto"/>
          <w:spacing w:val="0"/>
          <w:sz w:val="47"/>
          <w:szCs w:val="47"/>
          <w:highlight w:val="none"/>
        </w:rPr>
      </w:pPr>
      <w:bookmarkStart w:id="213" w:name="bookmark105"/>
      <w:bookmarkEnd w:id="213"/>
      <w:r>
        <w:rPr>
          <w:rFonts w:hint="eastAsia" w:ascii="宋体" w:hAnsi="宋体" w:eastAsia="宋体" w:cs="宋体"/>
          <w:b/>
          <w:bCs/>
          <w:color w:val="auto"/>
          <w:spacing w:val="0"/>
          <w:sz w:val="47"/>
          <w:szCs w:val="47"/>
          <w:highlight w:val="none"/>
        </w:rPr>
        <w:t>（商务标书／经济标书／施工组织设计）</w:t>
      </w:r>
    </w:p>
    <w:p w14:paraId="1827A625">
      <w:pPr>
        <w:keepNext w:val="0"/>
        <w:keepLines w:val="0"/>
        <w:pageBreakBefore w:val="0"/>
        <w:wordWrap w:val="0"/>
        <w:overflowPunct/>
        <w:topLinePunct w:val="0"/>
        <w:bidi w:val="0"/>
        <w:rPr>
          <w:rFonts w:hint="eastAsia"/>
          <w:color w:val="auto"/>
          <w:spacing w:val="0"/>
          <w:highlight w:val="none"/>
        </w:rPr>
      </w:pPr>
    </w:p>
    <w:p w14:paraId="67DBC774">
      <w:pPr>
        <w:keepNext w:val="0"/>
        <w:keepLines w:val="0"/>
        <w:pageBreakBefore w:val="0"/>
        <w:wordWrap w:val="0"/>
        <w:overflowPunct/>
        <w:topLinePunct w:val="0"/>
        <w:bidi w:val="0"/>
        <w:rPr>
          <w:rFonts w:hint="eastAsia"/>
          <w:color w:val="auto"/>
          <w:spacing w:val="0"/>
          <w:highlight w:val="none"/>
        </w:rPr>
      </w:pPr>
    </w:p>
    <w:p w14:paraId="7A75E59A">
      <w:pPr>
        <w:keepNext w:val="0"/>
        <w:keepLines w:val="0"/>
        <w:pageBreakBefore w:val="0"/>
        <w:wordWrap w:val="0"/>
        <w:overflowPunct/>
        <w:topLinePunct w:val="0"/>
        <w:bidi w:val="0"/>
        <w:rPr>
          <w:rFonts w:hint="eastAsia"/>
          <w:color w:val="auto"/>
          <w:spacing w:val="0"/>
          <w:highlight w:val="none"/>
        </w:rPr>
      </w:pPr>
    </w:p>
    <w:p w14:paraId="15752D3C">
      <w:pPr>
        <w:keepNext w:val="0"/>
        <w:keepLines w:val="0"/>
        <w:pageBreakBefore w:val="0"/>
        <w:wordWrap w:val="0"/>
        <w:overflowPunct/>
        <w:topLinePunct w:val="0"/>
        <w:bidi w:val="0"/>
        <w:rPr>
          <w:rFonts w:hint="eastAsia"/>
          <w:color w:val="auto"/>
          <w:spacing w:val="0"/>
          <w:highlight w:val="none"/>
        </w:rPr>
      </w:pPr>
    </w:p>
    <w:p w14:paraId="5692DC52">
      <w:pPr>
        <w:keepNext w:val="0"/>
        <w:keepLines w:val="0"/>
        <w:pageBreakBefore w:val="0"/>
        <w:wordWrap w:val="0"/>
        <w:overflowPunct/>
        <w:topLinePunct w:val="0"/>
        <w:bidi w:val="0"/>
        <w:rPr>
          <w:rFonts w:hint="eastAsia"/>
          <w:color w:val="auto"/>
          <w:spacing w:val="0"/>
          <w:highlight w:val="none"/>
        </w:rPr>
      </w:pPr>
    </w:p>
    <w:p w14:paraId="16E4878E">
      <w:pPr>
        <w:keepNext w:val="0"/>
        <w:keepLines w:val="0"/>
        <w:pageBreakBefore w:val="0"/>
        <w:wordWrap w:val="0"/>
        <w:overflowPunct/>
        <w:topLinePunct w:val="0"/>
        <w:bidi w:val="0"/>
        <w:rPr>
          <w:rFonts w:hint="eastAsia"/>
          <w:color w:val="auto"/>
          <w:spacing w:val="0"/>
          <w:highlight w:val="none"/>
        </w:rPr>
      </w:pPr>
    </w:p>
    <w:p w14:paraId="02A3E851">
      <w:pPr>
        <w:keepNext w:val="0"/>
        <w:keepLines w:val="0"/>
        <w:pageBreakBefore w:val="0"/>
        <w:wordWrap w:val="0"/>
        <w:overflowPunct/>
        <w:topLinePunct w:val="0"/>
        <w:bidi w:val="0"/>
        <w:rPr>
          <w:rFonts w:hint="eastAsia"/>
          <w:color w:val="auto"/>
          <w:spacing w:val="0"/>
          <w:highlight w:val="none"/>
        </w:rPr>
      </w:pPr>
    </w:p>
    <w:p w14:paraId="239B10F6">
      <w:pPr>
        <w:keepNext w:val="0"/>
        <w:keepLines w:val="0"/>
        <w:pageBreakBefore w:val="0"/>
        <w:wordWrap w:val="0"/>
        <w:overflowPunct/>
        <w:topLinePunct w:val="0"/>
        <w:bidi w:val="0"/>
        <w:rPr>
          <w:rFonts w:hint="eastAsia"/>
          <w:color w:val="auto"/>
          <w:spacing w:val="0"/>
          <w:highlight w:val="none"/>
        </w:rPr>
      </w:pPr>
    </w:p>
    <w:p w14:paraId="7DEE428F">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1F2990EF">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92542ED">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E8E05FF">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0A7DCB04">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078077D8">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0B9F06FE">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093C1E3">
      <w:pPr>
        <w:keepNext w:val="0"/>
        <w:keepLines w:val="0"/>
        <w:pageBreakBefore w:val="0"/>
        <w:wordWrap w:val="0"/>
        <w:overflowPunct/>
        <w:topLinePunct w:val="0"/>
        <w:bidi w:val="0"/>
        <w:rPr>
          <w:rFonts w:hint="eastAsia"/>
          <w:color w:val="auto"/>
          <w:spacing w:val="0"/>
          <w:highlight w:val="none"/>
        </w:rPr>
      </w:pPr>
    </w:p>
    <w:p w14:paraId="16E40CD3">
      <w:pPr>
        <w:keepNext w:val="0"/>
        <w:keepLines w:val="0"/>
        <w:pageBreakBefore w:val="0"/>
        <w:wordWrap w:val="0"/>
        <w:overflowPunct/>
        <w:topLinePunct w:val="0"/>
        <w:bidi w:val="0"/>
        <w:outlineLvl w:val="9"/>
        <w:rPr>
          <w:rFonts w:hint="eastAsia"/>
          <w:color w:val="auto"/>
          <w:spacing w:val="0"/>
          <w:highlight w:val="none"/>
        </w:rPr>
      </w:pPr>
    </w:p>
    <w:p w14:paraId="50644371">
      <w:pPr>
        <w:keepNext w:val="0"/>
        <w:keepLines w:val="0"/>
        <w:pageBreakBefore w:val="0"/>
        <w:wordWrap w:val="0"/>
        <w:overflowPunct/>
        <w:topLinePunct w:val="0"/>
        <w:bidi w:val="0"/>
        <w:spacing w:line="223" w:lineRule="auto"/>
        <w:rPr>
          <w:rFonts w:hint="eastAsia" w:ascii="宋体" w:hAnsi="宋体" w:eastAsia="宋体" w:cs="宋体"/>
          <w:color w:val="auto"/>
          <w:spacing w:val="0"/>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4006671">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4" w:name="_Toc9478"/>
      <w:r>
        <w:rPr>
          <w:rFonts w:hint="eastAsia" w:ascii="宋体" w:hAnsi="宋体" w:eastAsia="宋体" w:cs="宋体"/>
          <w:b/>
          <w:bCs/>
          <w:color w:val="auto"/>
          <w:spacing w:val="0"/>
          <w:sz w:val="24"/>
          <w:szCs w:val="24"/>
          <w:highlight w:val="none"/>
        </w:rPr>
        <w:t>格式二 投标函</w:t>
      </w:r>
      <w:bookmarkEnd w:id="214"/>
    </w:p>
    <w:p w14:paraId="1D98FD50">
      <w:pPr>
        <w:pStyle w:val="6"/>
        <w:keepNext w:val="0"/>
        <w:keepLines w:val="0"/>
        <w:pageBreakBefore w:val="0"/>
        <w:wordWrap w:val="0"/>
        <w:overflowPunct/>
        <w:topLinePunct w:val="0"/>
        <w:bidi w:val="0"/>
        <w:spacing w:line="261" w:lineRule="auto"/>
        <w:rPr>
          <w:rFonts w:hint="eastAsia" w:ascii="宋体" w:hAnsi="宋体" w:eastAsia="宋体" w:cs="宋体"/>
          <w:color w:val="auto"/>
          <w:spacing w:val="0"/>
          <w:highlight w:val="none"/>
        </w:rPr>
      </w:pPr>
    </w:p>
    <w:p w14:paraId="4CF4C0CD">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auto"/>
          <w:spacing w:val="0"/>
          <w:sz w:val="30"/>
          <w:szCs w:val="30"/>
          <w:highlight w:val="none"/>
        </w:rPr>
      </w:pPr>
      <w:bookmarkStart w:id="215" w:name="bookmark148"/>
      <w:bookmarkEnd w:id="215"/>
      <w:bookmarkStart w:id="216" w:name="_Toc297"/>
      <w:bookmarkStart w:id="217" w:name="_Toc317"/>
      <w:bookmarkStart w:id="218" w:name="_Toc27397"/>
      <w:r>
        <w:rPr>
          <w:rFonts w:hint="eastAsia" w:ascii="宋体" w:hAnsi="宋体" w:eastAsia="宋体" w:cs="宋体"/>
          <w:b/>
          <w:bCs/>
          <w:color w:val="auto"/>
          <w:spacing w:val="0"/>
          <w:sz w:val="30"/>
          <w:szCs w:val="30"/>
          <w:highlight w:val="none"/>
        </w:rPr>
        <w:t>投</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标</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函</w:t>
      </w:r>
      <w:bookmarkEnd w:id="216"/>
      <w:bookmarkEnd w:id="217"/>
      <w:bookmarkEnd w:id="218"/>
    </w:p>
    <w:p w14:paraId="0BECEE49">
      <w:pPr>
        <w:pStyle w:val="6"/>
        <w:keepNext w:val="0"/>
        <w:keepLines w:val="0"/>
        <w:pageBreakBefore w:val="0"/>
        <w:wordWrap w:val="0"/>
        <w:overflowPunct/>
        <w:topLinePunct w:val="0"/>
        <w:bidi w:val="0"/>
        <w:spacing w:line="249" w:lineRule="auto"/>
        <w:rPr>
          <w:rFonts w:hint="eastAsia" w:ascii="宋体" w:hAnsi="宋体" w:eastAsia="宋体" w:cs="宋体"/>
          <w:color w:val="auto"/>
          <w:spacing w:val="0"/>
          <w:highlight w:val="none"/>
        </w:rPr>
      </w:pPr>
    </w:p>
    <w:p w14:paraId="6DB72834">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B496E9A">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12B47534">
      <w:pPr>
        <w:keepNext w:val="0"/>
        <w:keepLines w:val="0"/>
        <w:pageBreakBefore w:val="0"/>
        <w:wordWrap w:val="0"/>
        <w:overflowPunct/>
        <w:topLinePunct w:val="0"/>
        <w:bidi w:val="0"/>
        <w:spacing w:before="78" w:line="221" w:lineRule="auto"/>
        <w:ind w:left="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424F50E0">
      <w:pPr>
        <w:pStyle w:val="6"/>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我方考察现场并充分研究</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（项目名称）（以下简称“本项目 ”）施工招标文件所有内容后，结合自身资质、能力和特点，愿意接受招标文件的全部内容和条件，兹以人民币（大写）：</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的投标总价竞投本项目施工。</w:t>
      </w:r>
    </w:p>
    <w:p w14:paraId="65404536">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在我方的上述投标总价中，包括：</w:t>
      </w:r>
      <w:r>
        <w:rPr>
          <w:rFonts w:hint="eastAsia" w:ascii="宋体" w:hAnsi="宋体" w:eastAsia="宋体" w:cs="宋体"/>
          <w:b w:val="0"/>
          <w:bCs/>
          <w:i w:val="0"/>
          <w:iCs w:val="0"/>
          <w:caps w:val="0"/>
          <w:spacing w:val="0"/>
          <w:sz w:val="24"/>
          <w:szCs w:val="24"/>
          <w:highlight w:val="none"/>
          <w:shd w:val="clear" w:color="auto" w:fill="FFFFFF"/>
        </w:rPr>
        <w:t>安全生产措施费</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；暂列金额</w:t>
      </w:r>
      <w:r>
        <w:rPr>
          <w:rFonts w:hint="eastAsia" w:ascii="宋体" w:hAnsi="宋体" w:eastAsia="宋体" w:cs="宋体"/>
          <w:color w:val="auto"/>
          <w:spacing w:val="0"/>
          <w:sz w:val="24"/>
          <w:szCs w:val="24"/>
          <w:highlight w:val="none"/>
          <w:u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b w:val="0"/>
          <w:bCs/>
          <w:i w:val="0"/>
          <w:iCs w:val="0"/>
          <w:caps w:val="0"/>
          <w:spacing w:val="0"/>
          <w:sz w:val="24"/>
          <w:szCs w:val="24"/>
          <w:highlight w:val="none"/>
          <w:shd w:val="clear" w:color="auto" w:fill="FFFFFF"/>
        </w:rPr>
        <w:t>专业工程暂估价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05DB8658">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如果我方中标，我方保证按照合同约定的开工日期开始本项目的施工，</w:t>
      </w:r>
      <w:bookmarkStart w:id="219" w:name="OLE_LINK34"/>
      <w:r>
        <w:rPr>
          <w:rFonts w:hint="eastAsia" w:ascii="宋体" w:hAnsi="宋体" w:eastAsia="宋体" w:cs="宋体"/>
          <w:color w:val="auto"/>
          <w:spacing w:val="0"/>
          <w:sz w:val="24"/>
          <w:szCs w:val="24"/>
          <w:highlight w:val="none"/>
          <w:u w:val="single"/>
          <w:lang w:val="en-US" w:eastAsia="zh-CN"/>
        </w:rPr>
        <w:t xml:space="preserve">     </w:t>
      </w:r>
      <w:bookmarkEnd w:id="219"/>
      <w:r>
        <w:rPr>
          <w:rFonts w:hint="eastAsia" w:ascii="宋体" w:hAnsi="宋体" w:eastAsia="宋体" w:cs="宋体"/>
          <w:color w:val="auto"/>
          <w:spacing w:val="0"/>
          <w:sz w:val="24"/>
          <w:szCs w:val="24"/>
          <w:highlight w:val="none"/>
        </w:rPr>
        <w:t>个日历天内竣工，并确保工程质量达到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标准和维修其中的任何缺陷。</w:t>
      </w:r>
    </w:p>
    <w:p w14:paraId="7F9AEF98">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本投标函在你方接收我方递交的投标文件之日起、到招标文件规定的投标有效期期满前对我方具有约束力。我方随时准备接受你方发出的中标通知书。</w:t>
      </w:r>
    </w:p>
    <w:p w14:paraId="27C14D7C">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 ．我方在此声明，我方不存在本项目招标文件第一章第三节第 </w:t>
      </w:r>
      <w:r>
        <w:rPr>
          <w:rFonts w:hint="eastAsia" w:ascii="宋体" w:hAnsi="宋体" w:eastAsia="宋体" w:cs="宋体"/>
          <w:b/>
          <w:bCs/>
          <w:color w:val="auto"/>
          <w:spacing w:val="0"/>
          <w:sz w:val="24"/>
          <w:szCs w:val="24"/>
          <w:highlight w:val="none"/>
        </w:rPr>
        <w:t>2.4</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条“禁止投标条款 ”所列出的任何一种情形，并愿意承担因我方就此弄虚作假所引起的一切法律后果。</w:t>
      </w:r>
    </w:p>
    <w:p w14:paraId="6BB8F2B3">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．我方在此承诺，所递交投标文件的全部内容均为真实、有效、准确的，并愿意承担因我方就此弄虚作假所引起的一切法律后果，同时理解和同意有可能被要求提供更多的资料。</w:t>
      </w:r>
    </w:p>
    <w:p w14:paraId="1174E6A2">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我方理解你方不一定要接纳收到的最低投标总价或任何投标总价的投标人中标， 也不要求你方解释我方是否中标的原因。</w:t>
      </w:r>
    </w:p>
    <w:p w14:paraId="58BE135B">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5982C2D6">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6BBA89B">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1FA3A66F">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7244B7E4">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57CD189E">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48EF47E5">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16678323">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CB1877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D8CFA68">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日</w:t>
      </w:r>
    </w:p>
    <w:p w14:paraId="620D98CA">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678C58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0" w:name="_Toc31828"/>
      <w:r>
        <w:rPr>
          <w:rFonts w:hint="eastAsia" w:ascii="宋体" w:hAnsi="宋体" w:eastAsia="宋体" w:cs="宋体"/>
          <w:b/>
          <w:bCs/>
          <w:color w:val="auto"/>
          <w:spacing w:val="0"/>
          <w:sz w:val="24"/>
          <w:szCs w:val="24"/>
          <w:highlight w:val="none"/>
        </w:rPr>
        <w:t>格式三 各项承诺一览表</w:t>
      </w:r>
      <w:bookmarkEnd w:id="220"/>
    </w:p>
    <w:p w14:paraId="41734E79">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5D24808B">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auto"/>
          <w:spacing w:val="0"/>
          <w:sz w:val="30"/>
          <w:szCs w:val="30"/>
          <w:highlight w:val="none"/>
        </w:rPr>
      </w:pPr>
      <w:bookmarkStart w:id="221" w:name="bookmark149"/>
      <w:bookmarkEnd w:id="221"/>
      <w:bookmarkStart w:id="222" w:name="_Toc2936"/>
      <w:bookmarkStart w:id="223" w:name="_Toc10326"/>
      <w:bookmarkStart w:id="224" w:name="_Toc4767"/>
      <w:r>
        <w:rPr>
          <w:rFonts w:hint="eastAsia" w:ascii="宋体" w:hAnsi="宋体" w:eastAsia="宋体" w:cs="宋体"/>
          <w:b/>
          <w:bCs/>
          <w:color w:val="auto"/>
          <w:spacing w:val="0"/>
          <w:sz w:val="30"/>
          <w:szCs w:val="30"/>
          <w:highlight w:val="none"/>
        </w:rPr>
        <w:t>各项承诺一览表</w:t>
      </w:r>
      <w:bookmarkEnd w:id="222"/>
      <w:bookmarkEnd w:id="223"/>
      <w:bookmarkEnd w:id="224"/>
    </w:p>
    <w:p w14:paraId="74FA8C54">
      <w:pPr>
        <w:keepNext w:val="0"/>
        <w:keepLines w:val="0"/>
        <w:pageBreakBefore w:val="0"/>
        <w:wordWrap w:val="0"/>
        <w:overflowPunct/>
        <w:topLinePunct w:val="0"/>
        <w:bidi w:val="0"/>
        <w:spacing w:before="6"/>
        <w:rPr>
          <w:rFonts w:hint="eastAsia" w:ascii="宋体" w:hAnsi="宋体" w:eastAsia="宋体" w:cs="宋体"/>
          <w:color w:val="auto"/>
          <w:spacing w:val="0"/>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165B7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2557443">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675" w:type="dxa"/>
            <w:vAlign w:val="top"/>
          </w:tcPr>
          <w:p w14:paraId="0CBAE793">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承诺事项</w:t>
            </w:r>
          </w:p>
        </w:tc>
        <w:tc>
          <w:tcPr>
            <w:tcW w:w="3107" w:type="dxa"/>
            <w:vAlign w:val="top"/>
          </w:tcPr>
          <w:p w14:paraId="2F967406">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承诺内容</w:t>
            </w:r>
          </w:p>
        </w:tc>
        <w:tc>
          <w:tcPr>
            <w:tcW w:w="4272" w:type="dxa"/>
            <w:vAlign w:val="top"/>
          </w:tcPr>
          <w:p w14:paraId="0AE4BD22">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违约承诺</w:t>
            </w:r>
          </w:p>
        </w:tc>
      </w:tr>
      <w:tr w14:paraId="2A890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2014C68">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675" w:type="dxa"/>
            <w:vAlign w:val="center"/>
          </w:tcPr>
          <w:p w14:paraId="789F554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自愿接受招标文件条款的承诺</w:t>
            </w:r>
          </w:p>
        </w:tc>
        <w:tc>
          <w:tcPr>
            <w:tcW w:w="3107" w:type="dxa"/>
            <w:vAlign w:val="top"/>
          </w:tcPr>
          <w:p w14:paraId="72C35A06">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E32699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我方自愿接受招标文件的所有条款，所递交的投标文件已 经充分响应招标文件的实质性要求。</w:t>
            </w:r>
          </w:p>
        </w:tc>
        <w:tc>
          <w:tcPr>
            <w:tcW w:w="4272" w:type="dxa"/>
            <w:vAlign w:val="top"/>
          </w:tcPr>
          <w:p w14:paraId="3AA62306">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如果我方的投标文件未响应、违反、偏 离招标文件的实质性要求，我方接受招标人或其授权的招标代理机构或其组建的评标委员会依据招标文件作出的相应处理，包括否决投标。</w:t>
            </w:r>
          </w:p>
        </w:tc>
      </w:tr>
      <w:tr w14:paraId="21309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724BEB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675" w:type="dxa"/>
            <w:vAlign w:val="center"/>
          </w:tcPr>
          <w:p w14:paraId="1C692CE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无禁止投标情形的承诺</w:t>
            </w:r>
          </w:p>
        </w:tc>
        <w:tc>
          <w:tcPr>
            <w:tcW w:w="3107" w:type="dxa"/>
            <w:vAlign w:val="top"/>
          </w:tcPr>
          <w:p w14:paraId="43462223">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AB15359">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725913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我方不存在招标文件第一 章第三节第 </w:t>
            </w:r>
            <w:r>
              <w:rPr>
                <w:rFonts w:hint="eastAsia" w:ascii="宋体" w:hAnsi="宋体" w:eastAsia="宋体" w:cs="宋体"/>
                <w:b/>
                <w:bCs/>
                <w:color w:val="auto"/>
                <w:spacing w:val="0"/>
                <w:sz w:val="21"/>
                <w:szCs w:val="21"/>
                <w:highlight w:val="none"/>
              </w:rPr>
              <w:t xml:space="preserve">2.4 </w:t>
            </w:r>
            <w:r>
              <w:rPr>
                <w:rFonts w:hint="eastAsia" w:ascii="宋体" w:hAnsi="宋体" w:eastAsia="宋体" w:cs="宋体"/>
                <w:color w:val="auto"/>
                <w:spacing w:val="0"/>
                <w:sz w:val="21"/>
                <w:szCs w:val="21"/>
                <w:highlight w:val="none"/>
              </w:rPr>
              <w:t>条“禁止投标条 款 ”规定的任何一种情形。</w:t>
            </w:r>
          </w:p>
        </w:tc>
        <w:tc>
          <w:tcPr>
            <w:tcW w:w="4272" w:type="dxa"/>
            <w:vAlign w:val="top"/>
          </w:tcPr>
          <w:p w14:paraId="61908D31">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如果我方有招标文件第一章第三节第 </w:t>
            </w:r>
            <w:r>
              <w:rPr>
                <w:rFonts w:hint="eastAsia" w:ascii="宋体" w:hAnsi="宋体" w:eastAsia="宋体" w:cs="宋体"/>
                <w:b/>
                <w:bCs/>
                <w:color w:val="auto"/>
                <w:spacing w:val="0"/>
                <w:sz w:val="21"/>
                <w:szCs w:val="21"/>
                <w:highlight w:val="none"/>
              </w:rPr>
              <w:t xml:space="preserve">2.  4 </w:t>
            </w:r>
            <w:r>
              <w:rPr>
                <w:rFonts w:hint="eastAsia" w:ascii="宋体" w:hAnsi="宋体" w:eastAsia="宋体" w:cs="宋体"/>
                <w:color w:val="auto"/>
                <w:spacing w:val="0"/>
                <w:sz w:val="21"/>
                <w:szCs w:val="21"/>
                <w:highlight w:val="none"/>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2C9D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49F024F">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675" w:type="dxa"/>
            <w:vAlign w:val="center"/>
          </w:tcPr>
          <w:p w14:paraId="6D0B4C4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自觉抵制围标</w:t>
            </w:r>
          </w:p>
          <w:p w14:paraId="1A91D299">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串标和弄虚</w:t>
            </w:r>
          </w:p>
          <w:p w14:paraId="33205045">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作假行为的承诺</w:t>
            </w:r>
          </w:p>
        </w:tc>
        <w:tc>
          <w:tcPr>
            <w:tcW w:w="3107" w:type="dxa"/>
            <w:vAlign w:val="top"/>
          </w:tcPr>
          <w:p w14:paraId="467CF56B">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9BB889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我方合法正当、诚实守信地参与投标，不组织、不参加围标串标违法行为，不通过弄虚作假 行为骗取中标。</w:t>
            </w:r>
          </w:p>
        </w:tc>
        <w:tc>
          <w:tcPr>
            <w:tcW w:w="4272" w:type="dxa"/>
            <w:vAlign w:val="top"/>
          </w:tcPr>
          <w:p w14:paraId="26572BB1">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714E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086B151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1675" w:type="dxa"/>
            <w:vAlign w:val="center"/>
          </w:tcPr>
          <w:p w14:paraId="722BA64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项目经理任职承诺</w:t>
            </w:r>
          </w:p>
        </w:tc>
        <w:tc>
          <w:tcPr>
            <w:tcW w:w="3107" w:type="dxa"/>
            <w:vAlign w:val="top"/>
          </w:tcPr>
          <w:p w14:paraId="7085E917">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5699295">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66ABAC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我方拟派项目经理现阶段没有担任任何在施（包括已中标 未开工、已开工未竣工）建设工程项目的项目经理。</w:t>
            </w:r>
          </w:p>
        </w:tc>
        <w:tc>
          <w:tcPr>
            <w:tcW w:w="4272" w:type="dxa"/>
            <w:vAlign w:val="top"/>
          </w:tcPr>
          <w:p w14:paraId="1898A32C">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7D3F5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2548129">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1675" w:type="dxa"/>
            <w:vAlign w:val="center"/>
          </w:tcPr>
          <w:p w14:paraId="7290DF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115877CE">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真实性承诺</w:t>
            </w:r>
          </w:p>
        </w:tc>
        <w:tc>
          <w:tcPr>
            <w:tcW w:w="3107" w:type="dxa"/>
            <w:vAlign w:val="top"/>
          </w:tcPr>
          <w:p w14:paraId="43727651">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81401A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我方所递交投标文件的全部内容均为真实、有效、准确的。</w:t>
            </w:r>
          </w:p>
        </w:tc>
        <w:tc>
          <w:tcPr>
            <w:tcW w:w="4272" w:type="dxa"/>
            <w:vAlign w:val="top"/>
          </w:tcPr>
          <w:p w14:paraId="187ED321">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75BFE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456DD1FA">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rPr>
              <w:drawing>
                <wp:anchor distT="0" distB="0" distL="114300" distR="114300" simplePos="0" relativeHeight="251663360"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4C7AE5D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2C400923">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信息公开承诺</w:t>
            </w:r>
          </w:p>
        </w:tc>
        <w:tc>
          <w:tcPr>
            <w:tcW w:w="3107" w:type="dxa"/>
            <w:vAlign w:val="top"/>
          </w:tcPr>
          <w:p w14:paraId="58C341DF">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211429B8">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8E9C96B">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1A7F7EF">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0EC6B0A4">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pacing w:val="0"/>
                <w:sz w:val="21"/>
                <w:szCs w:val="21"/>
                <w:highlight w:val="none"/>
              </w:rPr>
            </w:pPr>
          </w:p>
        </w:tc>
      </w:tr>
      <w:tr w14:paraId="13470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29242B05">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1675" w:type="dxa"/>
            <w:vAlign w:val="center"/>
          </w:tcPr>
          <w:p w14:paraId="7298459F">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对不正常报价的确认承诺</w:t>
            </w:r>
          </w:p>
        </w:tc>
        <w:tc>
          <w:tcPr>
            <w:tcW w:w="3107" w:type="dxa"/>
            <w:vAlign w:val="top"/>
          </w:tcPr>
          <w:p w14:paraId="5F3D606E">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1D1DE373">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0888FEE">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77E9644">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A1199D4">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4C143886">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pacing w:val="0"/>
                <w:sz w:val="21"/>
                <w:szCs w:val="21"/>
                <w:highlight w:val="none"/>
              </w:rPr>
            </w:pPr>
          </w:p>
        </w:tc>
      </w:tr>
      <w:tr w14:paraId="11302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EECA14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1675" w:type="dxa"/>
            <w:vAlign w:val="center"/>
          </w:tcPr>
          <w:p w14:paraId="4044B441">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按时提交履约保证的承诺</w:t>
            </w:r>
          </w:p>
        </w:tc>
        <w:tc>
          <w:tcPr>
            <w:tcW w:w="3107" w:type="dxa"/>
            <w:vAlign w:val="top"/>
          </w:tcPr>
          <w:p w14:paraId="0356E9C6">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9220BB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如果我方中标，我方保证在招标文件规定的时限内全额提交履约保证。</w:t>
            </w:r>
          </w:p>
        </w:tc>
        <w:tc>
          <w:tcPr>
            <w:tcW w:w="4272" w:type="dxa"/>
            <w:vAlign w:val="top"/>
          </w:tcPr>
          <w:p w14:paraId="061ED1BE">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如果我方未在招标文件规定的时限内全 额提交履约保证，我方接受招标人依据招标文件作出的相应处理以及有关监督部门作出的行政处罚，并承担由此引起的一切法律后果。</w:t>
            </w:r>
          </w:p>
        </w:tc>
      </w:tr>
      <w:tr w14:paraId="3853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97E0028">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1675" w:type="dxa"/>
            <w:vAlign w:val="center"/>
          </w:tcPr>
          <w:p w14:paraId="272686C5">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按时签订合同的承诺</w:t>
            </w:r>
          </w:p>
        </w:tc>
        <w:tc>
          <w:tcPr>
            <w:tcW w:w="3107" w:type="dxa"/>
            <w:vAlign w:val="top"/>
          </w:tcPr>
          <w:p w14:paraId="0D0C1B16">
            <w:pPr>
              <w:pStyle w:val="29"/>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B58C7C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 招标文件规定的时限内与招标人签订合同，不提出违背或超出招标文件、中标文件的要求。</w:t>
            </w:r>
          </w:p>
        </w:tc>
        <w:tc>
          <w:tcPr>
            <w:tcW w:w="4272" w:type="dxa"/>
            <w:vAlign w:val="top"/>
          </w:tcPr>
          <w:p w14:paraId="515E9F60">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549FC2A1">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auto"/>
          <w:spacing w:val="0"/>
          <w:sz w:val="24"/>
          <w:szCs w:val="24"/>
          <w:highlight w:val="none"/>
        </w:rPr>
      </w:pPr>
    </w:p>
    <w:p w14:paraId="420D5EA7">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4A7B0690">
      <w:pPr>
        <w:pStyle w:val="6"/>
        <w:keepNext w:val="0"/>
        <w:keepLines w:val="0"/>
        <w:pageBreakBefore w:val="0"/>
        <w:wordWrap w:val="0"/>
        <w:overflowPunct/>
        <w:topLinePunct w:val="0"/>
        <w:bidi w:val="0"/>
        <w:spacing w:line="297" w:lineRule="auto"/>
        <w:jc w:val="right"/>
        <w:rPr>
          <w:rFonts w:hint="eastAsia" w:ascii="宋体" w:hAnsi="宋体" w:eastAsia="宋体" w:cs="宋体"/>
          <w:color w:val="auto"/>
          <w:spacing w:val="0"/>
          <w:highlight w:val="none"/>
        </w:rPr>
      </w:pPr>
    </w:p>
    <w:p w14:paraId="693BC169">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1BA52AD8">
      <w:pPr>
        <w:keepNext w:val="0"/>
        <w:keepLines w:val="0"/>
        <w:pageBreakBefore w:val="0"/>
        <w:wordWrap w:val="0"/>
        <w:overflowPunct/>
        <w:topLinePunct w:val="0"/>
        <w:bidi w:val="0"/>
        <w:outlineLvl w:val="9"/>
        <w:rPr>
          <w:rFonts w:hint="eastAsia"/>
          <w:color w:val="auto"/>
          <w:spacing w:val="0"/>
          <w:highlight w:val="none"/>
        </w:rPr>
      </w:pPr>
    </w:p>
    <w:p w14:paraId="4983A772">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CC4144A">
      <w:pPr>
        <w:keepNext w:val="0"/>
        <w:keepLines w:val="0"/>
        <w:pageBreakBefore w:val="0"/>
        <w:wordWrap w:val="0"/>
        <w:overflowPunct/>
        <w:topLinePunct w:val="0"/>
        <w:bidi w:val="0"/>
        <w:spacing w:line="220" w:lineRule="auto"/>
        <w:jc w:val="right"/>
        <w:rPr>
          <w:rFonts w:hint="eastAsia" w:ascii="宋体" w:hAnsi="宋体" w:eastAsia="宋体" w:cs="宋体"/>
          <w:color w:val="auto"/>
          <w:spacing w:val="0"/>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D79D95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5" w:name="_Toc9225"/>
      <w:r>
        <w:rPr>
          <w:rFonts w:hint="eastAsia" w:ascii="宋体" w:hAnsi="宋体" w:eastAsia="宋体" w:cs="宋体"/>
          <w:b/>
          <w:bCs/>
          <w:color w:val="auto"/>
          <w:spacing w:val="0"/>
          <w:sz w:val="24"/>
          <w:szCs w:val="24"/>
          <w:highlight w:val="none"/>
        </w:rPr>
        <w:t>格式四 授权委托书</w:t>
      </w:r>
      <w:bookmarkEnd w:id="225"/>
    </w:p>
    <w:p w14:paraId="033A3703">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13EBC733">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6E355852">
      <w:pPr>
        <w:keepNext w:val="0"/>
        <w:keepLines w:val="0"/>
        <w:pageBreakBefore w:val="0"/>
        <w:wordWrap w:val="0"/>
        <w:overflowPunct/>
        <w:topLinePunct w:val="0"/>
        <w:bidi w:val="0"/>
        <w:spacing w:before="97" w:line="219" w:lineRule="auto"/>
        <w:ind w:left="3786"/>
        <w:rPr>
          <w:rFonts w:hint="eastAsia" w:ascii="宋体" w:hAnsi="宋体" w:eastAsia="宋体" w:cs="宋体"/>
          <w:color w:val="auto"/>
          <w:spacing w:val="0"/>
          <w:sz w:val="30"/>
          <w:szCs w:val="30"/>
          <w:highlight w:val="none"/>
        </w:rPr>
      </w:pPr>
      <w:bookmarkStart w:id="226" w:name="bookmark151"/>
      <w:bookmarkEnd w:id="226"/>
      <w:r>
        <w:rPr>
          <w:rFonts w:hint="eastAsia" w:ascii="宋体" w:hAnsi="宋体" w:eastAsia="宋体" w:cs="宋体"/>
          <w:b/>
          <w:bCs/>
          <w:color w:val="auto"/>
          <w:spacing w:val="0"/>
          <w:sz w:val="30"/>
          <w:szCs w:val="30"/>
          <w:highlight w:val="none"/>
        </w:rPr>
        <w:t>授权委托书</w:t>
      </w:r>
    </w:p>
    <w:p w14:paraId="5CCB07D4">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CCFB3A6">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A0E7DA8">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3E9F9F19">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8"/>
          <w:highlight w:val="none"/>
          <w:lang w:eastAsia="zh-CN"/>
        </w:rPr>
        <w:t>本人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（姓名）系</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（投标人名称）的法定代表人，现委托</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 w:val="24"/>
          <w:szCs w:val="28"/>
          <w:highlight w:val="none"/>
          <w:u w:val="single"/>
          <w:lang w:eastAsia="zh-CN"/>
        </w:rPr>
        <w:t>（项目名称）</w:t>
      </w:r>
      <w:r>
        <w:rPr>
          <w:rFonts w:hint="eastAsia" w:ascii="宋体" w:hAnsi="宋体" w:eastAsia="宋体" w:cs="宋体"/>
          <w:snapToGrid w:val="0"/>
          <w:color w:val="auto"/>
          <w:spacing w:val="0"/>
          <w:kern w:val="0"/>
          <w:sz w:val="24"/>
          <w:szCs w:val="28"/>
          <w:highlight w:val="none"/>
          <w:lang w:eastAsia="zh-CN"/>
        </w:rPr>
        <w:t xml:space="preserve"> 施工投标文件、签订合同和处理有关事宜，其法律后果由我方承担。</w:t>
      </w:r>
    </w:p>
    <w:p w14:paraId="16D778F7">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委托期限：至</w:t>
      </w:r>
      <w:r>
        <w:rPr>
          <w:rFonts w:hint="eastAsia" w:ascii="宋体" w:hAnsi="宋体" w:eastAsia="宋体" w:cs="宋体"/>
          <w:color w:val="auto"/>
          <w:spacing w:val="0"/>
          <w:sz w:val="24"/>
          <w:szCs w:val="24"/>
          <w:highlight w:val="none"/>
          <w:u w:val="single"/>
        </w:rPr>
        <w:t xml:space="preserve">     年   月    日</w:t>
      </w:r>
      <w:r>
        <w:rPr>
          <w:rFonts w:hint="eastAsia" w:ascii="宋体" w:hAnsi="宋体" w:eastAsia="宋体" w:cs="宋体"/>
          <w:i/>
          <w:iCs/>
          <w:color w:val="auto"/>
          <w:spacing w:val="0"/>
          <w:sz w:val="25"/>
          <w:szCs w:val="25"/>
          <w:highlight w:val="none"/>
          <w:u w:val="single"/>
        </w:rPr>
        <w:t>（不得短于招标文件规定的投标有效期）</w:t>
      </w:r>
      <w:r>
        <w:rPr>
          <w:rFonts w:hint="eastAsia" w:ascii="宋体" w:hAnsi="宋体" w:eastAsia="宋体" w:cs="宋体"/>
          <w:color w:val="auto"/>
          <w:spacing w:val="0"/>
          <w:sz w:val="25"/>
          <w:szCs w:val="25"/>
          <w:highlight w:val="none"/>
        </w:rPr>
        <w:t xml:space="preserve"> </w:t>
      </w:r>
      <w:r>
        <w:rPr>
          <w:rFonts w:hint="eastAsia" w:ascii="宋体" w:hAnsi="宋体" w:eastAsia="宋体" w:cs="宋体"/>
          <w:color w:val="auto"/>
          <w:spacing w:val="0"/>
          <w:sz w:val="24"/>
          <w:szCs w:val="24"/>
          <w:highlight w:val="none"/>
        </w:rPr>
        <w:t xml:space="preserve">。 </w:t>
      </w:r>
    </w:p>
    <w:p w14:paraId="3236344C">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195F0838">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29886232">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2AC1726">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71613945">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  标  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1F3FE37C">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80417B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3FE38F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3C0E146">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7619A633">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C3DBDE2">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62989C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C04CF09">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09D735DA">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17D3A11A">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239E053E">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64FF01">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auto"/>
          <w:spacing w:val="0"/>
          <w:sz w:val="24"/>
          <w:szCs w:val="24"/>
          <w:highlight w:val="none"/>
        </w:rPr>
      </w:pPr>
    </w:p>
    <w:p w14:paraId="09D41A99">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p w14:paraId="339F1D63">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61F820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3BD92DDA">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1D12E42D">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65523525">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295DF5D">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B3005C8">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4BC556D9">
            <w:pPr>
              <w:pStyle w:val="29"/>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0F0D06AC">
            <w:pPr>
              <w:pStyle w:val="29"/>
              <w:keepNext w:val="0"/>
              <w:keepLines w:val="0"/>
              <w:pageBreakBefore w:val="0"/>
              <w:wordWrap w:val="0"/>
              <w:overflowPunct/>
              <w:topLinePunct w:val="0"/>
              <w:bidi w:val="0"/>
              <w:spacing w:line="246" w:lineRule="auto"/>
              <w:rPr>
                <w:rFonts w:hint="eastAsia" w:ascii="宋体" w:hAnsi="宋体" w:eastAsia="宋体" w:cs="宋体"/>
                <w:color w:val="auto"/>
                <w:spacing w:val="0"/>
                <w:highlight w:val="none"/>
              </w:rPr>
            </w:pPr>
          </w:p>
          <w:p w14:paraId="6F8182F0">
            <w:pPr>
              <w:keepNext w:val="0"/>
              <w:keepLines w:val="0"/>
              <w:pageBreakBefore w:val="0"/>
              <w:wordWrap w:val="0"/>
              <w:overflowPunct/>
              <w:topLinePunct w:val="0"/>
              <w:bidi w:val="0"/>
              <w:spacing w:before="78" w:line="220" w:lineRule="auto"/>
              <w:ind w:left="7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r>
              <w:rPr>
                <w:rFonts w:hint="eastAsia" w:ascii="宋体" w:hAnsi="宋体" w:eastAsia="宋体" w:cs="宋体"/>
                <w:color w:val="auto"/>
                <w:spacing w:val="0"/>
                <w:sz w:val="24"/>
                <w:szCs w:val="24"/>
                <w:highlight w:val="none"/>
                <w:lang w:val="en-US" w:eastAsia="zh-CN"/>
              </w:rPr>
              <w:t>彩色扫描件</w:t>
            </w:r>
            <w:r>
              <w:rPr>
                <w:rFonts w:hint="eastAsia" w:ascii="宋体" w:hAnsi="宋体" w:eastAsia="宋体" w:cs="宋体"/>
                <w:color w:val="auto"/>
                <w:spacing w:val="0"/>
                <w:sz w:val="24"/>
                <w:szCs w:val="24"/>
                <w:highlight w:val="none"/>
              </w:rPr>
              <w:t>正、反面</w:t>
            </w:r>
          </w:p>
        </w:tc>
      </w:tr>
    </w:tbl>
    <w:p w14:paraId="455830FB">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p w14:paraId="4FDF7422">
      <w:pPr>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550756">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7" w:name="_Toc23932"/>
      <w:r>
        <w:rPr>
          <w:rFonts w:hint="eastAsia" w:ascii="宋体" w:hAnsi="宋体" w:eastAsia="宋体" w:cs="宋体"/>
          <w:b/>
          <w:bCs/>
          <w:color w:val="auto"/>
          <w:spacing w:val="0"/>
          <w:sz w:val="24"/>
          <w:szCs w:val="24"/>
          <w:highlight w:val="none"/>
        </w:rPr>
        <w:t>格式五 法定代表人身份证明</w:t>
      </w:r>
      <w:bookmarkEnd w:id="227"/>
    </w:p>
    <w:p w14:paraId="0726C661">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3C8BDF93">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3216759B">
      <w:pPr>
        <w:keepNext w:val="0"/>
        <w:keepLines w:val="0"/>
        <w:pageBreakBefore w:val="0"/>
        <w:wordWrap w:val="0"/>
        <w:overflowPunct/>
        <w:topLinePunct w:val="0"/>
        <w:bidi w:val="0"/>
        <w:spacing w:before="98" w:line="220" w:lineRule="auto"/>
        <w:ind w:left="3183"/>
        <w:rPr>
          <w:rFonts w:hint="eastAsia" w:ascii="宋体" w:hAnsi="宋体" w:eastAsia="宋体" w:cs="宋体"/>
          <w:color w:val="auto"/>
          <w:spacing w:val="0"/>
          <w:sz w:val="30"/>
          <w:szCs w:val="30"/>
          <w:highlight w:val="none"/>
        </w:rPr>
      </w:pPr>
      <w:bookmarkStart w:id="228" w:name="bookmark152"/>
      <w:bookmarkEnd w:id="228"/>
      <w:r>
        <w:rPr>
          <w:rFonts w:hint="eastAsia" w:ascii="宋体" w:hAnsi="宋体" w:eastAsia="宋体" w:cs="宋体"/>
          <w:b/>
          <w:bCs/>
          <w:color w:val="auto"/>
          <w:spacing w:val="0"/>
          <w:sz w:val="30"/>
          <w:szCs w:val="30"/>
          <w:highlight w:val="none"/>
        </w:rPr>
        <w:t>法定代表人身份证明</w:t>
      </w:r>
    </w:p>
    <w:p w14:paraId="511D2E66">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4202308">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A866794">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1223B37A">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投标人名称：</w:t>
      </w:r>
      <w:r>
        <w:rPr>
          <w:rFonts w:hint="eastAsia" w:ascii="宋体" w:hAnsi="宋体" w:eastAsia="宋体" w:cs="宋体"/>
          <w:snapToGrid w:val="0"/>
          <w:color w:val="auto"/>
          <w:spacing w:val="0"/>
          <w:kern w:val="0"/>
          <w:sz w:val="24"/>
          <w:szCs w:val="24"/>
          <w:highlight w:val="none"/>
          <w:u w:val="single"/>
        </w:rPr>
        <w:t xml:space="preserve">                  </w:t>
      </w:r>
    </w:p>
    <w:p w14:paraId="2642C3CF">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姓名：</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性别：</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年龄：</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职务：</w:t>
      </w:r>
      <w:r>
        <w:rPr>
          <w:rFonts w:hint="eastAsia" w:ascii="宋体" w:hAnsi="宋体" w:eastAsia="宋体" w:cs="宋体"/>
          <w:snapToGrid w:val="0"/>
          <w:color w:val="auto"/>
          <w:spacing w:val="0"/>
          <w:kern w:val="0"/>
          <w:sz w:val="24"/>
          <w:szCs w:val="24"/>
          <w:highlight w:val="none"/>
          <w:u w:val="single"/>
        </w:rPr>
        <w:t xml:space="preserve">           </w:t>
      </w:r>
    </w:p>
    <w:p w14:paraId="37E18900">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系</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（投标人名称）的法定代表人。</w:t>
      </w:r>
    </w:p>
    <w:p w14:paraId="54F5A894">
      <w:pPr>
        <w:keepNext w:val="0"/>
        <w:keepLines w:val="0"/>
        <w:pageBreakBefore w:val="0"/>
        <w:wordWrap w:val="0"/>
        <w:overflowPunct/>
        <w:topLinePunct w:val="0"/>
        <w:bidi w:val="0"/>
        <w:adjustRightInd w:val="0"/>
        <w:snapToGrid w:val="0"/>
        <w:rPr>
          <w:rFonts w:hint="eastAsia" w:ascii="宋体" w:hAnsi="宋体" w:eastAsia="宋体" w:cs="宋体"/>
          <w:snapToGrid w:val="0"/>
          <w:color w:val="auto"/>
          <w:spacing w:val="0"/>
          <w:kern w:val="0"/>
          <w:szCs w:val="21"/>
          <w:highlight w:val="none"/>
        </w:rPr>
      </w:pPr>
      <w:r>
        <w:rPr>
          <w:rFonts w:hint="eastAsia" w:ascii="宋体" w:hAnsi="宋体" w:eastAsia="宋体" w:cs="宋体"/>
          <w:snapToGrid w:val="0"/>
          <w:color w:val="auto"/>
          <w:spacing w:val="0"/>
          <w:kern w:val="0"/>
          <w:sz w:val="24"/>
          <w:szCs w:val="24"/>
          <w:highlight w:val="none"/>
        </w:rPr>
        <w:t xml:space="preserve">    特此证明。</w:t>
      </w:r>
    </w:p>
    <w:p w14:paraId="7340CB95">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7F1A437">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5EA2960E">
      <w:pPr>
        <w:pStyle w:val="6"/>
        <w:keepNext w:val="0"/>
        <w:keepLines w:val="0"/>
        <w:pageBreakBefore w:val="0"/>
        <w:wordWrap w:val="0"/>
        <w:overflowPunct/>
        <w:topLinePunct w:val="0"/>
        <w:bidi w:val="0"/>
        <w:spacing w:line="278" w:lineRule="auto"/>
        <w:rPr>
          <w:rFonts w:hint="eastAsia" w:ascii="宋体" w:hAnsi="宋体" w:eastAsia="宋体" w:cs="宋体"/>
          <w:color w:val="auto"/>
          <w:spacing w:val="0"/>
          <w:highlight w:val="none"/>
        </w:rPr>
      </w:pPr>
    </w:p>
    <w:p w14:paraId="190A6473">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43031FCF">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558F6A5C">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C4D91F0">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B0A984A">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3F2B97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0DA6F96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3FF8FE06">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ABDD826">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5C7AC6FE">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B24ACA4">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6F076A86">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215D821F">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36216C9D">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53BBDA0">
      <w:pPr>
        <w:pStyle w:val="6"/>
        <w:keepNext w:val="0"/>
        <w:keepLines w:val="0"/>
        <w:pageBreakBefore w:val="0"/>
        <w:wordWrap w:val="0"/>
        <w:overflowPunct/>
        <w:topLinePunct w:val="0"/>
        <w:bidi w:val="0"/>
        <w:spacing w:before="1" w:line="2510" w:lineRule="exact"/>
        <w:ind w:firstLine="2534"/>
        <w:rPr>
          <w:rFonts w:hint="eastAsia" w:ascii="宋体" w:hAnsi="宋体" w:eastAsia="宋体" w:cs="宋体"/>
          <w:color w:val="auto"/>
          <w:spacing w:val="0"/>
          <w:highlight w:val="none"/>
        </w:rPr>
      </w:pPr>
      <w:r>
        <w:rPr>
          <w:rFonts w:hint="eastAsia" w:ascii="宋体" w:hAnsi="宋体" w:eastAsia="宋体" w:cs="宋体"/>
          <w:color w:val="auto"/>
          <w:spacing w:val="0"/>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1D464E9C">
                              <w:pPr>
                                <w:spacing w:line="249" w:lineRule="auto"/>
                                <w:rPr>
                                  <w:highlight w:val="none"/>
                                </w:rPr>
                              </w:pPr>
                            </w:p>
                            <w:p w14:paraId="20A58D82">
                              <w:pPr>
                                <w:spacing w:line="249" w:lineRule="auto"/>
                                <w:rPr>
                                  <w:highlight w:val="none"/>
                                </w:rPr>
                              </w:pPr>
                            </w:p>
                            <w:p w14:paraId="08D62A2A">
                              <w:pPr>
                                <w:spacing w:line="249" w:lineRule="auto"/>
                                <w:rPr>
                                  <w:highlight w:val="none"/>
                                </w:rPr>
                              </w:pPr>
                            </w:p>
                            <w:p w14:paraId="1F56D115">
                              <w:pPr>
                                <w:spacing w:line="249" w:lineRule="auto"/>
                                <w:rPr>
                                  <w:highlight w:val="none"/>
                                </w:rPr>
                              </w:pPr>
                            </w:p>
                            <w:p w14:paraId="6F3E53C2">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D464E9C">
                        <w:pPr>
                          <w:spacing w:line="249" w:lineRule="auto"/>
                          <w:rPr>
                            <w:highlight w:val="none"/>
                          </w:rPr>
                        </w:pPr>
                      </w:p>
                      <w:p w14:paraId="20A58D82">
                        <w:pPr>
                          <w:spacing w:line="249" w:lineRule="auto"/>
                          <w:rPr>
                            <w:highlight w:val="none"/>
                          </w:rPr>
                        </w:pPr>
                      </w:p>
                      <w:p w14:paraId="08D62A2A">
                        <w:pPr>
                          <w:spacing w:line="249" w:lineRule="auto"/>
                          <w:rPr>
                            <w:highlight w:val="none"/>
                          </w:rPr>
                        </w:pPr>
                      </w:p>
                      <w:p w14:paraId="1F56D115">
                        <w:pPr>
                          <w:spacing w:line="249" w:lineRule="auto"/>
                          <w:rPr>
                            <w:highlight w:val="none"/>
                          </w:rPr>
                        </w:pPr>
                      </w:p>
                      <w:p w14:paraId="6F3E53C2">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1C0DCE14">
      <w:pPr>
        <w:keepNext w:val="0"/>
        <w:keepLines w:val="0"/>
        <w:pageBreakBefore w:val="0"/>
        <w:wordWrap w:val="0"/>
        <w:overflowPunct/>
        <w:topLinePunct w:val="0"/>
        <w:bidi w:val="0"/>
        <w:spacing w:line="2510" w:lineRule="exact"/>
        <w:rPr>
          <w:rFonts w:hint="eastAsia" w:ascii="宋体" w:hAnsi="宋体" w:eastAsia="宋体" w:cs="宋体"/>
          <w:color w:val="auto"/>
          <w:spacing w:val="0"/>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368B66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lang w:eastAsia="zh-CN"/>
        </w:rPr>
      </w:pPr>
      <w:bookmarkStart w:id="229" w:name="_Toc13087"/>
      <w:r>
        <w:rPr>
          <w:rFonts w:hint="eastAsia" w:ascii="宋体" w:hAnsi="宋体" w:eastAsia="宋体" w:cs="宋体"/>
          <w:b/>
          <w:bCs/>
          <w:color w:val="auto"/>
          <w:spacing w:val="0"/>
          <w:sz w:val="24"/>
          <w:szCs w:val="24"/>
          <w:highlight w:val="none"/>
        </w:rPr>
        <w:t>格式六 联合体协议书</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如有</w:t>
      </w:r>
      <w:r>
        <w:rPr>
          <w:rFonts w:hint="eastAsia" w:ascii="宋体" w:hAnsi="宋体" w:eastAsia="宋体" w:cs="宋体"/>
          <w:b/>
          <w:bCs/>
          <w:color w:val="auto"/>
          <w:spacing w:val="0"/>
          <w:sz w:val="24"/>
          <w:szCs w:val="24"/>
          <w:highlight w:val="none"/>
          <w:lang w:eastAsia="zh-CN"/>
        </w:rPr>
        <w:t>）</w:t>
      </w:r>
      <w:bookmarkEnd w:id="229"/>
    </w:p>
    <w:p w14:paraId="5C270AAB">
      <w:pPr>
        <w:keepNext w:val="0"/>
        <w:keepLines w:val="0"/>
        <w:pageBreakBefore w:val="0"/>
        <w:wordWrap w:val="0"/>
        <w:overflowPunct/>
        <w:topLinePunct w:val="0"/>
        <w:bidi w:val="0"/>
        <w:spacing w:before="98" w:line="219" w:lineRule="auto"/>
        <w:ind w:left="3638"/>
        <w:rPr>
          <w:rFonts w:hint="eastAsia" w:ascii="宋体" w:hAnsi="宋体" w:eastAsia="宋体" w:cs="宋体"/>
          <w:color w:val="auto"/>
          <w:spacing w:val="0"/>
          <w:sz w:val="30"/>
          <w:szCs w:val="30"/>
          <w:highlight w:val="none"/>
          <w:lang w:eastAsia="zh-CN"/>
        </w:rPr>
      </w:pPr>
      <w:bookmarkStart w:id="230" w:name="bookmark153"/>
      <w:bookmarkEnd w:id="230"/>
      <w:r>
        <w:rPr>
          <w:rFonts w:hint="eastAsia" w:ascii="宋体" w:hAnsi="宋体" w:eastAsia="宋体" w:cs="宋体"/>
          <w:b/>
          <w:bCs/>
          <w:color w:val="auto"/>
          <w:spacing w:val="0"/>
          <w:sz w:val="30"/>
          <w:szCs w:val="30"/>
          <w:highlight w:val="none"/>
        </w:rPr>
        <w:t>联合体协议书</w:t>
      </w:r>
    </w:p>
    <w:p w14:paraId="32DDB961">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74534C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牵头人名称： </w:t>
      </w:r>
    </w:p>
    <w:p w14:paraId="67F9BED9">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78F90D5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175F2522">
      <w:pPr>
        <w:keepNext w:val="0"/>
        <w:keepLines w:val="0"/>
        <w:pageBreakBefore w:val="0"/>
        <w:wordWrap w:val="0"/>
        <w:overflowPunct/>
        <w:topLinePunct w:val="0"/>
        <w:bidi w:val="0"/>
        <w:outlineLvl w:val="9"/>
        <w:rPr>
          <w:rFonts w:hint="eastAsia"/>
          <w:color w:val="auto"/>
          <w:spacing w:val="0"/>
          <w:highlight w:val="none"/>
        </w:rPr>
      </w:pPr>
    </w:p>
    <w:p w14:paraId="43511A5D">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成员二名称： </w:t>
      </w:r>
    </w:p>
    <w:p w14:paraId="6CC84D90">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19802A11">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1179BE61">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p w14:paraId="1B637D7B">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上述各成员单位经过友好协商，自愿组成联合体，共同参加（项目名称）（以下简 称“本项目 ”）的施工投标并争取赢得本项目施工承包合同（以下简称合同）。现就联 合体投标事宜订立如下协议：</w:t>
      </w:r>
    </w:p>
    <w:p w14:paraId="5A82E4DB">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．（某成员单位名称）为联合体牵头人。</w:t>
      </w:r>
    </w:p>
    <w:p w14:paraId="0B81E28F">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725ABFF2">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B6441EC">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pacing w:val="0"/>
          <w:sz w:val="24"/>
          <w:szCs w:val="24"/>
          <w:highlight w:val="none"/>
        </w:rPr>
      </w:pPr>
      <w:bookmarkStart w:id="231" w:name="_Toc5365"/>
      <w:bookmarkStart w:id="232" w:name="_Toc32149"/>
      <w:r>
        <w:rPr>
          <w:rFonts w:hint="eastAsia" w:ascii="宋体" w:hAnsi="宋体" w:eastAsia="宋体" w:cs="宋体"/>
          <w:color w:val="auto"/>
          <w:spacing w:val="0"/>
          <w:sz w:val="24"/>
          <w:szCs w:val="24"/>
          <w:highlight w:val="none"/>
        </w:rPr>
        <w:t>4 ．联合体各成员单位内部的职责分工如下：。</w:t>
      </w:r>
      <w:bookmarkEnd w:id="231"/>
      <w:bookmarkEnd w:id="232"/>
    </w:p>
    <w:p w14:paraId="35BB1AFF">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．投标工作和联合体在中标后工程实施过程中的有关费用按各自承担的工作量分摊。</w:t>
      </w:r>
    </w:p>
    <w:p w14:paraId="24E1EA6B">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．联合体中标后，本联合体协议是合同的附件，对联合体各成员单位有合同约束力。</w:t>
      </w:r>
    </w:p>
    <w:p w14:paraId="4788C7A5">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 ．本协议书自签署之日起生效，联合体未中标或者中标时合同履行完毕后自动失效。</w:t>
      </w:r>
    </w:p>
    <w:p w14:paraId="28D66F40">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pacing w:val="0"/>
          <w:sz w:val="24"/>
          <w:szCs w:val="24"/>
          <w:highlight w:val="none"/>
        </w:rPr>
      </w:pPr>
      <w:bookmarkStart w:id="233" w:name="_Toc26708"/>
      <w:bookmarkStart w:id="234" w:name="_Toc22612"/>
      <w:r>
        <w:rPr>
          <w:rFonts w:hint="eastAsia" w:ascii="宋体" w:hAnsi="宋体" w:eastAsia="宋体" w:cs="宋体"/>
          <w:color w:val="auto"/>
          <w:spacing w:val="0"/>
          <w:sz w:val="24"/>
          <w:szCs w:val="24"/>
          <w:highlight w:val="none"/>
        </w:rPr>
        <w:t>8 ．本协议书一式份，联合体成员和招标人各执一份。</w:t>
      </w:r>
      <w:bookmarkEnd w:id="233"/>
      <w:bookmarkEnd w:id="234"/>
    </w:p>
    <w:p w14:paraId="0967CE09">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bookmarkStart w:id="235" w:name="bookmark154"/>
      <w:bookmarkEnd w:id="235"/>
      <w:r>
        <w:rPr>
          <w:rFonts w:hint="eastAsia" w:ascii="宋体" w:hAnsi="宋体" w:eastAsia="宋体" w:cs="宋体"/>
          <w:color w:val="auto"/>
          <w:spacing w:val="0"/>
          <w:sz w:val="24"/>
          <w:szCs w:val="24"/>
          <w:highlight w:val="none"/>
        </w:rPr>
        <w:t>牵头人名称：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09CDB0A3">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58135828">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33373384">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成员二名称：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373116C5">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3ED84B44">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4594AAFE">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357A8718">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F7440A2">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说明：《联合体协议书》 由委托代理人签字或盖章的，应附法定代表人签字或盖章的授权委托书。</w:t>
      </w:r>
    </w:p>
    <w:p w14:paraId="6B8B4908">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7F3C651">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6" w:name="_Toc12591"/>
      <w:r>
        <w:rPr>
          <w:rFonts w:hint="eastAsia" w:ascii="宋体" w:hAnsi="宋体" w:eastAsia="宋体" w:cs="宋体"/>
          <w:b/>
          <w:bCs/>
          <w:color w:val="auto"/>
          <w:spacing w:val="0"/>
          <w:sz w:val="24"/>
          <w:szCs w:val="24"/>
          <w:highlight w:val="none"/>
        </w:rPr>
        <w:t>格式七 投标人基本情况表</w:t>
      </w:r>
      <w:bookmarkEnd w:id="236"/>
    </w:p>
    <w:p w14:paraId="3883713D">
      <w:pPr>
        <w:keepNext w:val="0"/>
        <w:keepLines w:val="0"/>
        <w:pageBreakBefore w:val="0"/>
        <w:wordWrap w:val="0"/>
        <w:overflowPunct/>
        <w:topLinePunct w:val="0"/>
        <w:bidi w:val="0"/>
        <w:spacing w:before="333" w:line="219" w:lineRule="auto"/>
        <w:ind w:left="3350"/>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投标人基本情况表</w:t>
      </w:r>
    </w:p>
    <w:p w14:paraId="76BA02F4">
      <w:pPr>
        <w:keepNext w:val="0"/>
        <w:keepLines w:val="0"/>
        <w:pageBreakBefore w:val="0"/>
        <w:wordWrap w:val="0"/>
        <w:overflowPunct/>
        <w:topLinePunct w:val="0"/>
        <w:bidi w:val="0"/>
        <w:spacing w:line="239" w:lineRule="exact"/>
        <w:rPr>
          <w:rFonts w:hint="eastAsia" w:ascii="宋体" w:hAnsi="宋体" w:eastAsia="宋体" w:cs="宋体"/>
          <w:color w:val="auto"/>
          <w:spacing w:val="0"/>
          <w:highlight w:val="none"/>
        </w:rPr>
      </w:pPr>
    </w:p>
    <w:tbl>
      <w:tblPr>
        <w:tblStyle w:val="15"/>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1607D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EF8B15F">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投标人名称</w:t>
            </w:r>
          </w:p>
        </w:tc>
        <w:tc>
          <w:tcPr>
            <w:tcW w:w="7639" w:type="dxa"/>
            <w:gridSpan w:val="8"/>
            <w:vAlign w:val="center"/>
          </w:tcPr>
          <w:p w14:paraId="14589BCD">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D441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B4D7EDE">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注册地址</w:t>
            </w:r>
          </w:p>
        </w:tc>
        <w:tc>
          <w:tcPr>
            <w:tcW w:w="3684" w:type="dxa"/>
            <w:gridSpan w:val="3"/>
            <w:vAlign w:val="center"/>
          </w:tcPr>
          <w:p w14:paraId="0030132C">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543D1C4F">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邮政编码</w:t>
            </w:r>
          </w:p>
        </w:tc>
        <w:tc>
          <w:tcPr>
            <w:tcW w:w="2601" w:type="dxa"/>
            <w:gridSpan w:val="3"/>
            <w:vAlign w:val="center"/>
          </w:tcPr>
          <w:p w14:paraId="0F970975">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217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3CEF8468">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联系方式</w:t>
            </w:r>
          </w:p>
        </w:tc>
        <w:tc>
          <w:tcPr>
            <w:tcW w:w="975" w:type="dxa"/>
            <w:vAlign w:val="center"/>
          </w:tcPr>
          <w:p w14:paraId="5D57149C">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联系人</w:t>
            </w:r>
          </w:p>
        </w:tc>
        <w:tc>
          <w:tcPr>
            <w:tcW w:w="2709" w:type="dxa"/>
            <w:gridSpan w:val="2"/>
            <w:vAlign w:val="center"/>
          </w:tcPr>
          <w:p w14:paraId="4CC0665A">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7D215618">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  话</w:t>
            </w:r>
          </w:p>
        </w:tc>
        <w:tc>
          <w:tcPr>
            <w:tcW w:w="2601" w:type="dxa"/>
            <w:gridSpan w:val="3"/>
            <w:vAlign w:val="center"/>
          </w:tcPr>
          <w:p w14:paraId="29B76228">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409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026B78F0">
            <w:pPr>
              <w:pStyle w:val="29"/>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975" w:type="dxa"/>
            <w:vAlign w:val="center"/>
          </w:tcPr>
          <w:p w14:paraId="1580F4F0">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传  真</w:t>
            </w:r>
          </w:p>
        </w:tc>
        <w:tc>
          <w:tcPr>
            <w:tcW w:w="2709" w:type="dxa"/>
            <w:gridSpan w:val="2"/>
            <w:vAlign w:val="center"/>
          </w:tcPr>
          <w:p w14:paraId="1BEEA8B8">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14B24F33">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电子邮箱</w:t>
            </w:r>
          </w:p>
        </w:tc>
        <w:tc>
          <w:tcPr>
            <w:tcW w:w="2601" w:type="dxa"/>
            <w:gridSpan w:val="3"/>
            <w:vAlign w:val="center"/>
          </w:tcPr>
          <w:p w14:paraId="6A57856E">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3642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3AC78AB">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单位性质</w:t>
            </w:r>
          </w:p>
        </w:tc>
        <w:tc>
          <w:tcPr>
            <w:tcW w:w="7639" w:type="dxa"/>
            <w:gridSpan w:val="8"/>
            <w:vAlign w:val="center"/>
          </w:tcPr>
          <w:p w14:paraId="29EB3DEE">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7D38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D1495F6">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法定代表人</w:t>
            </w:r>
          </w:p>
        </w:tc>
        <w:tc>
          <w:tcPr>
            <w:tcW w:w="975" w:type="dxa"/>
            <w:vAlign w:val="center"/>
          </w:tcPr>
          <w:p w14:paraId="53555EEA">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姓名</w:t>
            </w:r>
          </w:p>
        </w:tc>
        <w:tc>
          <w:tcPr>
            <w:tcW w:w="1837" w:type="dxa"/>
            <w:vAlign w:val="center"/>
          </w:tcPr>
          <w:p w14:paraId="18E72021">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Align w:val="center"/>
          </w:tcPr>
          <w:p w14:paraId="09550DDF">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技术职称</w:t>
            </w:r>
          </w:p>
        </w:tc>
        <w:tc>
          <w:tcPr>
            <w:tcW w:w="1326" w:type="dxa"/>
            <w:gridSpan w:val="2"/>
            <w:vAlign w:val="center"/>
          </w:tcPr>
          <w:p w14:paraId="0A1D7073">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770" w:type="dxa"/>
            <w:vAlign w:val="center"/>
          </w:tcPr>
          <w:p w14:paraId="40E8BE67">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电话</w:t>
            </w:r>
          </w:p>
        </w:tc>
        <w:tc>
          <w:tcPr>
            <w:tcW w:w="1548" w:type="dxa"/>
            <w:vAlign w:val="center"/>
          </w:tcPr>
          <w:p w14:paraId="681BBCDB">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45C9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385668B">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成立时间</w:t>
            </w:r>
          </w:p>
        </w:tc>
        <w:tc>
          <w:tcPr>
            <w:tcW w:w="2812" w:type="dxa"/>
            <w:gridSpan w:val="2"/>
            <w:vAlign w:val="center"/>
          </w:tcPr>
          <w:p w14:paraId="5A38A702">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4827" w:type="dxa"/>
            <w:gridSpan w:val="6"/>
            <w:vAlign w:val="center"/>
          </w:tcPr>
          <w:p w14:paraId="6C99262E">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员工总人数（个）：</w:t>
            </w:r>
          </w:p>
        </w:tc>
      </w:tr>
      <w:tr w14:paraId="4B1B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BB33139">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企业资质  </w:t>
            </w:r>
          </w:p>
          <w:p w14:paraId="3928B24B">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类型和等级</w:t>
            </w:r>
          </w:p>
        </w:tc>
        <w:tc>
          <w:tcPr>
            <w:tcW w:w="2812" w:type="dxa"/>
            <w:gridSpan w:val="2"/>
            <w:vAlign w:val="center"/>
          </w:tcPr>
          <w:p w14:paraId="467DA98E">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restart"/>
            <w:tcBorders>
              <w:bottom w:val="nil"/>
            </w:tcBorders>
            <w:vAlign w:val="center"/>
          </w:tcPr>
          <w:p w14:paraId="130DF667">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其中</w:t>
            </w:r>
          </w:p>
        </w:tc>
        <w:tc>
          <w:tcPr>
            <w:tcW w:w="2096" w:type="dxa"/>
            <w:gridSpan w:val="3"/>
            <w:vAlign w:val="center"/>
          </w:tcPr>
          <w:p w14:paraId="1767D4FB">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项目经理</w:t>
            </w:r>
          </w:p>
        </w:tc>
        <w:tc>
          <w:tcPr>
            <w:tcW w:w="1548" w:type="dxa"/>
            <w:vAlign w:val="center"/>
          </w:tcPr>
          <w:p w14:paraId="78172C73">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44BA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78541C3">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营业执照号</w:t>
            </w:r>
          </w:p>
        </w:tc>
        <w:tc>
          <w:tcPr>
            <w:tcW w:w="2812" w:type="dxa"/>
            <w:gridSpan w:val="2"/>
            <w:vAlign w:val="center"/>
          </w:tcPr>
          <w:p w14:paraId="1BE594FE">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25BD5062">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4F49559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高级职称人员</w:t>
            </w:r>
          </w:p>
        </w:tc>
        <w:tc>
          <w:tcPr>
            <w:tcW w:w="1548" w:type="dxa"/>
            <w:vAlign w:val="center"/>
          </w:tcPr>
          <w:p w14:paraId="6333D9F5">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23B9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1209485">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注册资金</w:t>
            </w:r>
          </w:p>
        </w:tc>
        <w:tc>
          <w:tcPr>
            <w:tcW w:w="2812" w:type="dxa"/>
            <w:gridSpan w:val="2"/>
            <w:vAlign w:val="center"/>
          </w:tcPr>
          <w:p w14:paraId="295E3673">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57CA7C7D">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136FCE83">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中级职称人员</w:t>
            </w:r>
          </w:p>
        </w:tc>
        <w:tc>
          <w:tcPr>
            <w:tcW w:w="1548" w:type="dxa"/>
            <w:vAlign w:val="center"/>
          </w:tcPr>
          <w:p w14:paraId="510FE84F">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1B181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0DE22A6">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2EB2532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开户银行</w:t>
            </w:r>
          </w:p>
        </w:tc>
        <w:tc>
          <w:tcPr>
            <w:tcW w:w="2812" w:type="dxa"/>
            <w:gridSpan w:val="2"/>
            <w:vAlign w:val="center"/>
          </w:tcPr>
          <w:p w14:paraId="2C062370">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4CD1B56B">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DB4DB46">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初级职称人员</w:t>
            </w:r>
          </w:p>
        </w:tc>
        <w:tc>
          <w:tcPr>
            <w:tcW w:w="1548" w:type="dxa"/>
            <w:vAlign w:val="center"/>
          </w:tcPr>
          <w:p w14:paraId="7CDA78E5">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CB8C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4CA499D6">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29CFAC8B">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银行账号</w:t>
            </w:r>
          </w:p>
        </w:tc>
        <w:tc>
          <w:tcPr>
            <w:tcW w:w="2812" w:type="dxa"/>
            <w:gridSpan w:val="2"/>
            <w:vAlign w:val="center"/>
          </w:tcPr>
          <w:p w14:paraId="331AE37A">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tcBorders>
            <w:vAlign w:val="center"/>
          </w:tcPr>
          <w:p w14:paraId="1E04A7E8">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CA13977">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技术员</w:t>
            </w:r>
          </w:p>
        </w:tc>
        <w:tc>
          <w:tcPr>
            <w:tcW w:w="1548" w:type="dxa"/>
            <w:vAlign w:val="center"/>
          </w:tcPr>
          <w:p w14:paraId="0E115D31">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F53D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7CFDBBB">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经营范围</w:t>
            </w:r>
          </w:p>
        </w:tc>
        <w:tc>
          <w:tcPr>
            <w:tcW w:w="7639" w:type="dxa"/>
            <w:gridSpan w:val="8"/>
            <w:vAlign w:val="center"/>
          </w:tcPr>
          <w:p w14:paraId="19D6286B">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066B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1A7914E">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关联企业情况</w:t>
            </w:r>
          </w:p>
        </w:tc>
        <w:tc>
          <w:tcPr>
            <w:tcW w:w="7639" w:type="dxa"/>
            <w:gridSpan w:val="8"/>
            <w:vAlign w:val="center"/>
          </w:tcPr>
          <w:p w14:paraId="2B67045A">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包括但不限于与投标人存在以下关系的不同单位：</w:t>
            </w:r>
          </w:p>
          <w:p w14:paraId="65D884EF">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 ．法定代表人为同一人的。</w:t>
            </w:r>
          </w:p>
          <w:p w14:paraId="36492BCE">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 ．存在控股、管理关系的。</w:t>
            </w:r>
          </w:p>
          <w:p w14:paraId="0EBD7174">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 ．主要人员相互任职的。</w:t>
            </w:r>
          </w:p>
        </w:tc>
      </w:tr>
      <w:tr w14:paraId="1679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EACEE75">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备注</w:t>
            </w:r>
          </w:p>
        </w:tc>
        <w:tc>
          <w:tcPr>
            <w:tcW w:w="7639" w:type="dxa"/>
            <w:gridSpan w:val="8"/>
            <w:vAlign w:val="center"/>
          </w:tcPr>
          <w:p w14:paraId="311B57E4">
            <w:pPr>
              <w:pStyle w:val="29"/>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bl>
    <w:p w14:paraId="749E9D6E">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p>
    <w:p w14:paraId="7194EFCD">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p w14:paraId="2AFD925D">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auto"/>
          <w:spacing w:val="0"/>
          <w:sz w:val="21"/>
          <w:szCs w:val="21"/>
          <w:highlight w:val="none"/>
        </w:rPr>
      </w:pPr>
      <w:bookmarkStart w:id="237" w:name="_Toc14048"/>
      <w:bookmarkStart w:id="238" w:name="_Toc5131"/>
      <w:r>
        <w:rPr>
          <w:rFonts w:hint="eastAsia" w:ascii="宋体" w:hAnsi="宋体" w:eastAsia="宋体" w:cs="宋体"/>
          <w:color w:val="auto"/>
          <w:spacing w:val="0"/>
          <w:sz w:val="21"/>
          <w:szCs w:val="21"/>
          <w:highlight w:val="none"/>
        </w:rPr>
        <w:t>1 ．《投标人基本情况表》后应附以下资料：</w:t>
      </w:r>
      <w:bookmarkEnd w:id="237"/>
      <w:bookmarkEnd w:id="238"/>
    </w:p>
    <w:p w14:paraId="300861A9">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36736E5C">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“进粤企业和人员诚信信息登记平台 ”企业信息情况打印页。（适用于省外建筑企业）</w:t>
      </w:r>
    </w:p>
    <w:p w14:paraId="7694C513">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《法人和非法人组织公共信用信息报告》（在“信用中国 ”网站企业查询界面中下载）。</w:t>
      </w:r>
    </w:p>
    <w:p w14:paraId="24E5FBA2">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．联合体投标的，联合体成员单位均应填写《投标人基本情况表》并提供以上所需资料。</w:t>
      </w:r>
    </w:p>
    <w:p w14:paraId="0FEFF3B5">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62A4B1E3">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9" w:name="_Toc27456"/>
      <w:r>
        <w:rPr>
          <w:rFonts w:hint="eastAsia" w:ascii="宋体" w:hAnsi="宋体" w:eastAsia="宋体" w:cs="宋体"/>
          <w:b/>
          <w:bCs/>
          <w:color w:val="auto"/>
          <w:spacing w:val="0"/>
          <w:sz w:val="24"/>
          <w:szCs w:val="24"/>
          <w:highlight w:val="none"/>
        </w:rPr>
        <w:t>格式八 项目经理简历表</w:t>
      </w:r>
      <w:bookmarkEnd w:id="239"/>
    </w:p>
    <w:p w14:paraId="30EE3FD0">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51274DAD">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auto"/>
          <w:spacing w:val="0"/>
          <w:sz w:val="30"/>
          <w:szCs w:val="30"/>
          <w:highlight w:val="none"/>
        </w:rPr>
      </w:pPr>
      <w:bookmarkStart w:id="240" w:name="bookmark156"/>
      <w:bookmarkEnd w:id="240"/>
      <w:bookmarkStart w:id="241" w:name="bookmark89"/>
      <w:bookmarkEnd w:id="241"/>
      <w:bookmarkStart w:id="242" w:name="_Toc24489"/>
      <w:bookmarkStart w:id="243" w:name="_Toc31533"/>
      <w:r>
        <w:rPr>
          <w:rFonts w:hint="eastAsia" w:ascii="宋体" w:hAnsi="宋体" w:eastAsia="宋体" w:cs="宋体"/>
          <w:b/>
          <w:bCs/>
          <w:color w:val="auto"/>
          <w:spacing w:val="0"/>
          <w:sz w:val="30"/>
          <w:szCs w:val="30"/>
          <w:highlight w:val="none"/>
        </w:rPr>
        <w:t>项目经理简历表</w:t>
      </w:r>
      <w:bookmarkEnd w:id="242"/>
      <w:bookmarkEnd w:id="243"/>
    </w:p>
    <w:p w14:paraId="2FEBF5B0">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79188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3C11A92F">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94" w:type="dxa"/>
            <w:gridSpan w:val="2"/>
            <w:vAlign w:val="center"/>
          </w:tcPr>
          <w:p w14:paraId="291CA6E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73335C63">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62" w:type="dxa"/>
            <w:vAlign w:val="center"/>
          </w:tcPr>
          <w:p w14:paraId="29D7999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4068853B">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98" w:type="dxa"/>
            <w:vAlign w:val="center"/>
          </w:tcPr>
          <w:p w14:paraId="53181EA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B3D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69F44326">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94" w:type="dxa"/>
            <w:gridSpan w:val="2"/>
            <w:vAlign w:val="center"/>
          </w:tcPr>
          <w:p w14:paraId="5565BEC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066DAC6E">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62" w:type="dxa"/>
            <w:vAlign w:val="center"/>
          </w:tcPr>
          <w:p w14:paraId="43EC3BE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07ACB9B3">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98" w:type="dxa"/>
            <w:vAlign w:val="center"/>
          </w:tcPr>
          <w:p w14:paraId="612498D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036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229D3FBF">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51" w:type="dxa"/>
            <w:gridSpan w:val="3"/>
            <w:vAlign w:val="center"/>
          </w:tcPr>
          <w:p w14:paraId="190DBE3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60" w:type="dxa"/>
            <w:gridSpan w:val="2"/>
            <w:vAlign w:val="center"/>
          </w:tcPr>
          <w:p w14:paraId="6B44BC34">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98" w:type="dxa"/>
            <w:vAlign w:val="center"/>
          </w:tcPr>
          <w:p w14:paraId="56D944B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96D3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0DFDEE66">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以项目经理身份参与过的主要业绩（已完工项目）</w:t>
            </w:r>
          </w:p>
        </w:tc>
      </w:tr>
      <w:tr w14:paraId="51211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62F64945">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24" w:type="dxa"/>
            <w:gridSpan w:val="2"/>
            <w:vAlign w:val="center"/>
          </w:tcPr>
          <w:p w14:paraId="4E2F72F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37" w:type="dxa"/>
            <w:gridSpan w:val="2"/>
            <w:vAlign w:val="center"/>
          </w:tcPr>
          <w:p w14:paraId="5158C01A">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62" w:type="dxa"/>
            <w:vAlign w:val="center"/>
          </w:tcPr>
          <w:p w14:paraId="74B27B98">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98" w:type="dxa"/>
            <w:vAlign w:val="center"/>
          </w:tcPr>
          <w:p w14:paraId="541D63F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98" w:type="dxa"/>
            <w:vAlign w:val="center"/>
          </w:tcPr>
          <w:p w14:paraId="5A74069C">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5ED4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758DB878">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24" w:type="dxa"/>
            <w:gridSpan w:val="2"/>
            <w:vAlign w:val="center"/>
          </w:tcPr>
          <w:p w14:paraId="059B874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AB992A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14B05DF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6F13CB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7A5EC9D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05A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0E7B1B1A">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24" w:type="dxa"/>
            <w:gridSpan w:val="2"/>
            <w:vAlign w:val="center"/>
          </w:tcPr>
          <w:p w14:paraId="72860AF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3CD2FF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56D9364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BD3F66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61A20E1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EF6F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797FA151">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624" w:type="dxa"/>
            <w:gridSpan w:val="2"/>
            <w:vAlign w:val="center"/>
          </w:tcPr>
          <w:p w14:paraId="110D2A5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6A6A82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2B6C0ED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4AD92C8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2DEDAFD9">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DA1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2883E405">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24" w:type="dxa"/>
            <w:gridSpan w:val="2"/>
            <w:vAlign w:val="center"/>
          </w:tcPr>
          <w:p w14:paraId="29EB532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0E54CFC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2213AD6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6353FD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4583785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0EDEF6B3">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highlight w:val="none"/>
        </w:rPr>
      </w:pPr>
    </w:p>
    <w:p w14:paraId="7C679F64">
      <w:pPr>
        <w:keepNext w:val="0"/>
        <w:keepLines w:val="0"/>
        <w:pageBreakBefore w:val="0"/>
        <w:wordWrap w:val="0"/>
        <w:overflowPunct/>
        <w:topLinePunct w:val="0"/>
        <w:bidi w:val="0"/>
        <w:spacing w:before="78" w:line="220" w:lineRule="auto"/>
        <w:ind w:left="69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color w:val="auto"/>
          <w:spacing w:val="0"/>
          <w:sz w:val="24"/>
          <w:szCs w:val="24"/>
          <w:highlight w:val="none"/>
        </w:rPr>
        <w:t>（签字）</w:t>
      </w:r>
    </w:p>
    <w:p w14:paraId="5B1B7AF1">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226CD926">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36F2C445">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auto"/>
          <w:spacing w:val="0"/>
          <w:highlight w:val="none"/>
        </w:rPr>
      </w:pPr>
    </w:p>
    <w:p w14:paraId="23FA56AC">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3CED7E7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说明：《项目经理简历表》后应附拟派项目经理以下资料：</w:t>
      </w:r>
    </w:p>
    <w:p w14:paraId="2091A54A">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outlineLvl w:val="9"/>
        <w:rPr>
          <w:rFonts w:hint="eastAsia" w:ascii="宋体" w:hAnsi="宋体" w:eastAsia="宋体" w:cs="宋体"/>
          <w:color w:val="auto"/>
          <w:spacing w:val="0"/>
          <w:sz w:val="24"/>
          <w:szCs w:val="24"/>
          <w:highlight w:val="none"/>
        </w:rPr>
      </w:pPr>
      <w:bookmarkStart w:id="244" w:name="_Toc1942"/>
      <w:bookmarkStart w:id="245" w:name="_Toc25271"/>
      <w:r>
        <w:rPr>
          <w:rFonts w:hint="eastAsia" w:ascii="宋体" w:hAnsi="宋体" w:eastAsia="宋体" w:cs="宋体"/>
          <w:color w:val="auto"/>
          <w:spacing w:val="0"/>
          <w:sz w:val="24"/>
          <w:szCs w:val="24"/>
          <w:highlight w:val="none"/>
        </w:rPr>
        <w:t>1 ．身份证彩色扫描件；</w:t>
      </w:r>
      <w:bookmarkEnd w:id="244"/>
      <w:bookmarkEnd w:id="245"/>
    </w:p>
    <w:p w14:paraId="58312C1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．建造师电子注册证书（在使用有效期内的有效电子证书）彩色扫描件；</w:t>
      </w:r>
    </w:p>
    <w:p w14:paraId="6E1DD00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3．B 类安全生产考核合格证书彩色扫描件或广东省建筑施工企业管理人员安全生产考核系统考核合格信息彩色扫描件；</w:t>
      </w:r>
    </w:p>
    <w:p w14:paraId="0F4F411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．在本单位缴纳社保</w:t>
      </w:r>
      <w:r>
        <w:rPr>
          <w:rFonts w:hint="eastAsia" w:ascii="宋体" w:hAnsi="宋体" w:eastAsia="宋体" w:cs="宋体"/>
          <w:color w:val="auto"/>
          <w:spacing w:val="0"/>
          <w:sz w:val="24"/>
          <w:szCs w:val="24"/>
          <w:highlight w:val="none"/>
          <w:lang w:eastAsia="zh-CN"/>
        </w:rPr>
        <w:t>的证明（至少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个月，其中必须有2026年2月）</w:t>
      </w:r>
      <w:r>
        <w:rPr>
          <w:rFonts w:hint="eastAsia" w:ascii="宋体" w:hAnsi="宋体" w:eastAsia="宋体" w:cs="宋体"/>
          <w:color w:val="auto"/>
          <w:spacing w:val="0"/>
          <w:sz w:val="24"/>
          <w:szCs w:val="24"/>
          <w:highlight w:val="none"/>
          <w:lang w:val="en-US" w:eastAsia="zh-CN"/>
        </w:rPr>
        <w:t>扫描</w:t>
      </w:r>
      <w:r>
        <w:rPr>
          <w:rFonts w:hint="eastAsia" w:ascii="宋体" w:hAnsi="宋体" w:eastAsia="宋体" w:cs="宋体"/>
          <w:color w:val="auto"/>
          <w:spacing w:val="0"/>
          <w:sz w:val="24"/>
          <w:szCs w:val="24"/>
          <w:highlight w:val="none"/>
        </w:rPr>
        <w:t>件或打印件。拟派项目经理为退休返聘人员无法提供社保证明的，提供退休证和劳动合同彩色扫描件。</w:t>
      </w:r>
    </w:p>
    <w:p w14:paraId="6F11A9D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．“进粤企业和人员诚信信息登记平台 ”个人信息情况截图。（适用于省外建筑企业）</w:t>
      </w:r>
    </w:p>
    <w:p w14:paraId="456AC7BF">
      <w:pPr>
        <w:pStyle w:val="25"/>
        <w:rPr>
          <w:rFonts w:hint="eastAsia"/>
          <w:highlight w:val="none"/>
        </w:rPr>
      </w:pPr>
    </w:p>
    <w:p w14:paraId="61CE6093">
      <w:pPr>
        <w:keepNext w:val="0"/>
        <w:keepLines w:val="0"/>
        <w:pageBreakBefore w:val="0"/>
        <w:wordWrap w:val="0"/>
        <w:overflowPunct/>
        <w:topLinePunct w:val="0"/>
        <w:bidi w:val="0"/>
        <w:spacing w:line="300" w:lineRule="auto"/>
        <w:rPr>
          <w:rFonts w:hint="eastAsia" w:ascii="宋体" w:hAnsi="宋体" w:eastAsia="宋体" w:cs="宋体"/>
          <w:color w:val="auto"/>
          <w:spacing w:val="0"/>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D536DB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6" w:name="_Toc19646"/>
      <w:r>
        <w:rPr>
          <w:rFonts w:hint="eastAsia" w:ascii="宋体" w:hAnsi="宋体" w:eastAsia="宋体" w:cs="宋体"/>
          <w:b/>
          <w:bCs/>
          <w:color w:val="auto"/>
          <w:spacing w:val="0"/>
          <w:sz w:val="24"/>
          <w:szCs w:val="24"/>
          <w:highlight w:val="none"/>
        </w:rPr>
        <w:t>格式九 项目经理任职声明</w:t>
      </w:r>
      <w:bookmarkEnd w:id="246"/>
    </w:p>
    <w:p w14:paraId="25F8E3D4">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653618C2">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7584027F">
      <w:pPr>
        <w:keepNext w:val="0"/>
        <w:keepLines w:val="0"/>
        <w:pageBreakBefore w:val="0"/>
        <w:wordWrap w:val="0"/>
        <w:overflowPunct/>
        <w:topLinePunct w:val="0"/>
        <w:bidi w:val="0"/>
        <w:spacing w:before="98" w:line="220" w:lineRule="auto"/>
        <w:ind w:left="3338"/>
        <w:rPr>
          <w:rFonts w:hint="eastAsia" w:ascii="宋体" w:hAnsi="宋体" w:eastAsia="宋体" w:cs="宋体"/>
          <w:color w:val="auto"/>
          <w:spacing w:val="0"/>
          <w:sz w:val="30"/>
          <w:szCs w:val="30"/>
          <w:highlight w:val="none"/>
        </w:rPr>
      </w:pPr>
      <w:bookmarkStart w:id="247" w:name="bookmark157"/>
      <w:bookmarkEnd w:id="247"/>
      <w:r>
        <w:rPr>
          <w:rFonts w:hint="eastAsia" w:ascii="宋体" w:hAnsi="宋体" w:eastAsia="宋体" w:cs="宋体"/>
          <w:b/>
          <w:bCs/>
          <w:color w:val="auto"/>
          <w:spacing w:val="0"/>
          <w:sz w:val="30"/>
          <w:szCs w:val="30"/>
          <w:highlight w:val="none"/>
        </w:rPr>
        <w:t>项目经理任职声明</w:t>
      </w:r>
    </w:p>
    <w:p w14:paraId="3C336944">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1E83797">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86CE705">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6CC76F83">
      <w:pPr>
        <w:keepNext w:val="0"/>
        <w:keepLines w:val="0"/>
        <w:pageBreakBefore w:val="0"/>
        <w:wordWrap w:val="0"/>
        <w:overflowPunct/>
        <w:topLinePunct w:val="0"/>
        <w:bidi w:val="0"/>
        <w:spacing w:before="78" w:line="221"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18022089">
      <w:pPr>
        <w:keepNext w:val="0"/>
        <w:keepLines w:val="0"/>
        <w:pageBreakBefore w:val="0"/>
        <w:wordWrap w:val="0"/>
        <w:overflowPunct/>
        <w:topLinePunct w:val="0"/>
        <w:bidi w:val="0"/>
        <w:spacing w:before="155"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我方在此声明，我方拟派往</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（项目名称）的项目经理</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（项目经理姓名）现阶段没有担任任何在施（包括已中标未开工、已开工未竣工）建设工程项目的项目经理。</w:t>
      </w:r>
    </w:p>
    <w:p w14:paraId="10D30513">
      <w:pPr>
        <w:keepNext w:val="0"/>
        <w:keepLines w:val="0"/>
        <w:pageBreakBefore w:val="0"/>
        <w:wordWrap w:val="0"/>
        <w:overflowPunct/>
        <w:topLinePunct w:val="0"/>
        <w:bidi w:val="0"/>
        <w:spacing w:before="35" w:line="326" w:lineRule="auto"/>
        <w:ind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我方保证上述信息的真实和准确，并愿意承担因我方就此弄虚作假所引起的一切法律后果。</w:t>
      </w:r>
    </w:p>
    <w:p w14:paraId="31B3CE7D">
      <w:pPr>
        <w:pStyle w:val="6"/>
        <w:keepNext w:val="0"/>
        <w:keepLines w:val="0"/>
        <w:pageBreakBefore w:val="0"/>
        <w:wordWrap w:val="0"/>
        <w:overflowPunct/>
        <w:topLinePunct w:val="0"/>
        <w:bidi w:val="0"/>
        <w:spacing w:line="391" w:lineRule="auto"/>
        <w:rPr>
          <w:rFonts w:hint="eastAsia" w:ascii="宋体" w:hAnsi="宋体" w:eastAsia="宋体" w:cs="宋体"/>
          <w:color w:val="auto"/>
          <w:spacing w:val="0"/>
          <w:highlight w:val="none"/>
        </w:rPr>
      </w:pPr>
    </w:p>
    <w:p w14:paraId="2E70BD98">
      <w:pPr>
        <w:keepNext w:val="0"/>
        <w:keepLines w:val="0"/>
        <w:pageBreakBefore w:val="0"/>
        <w:wordWrap w:val="0"/>
        <w:overflowPunct/>
        <w:topLinePunct w:val="0"/>
        <w:bidi w:val="0"/>
        <w:spacing w:before="78" w:line="22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14:paraId="3650AFF0">
      <w:pPr>
        <w:pStyle w:val="6"/>
        <w:keepNext w:val="0"/>
        <w:keepLines w:val="0"/>
        <w:pageBreakBefore w:val="0"/>
        <w:wordWrap w:val="0"/>
        <w:overflowPunct/>
        <w:topLinePunct w:val="0"/>
        <w:bidi w:val="0"/>
        <w:spacing w:line="316" w:lineRule="auto"/>
        <w:rPr>
          <w:rFonts w:hint="eastAsia" w:ascii="宋体" w:hAnsi="宋体" w:eastAsia="宋体" w:cs="宋体"/>
          <w:color w:val="auto"/>
          <w:spacing w:val="0"/>
          <w:highlight w:val="none"/>
        </w:rPr>
      </w:pPr>
    </w:p>
    <w:p w14:paraId="5B7E6BA2">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1D8C5912">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564EA505">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00AC28CB">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454364E0">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39138AF7">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5C510588">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2A0E9929">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9807EB0">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4247707E">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59308E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42E22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8" w:name="_Toc13288"/>
      <w:r>
        <w:rPr>
          <w:rFonts w:hint="eastAsia" w:ascii="宋体" w:hAnsi="宋体" w:eastAsia="宋体" w:cs="宋体"/>
          <w:b/>
          <w:bCs/>
          <w:color w:val="auto"/>
          <w:spacing w:val="0"/>
          <w:sz w:val="24"/>
          <w:szCs w:val="24"/>
          <w:highlight w:val="none"/>
        </w:rPr>
        <w:t>格式十 项目技术负责人简历表</w:t>
      </w:r>
      <w:bookmarkEnd w:id="248"/>
    </w:p>
    <w:p w14:paraId="0C343FDB">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02DD6ECC">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auto"/>
          <w:spacing w:val="0"/>
          <w:sz w:val="30"/>
          <w:szCs w:val="30"/>
          <w:highlight w:val="none"/>
        </w:rPr>
      </w:pPr>
      <w:bookmarkStart w:id="249" w:name="_Toc25712"/>
      <w:bookmarkStart w:id="250" w:name="_Toc1553"/>
      <w:r>
        <w:rPr>
          <w:rFonts w:hint="eastAsia" w:ascii="宋体" w:hAnsi="宋体" w:eastAsia="宋体" w:cs="宋体"/>
          <w:b/>
          <w:bCs/>
          <w:color w:val="auto"/>
          <w:spacing w:val="0"/>
          <w:sz w:val="30"/>
          <w:szCs w:val="30"/>
          <w:highlight w:val="none"/>
        </w:rPr>
        <w:t>项目技术负责人简历表</w:t>
      </w:r>
      <w:bookmarkEnd w:id="249"/>
      <w:bookmarkEnd w:id="250"/>
    </w:p>
    <w:p w14:paraId="6FED11D1">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7B3F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05EFAA67">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82" w:type="dxa"/>
            <w:gridSpan w:val="2"/>
            <w:vAlign w:val="center"/>
          </w:tcPr>
          <w:p w14:paraId="6CED9D9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auto"/>
                <w:spacing w:val="0"/>
                <w:sz w:val="24"/>
                <w:szCs w:val="24"/>
                <w:highlight w:val="none"/>
                <w:lang w:val="en-US" w:eastAsia="zh-CN"/>
              </w:rPr>
            </w:pPr>
          </w:p>
        </w:tc>
        <w:tc>
          <w:tcPr>
            <w:tcW w:w="1346" w:type="dxa"/>
            <w:vAlign w:val="center"/>
          </w:tcPr>
          <w:p w14:paraId="118F771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47" w:type="dxa"/>
            <w:vAlign w:val="center"/>
          </w:tcPr>
          <w:p w14:paraId="2354619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A7C677A">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86" w:type="dxa"/>
            <w:vAlign w:val="center"/>
          </w:tcPr>
          <w:p w14:paraId="1FBE034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238F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61278465">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82" w:type="dxa"/>
            <w:gridSpan w:val="2"/>
            <w:vAlign w:val="center"/>
          </w:tcPr>
          <w:p w14:paraId="2DA0450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46" w:type="dxa"/>
            <w:vAlign w:val="center"/>
          </w:tcPr>
          <w:p w14:paraId="262D13E8">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47" w:type="dxa"/>
            <w:vAlign w:val="center"/>
          </w:tcPr>
          <w:p w14:paraId="79CCFA2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2F4AA7D">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86" w:type="dxa"/>
            <w:vAlign w:val="center"/>
          </w:tcPr>
          <w:p w14:paraId="2FD2EF2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0D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701AB8DD">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28" w:type="dxa"/>
            <w:gridSpan w:val="3"/>
            <w:vAlign w:val="center"/>
          </w:tcPr>
          <w:p w14:paraId="10A21E5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30" w:type="dxa"/>
            <w:gridSpan w:val="2"/>
            <w:vAlign w:val="center"/>
          </w:tcPr>
          <w:p w14:paraId="056113A4">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86" w:type="dxa"/>
            <w:vAlign w:val="center"/>
          </w:tcPr>
          <w:p w14:paraId="54BECDD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8AB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7B6327A9">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以项目技术负责人身份参与过的主要业绩（已完工项目）</w:t>
            </w:r>
          </w:p>
        </w:tc>
      </w:tr>
      <w:tr w14:paraId="7A7F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38456C0B">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10" w:type="dxa"/>
            <w:gridSpan w:val="2"/>
            <w:vAlign w:val="center"/>
          </w:tcPr>
          <w:p w14:paraId="2E11A1D4">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21" w:type="dxa"/>
            <w:gridSpan w:val="2"/>
            <w:vAlign w:val="center"/>
          </w:tcPr>
          <w:p w14:paraId="7AA9AB8C">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47" w:type="dxa"/>
            <w:vAlign w:val="center"/>
          </w:tcPr>
          <w:p w14:paraId="29945CA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83" w:type="dxa"/>
            <w:vAlign w:val="center"/>
          </w:tcPr>
          <w:p w14:paraId="2963C67C">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86" w:type="dxa"/>
            <w:vAlign w:val="center"/>
          </w:tcPr>
          <w:p w14:paraId="10F97638">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7D6C5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99EFAF8">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10" w:type="dxa"/>
            <w:gridSpan w:val="2"/>
            <w:vAlign w:val="center"/>
          </w:tcPr>
          <w:p w14:paraId="5ADA09A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53E6CAC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3213B51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71B1F1C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32394E3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245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4DAC59FB">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10" w:type="dxa"/>
            <w:gridSpan w:val="2"/>
            <w:vAlign w:val="center"/>
          </w:tcPr>
          <w:p w14:paraId="5602C39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4416125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6EB9A68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7C254F8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3A09BA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D025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54FA703">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10" w:type="dxa"/>
            <w:gridSpan w:val="2"/>
            <w:vAlign w:val="center"/>
          </w:tcPr>
          <w:p w14:paraId="6C5FB04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2104855">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578C559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B5BBA7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46214A3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30FF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7063B7A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23F285B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2F8026D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579A464E">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3234620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6B220A8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18E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2B85EE5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07FBE6F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77A52A6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386A4A2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539B9F0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315CA8B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0667A4AA">
      <w:pPr>
        <w:pStyle w:val="6"/>
        <w:keepNext w:val="0"/>
        <w:keepLines w:val="0"/>
        <w:pageBreakBefore w:val="0"/>
        <w:wordWrap w:val="0"/>
        <w:overflowPunct/>
        <w:topLinePunct w:val="0"/>
        <w:bidi w:val="0"/>
        <w:spacing w:line="314" w:lineRule="auto"/>
        <w:rPr>
          <w:rFonts w:hint="eastAsia" w:ascii="宋体" w:hAnsi="宋体" w:eastAsia="宋体" w:cs="宋体"/>
          <w:color w:val="auto"/>
          <w:spacing w:val="0"/>
          <w:sz w:val="24"/>
          <w:szCs w:val="24"/>
          <w:highlight w:val="none"/>
        </w:rPr>
      </w:pPr>
    </w:p>
    <w:p w14:paraId="051EFE34">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sz w:val="24"/>
          <w:szCs w:val="24"/>
          <w:highlight w:val="none"/>
        </w:rPr>
      </w:pPr>
    </w:p>
    <w:p w14:paraId="75AB57A7">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025168AE">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sz w:val="24"/>
          <w:szCs w:val="24"/>
          <w:highlight w:val="none"/>
        </w:rPr>
      </w:pPr>
    </w:p>
    <w:p w14:paraId="04AE2F4B">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sz w:val="24"/>
          <w:szCs w:val="24"/>
          <w:highlight w:val="none"/>
        </w:rPr>
      </w:pPr>
    </w:p>
    <w:p w14:paraId="4F85C3AC">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0BDE3C">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说明：《项目技术负责人简历表》后应附拟派项目技术负责人以下资料：</w:t>
      </w:r>
    </w:p>
    <w:p w14:paraId="4CC3C7D8">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．身份证彩色扫描件；</w:t>
      </w:r>
    </w:p>
    <w:p w14:paraId="32AA95EF">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．职称证彩色扫描件；</w:t>
      </w:r>
    </w:p>
    <w:p w14:paraId="0F4111DC">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w:t>
      </w:r>
      <w:r>
        <w:rPr>
          <w:rFonts w:hint="eastAsia" w:ascii="宋体" w:hAnsi="宋体" w:eastAsia="宋体" w:cs="宋体"/>
          <w:color w:val="auto"/>
          <w:spacing w:val="0"/>
          <w:sz w:val="24"/>
          <w:szCs w:val="24"/>
          <w:highlight w:val="none"/>
        </w:rPr>
        <w:t xml:space="preserve">，其中必须有 </w:t>
      </w:r>
      <w:r>
        <w:rPr>
          <w:rFonts w:hint="eastAsia" w:ascii="宋体" w:hAnsi="宋体" w:eastAsia="宋体" w:cs="宋体"/>
          <w:color w:val="auto"/>
          <w:spacing w:val="0"/>
          <w:sz w:val="24"/>
          <w:szCs w:val="24"/>
          <w:highlight w:val="none"/>
          <w:lang w:eastAsia="zh-CN"/>
        </w:rPr>
        <w:t>202</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月）扫描件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 拟派项目技术负责人为退休返聘人员无法提供社保证明的，提供退休证和劳动合同彩色扫描件。</w:t>
      </w:r>
    </w:p>
    <w:p w14:paraId="4B6AA54F">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．“进粤企业和人员诚信信息登记平台 ”个人信息情况截图。（适用于省外建筑企业）</w:t>
      </w:r>
    </w:p>
    <w:p w14:paraId="171B3FE7">
      <w:pPr>
        <w:keepNext w:val="0"/>
        <w:keepLines w:val="0"/>
        <w:pageBreakBefore w:val="0"/>
        <w:wordWrap w:val="0"/>
        <w:overflowPunct/>
        <w:topLinePunct w:val="0"/>
        <w:bidi w:val="0"/>
        <w:spacing w:line="228" w:lineRule="auto"/>
        <w:rPr>
          <w:rFonts w:hint="eastAsia" w:ascii="宋体" w:hAnsi="宋体" w:eastAsia="宋体" w:cs="宋体"/>
          <w:color w:val="auto"/>
          <w:spacing w:val="0"/>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19289E">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1" w:name="_Toc27504"/>
      <w:r>
        <w:rPr>
          <w:rFonts w:hint="eastAsia" w:ascii="宋体" w:hAnsi="宋体" w:eastAsia="宋体" w:cs="宋体"/>
          <w:b/>
          <w:bCs/>
          <w:color w:val="auto"/>
          <w:spacing w:val="0"/>
          <w:sz w:val="24"/>
          <w:szCs w:val="24"/>
          <w:highlight w:val="none"/>
        </w:rPr>
        <w:t>格式十一 项目管理机构组成表</w:t>
      </w:r>
      <w:bookmarkEnd w:id="251"/>
    </w:p>
    <w:p w14:paraId="72EA281F">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3BAB61AF">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3A5B9122">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auto"/>
          <w:spacing w:val="0"/>
          <w:sz w:val="30"/>
          <w:szCs w:val="30"/>
          <w:highlight w:val="none"/>
        </w:rPr>
      </w:pPr>
      <w:bookmarkStart w:id="252" w:name="bookmark158"/>
      <w:bookmarkEnd w:id="252"/>
      <w:bookmarkStart w:id="253" w:name="_Toc28765"/>
      <w:bookmarkStart w:id="254" w:name="_Toc19973"/>
      <w:r>
        <w:rPr>
          <w:rFonts w:hint="eastAsia" w:ascii="宋体" w:hAnsi="宋体" w:eastAsia="宋体" w:cs="宋体"/>
          <w:b/>
          <w:bCs/>
          <w:color w:val="auto"/>
          <w:spacing w:val="0"/>
          <w:sz w:val="30"/>
          <w:szCs w:val="30"/>
          <w:highlight w:val="none"/>
        </w:rPr>
        <w:t>项目管理机构组成表</w:t>
      </w:r>
      <w:bookmarkEnd w:id="253"/>
      <w:bookmarkEnd w:id="254"/>
    </w:p>
    <w:p w14:paraId="6443FF59">
      <w:pPr>
        <w:keepNext w:val="0"/>
        <w:keepLines w:val="0"/>
        <w:pageBreakBefore w:val="0"/>
        <w:wordWrap w:val="0"/>
        <w:overflowPunct/>
        <w:topLinePunct w:val="0"/>
        <w:bidi w:val="0"/>
        <w:spacing w:before="7"/>
        <w:rPr>
          <w:rFonts w:hint="eastAsia" w:ascii="宋体" w:hAnsi="宋体" w:eastAsia="宋体" w:cs="宋体"/>
          <w:color w:val="auto"/>
          <w:spacing w:val="0"/>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6212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6E3F51CF">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序号</w:t>
            </w:r>
          </w:p>
        </w:tc>
        <w:tc>
          <w:tcPr>
            <w:tcW w:w="1939" w:type="dxa"/>
            <w:vAlign w:val="center"/>
          </w:tcPr>
          <w:p w14:paraId="70840A8B">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岗位</w:t>
            </w:r>
          </w:p>
        </w:tc>
        <w:tc>
          <w:tcPr>
            <w:tcW w:w="1567" w:type="dxa"/>
            <w:vAlign w:val="center"/>
          </w:tcPr>
          <w:p w14:paraId="32A36FDF">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姓名</w:t>
            </w:r>
          </w:p>
        </w:tc>
        <w:tc>
          <w:tcPr>
            <w:tcW w:w="1017" w:type="dxa"/>
            <w:vAlign w:val="center"/>
          </w:tcPr>
          <w:p w14:paraId="46CA79C0">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性别</w:t>
            </w:r>
          </w:p>
        </w:tc>
        <w:tc>
          <w:tcPr>
            <w:tcW w:w="1002" w:type="dxa"/>
            <w:vAlign w:val="center"/>
          </w:tcPr>
          <w:p w14:paraId="7DFB693F">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年龄</w:t>
            </w:r>
          </w:p>
        </w:tc>
        <w:tc>
          <w:tcPr>
            <w:tcW w:w="1551" w:type="dxa"/>
            <w:vAlign w:val="center"/>
          </w:tcPr>
          <w:p w14:paraId="0DFD0FC9">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职称</w:t>
            </w:r>
          </w:p>
        </w:tc>
        <w:tc>
          <w:tcPr>
            <w:tcW w:w="1926" w:type="dxa"/>
            <w:vAlign w:val="center"/>
          </w:tcPr>
          <w:p w14:paraId="55F7EA6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备注</w:t>
            </w:r>
          </w:p>
        </w:tc>
      </w:tr>
      <w:tr w14:paraId="3C5E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4847F33D">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939" w:type="dxa"/>
            <w:vAlign w:val="center"/>
          </w:tcPr>
          <w:p w14:paraId="2FE7C559">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1567" w:type="dxa"/>
            <w:vAlign w:val="center"/>
          </w:tcPr>
          <w:p w14:paraId="2D179AD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824F68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8FAF52C">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EE0EF0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2C34DDD3">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93E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6DC38B23">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939" w:type="dxa"/>
            <w:vAlign w:val="center"/>
          </w:tcPr>
          <w:p w14:paraId="5504BA64">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p>
        </w:tc>
        <w:tc>
          <w:tcPr>
            <w:tcW w:w="1567" w:type="dxa"/>
            <w:vAlign w:val="center"/>
          </w:tcPr>
          <w:p w14:paraId="39D0A69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B5E02F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543BE36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D293A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F9B82AC">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D1F3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0114A82A">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1939" w:type="dxa"/>
            <w:vAlign w:val="center"/>
          </w:tcPr>
          <w:p w14:paraId="342D613A">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专职安全员</w:t>
            </w:r>
          </w:p>
        </w:tc>
        <w:tc>
          <w:tcPr>
            <w:tcW w:w="1567" w:type="dxa"/>
            <w:vAlign w:val="center"/>
          </w:tcPr>
          <w:p w14:paraId="713505E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FBE079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091553A">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04815E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63FA1459">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15E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6D81841D">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939" w:type="dxa"/>
            <w:vAlign w:val="center"/>
          </w:tcPr>
          <w:p w14:paraId="68BF5D12">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施工员</w:t>
            </w:r>
          </w:p>
        </w:tc>
        <w:tc>
          <w:tcPr>
            <w:tcW w:w="1567" w:type="dxa"/>
            <w:vAlign w:val="center"/>
          </w:tcPr>
          <w:p w14:paraId="5381625C">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6C90DAA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CE3B76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461373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84D418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74C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65F3A49E">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939" w:type="dxa"/>
            <w:vAlign w:val="center"/>
          </w:tcPr>
          <w:p w14:paraId="71A9343D">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质量员</w:t>
            </w:r>
          </w:p>
        </w:tc>
        <w:tc>
          <w:tcPr>
            <w:tcW w:w="1567" w:type="dxa"/>
            <w:vAlign w:val="center"/>
          </w:tcPr>
          <w:p w14:paraId="4FFD4F7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4A9577DC">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1D2346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541E883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2D22F9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FB6B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0357985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939" w:type="dxa"/>
            <w:vAlign w:val="center"/>
          </w:tcPr>
          <w:p w14:paraId="134FEF29">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材料员</w:t>
            </w:r>
          </w:p>
        </w:tc>
        <w:tc>
          <w:tcPr>
            <w:tcW w:w="1567" w:type="dxa"/>
            <w:vAlign w:val="center"/>
          </w:tcPr>
          <w:p w14:paraId="5EED7FC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33246CC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546455F0">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54B6B2D">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76F5763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680B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6902E730">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939" w:type="dxa"/>
            <w:vAlign w:val="center"/>
          </w:tcPr>
          <w:p w14:paraId="0F420679">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资料员</w:t>
            </w:r>
          </w:p>
        </w:tc>
        <w:tc>
          <w:tcPr>
            <w:tcW w:w="1567" w:type="dxa"/>
            <w:vAlign w:val="center"/>
          </w:tcPr>
          <w:p w14:paraId="3622BE2B">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CE65BB8">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7EDECF2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C9FB1A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552BC96">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CEB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7C25D031">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939" w:type="dxa"/>
            <w:vAlign w:val="center"/>
          </w:tcPr>
          <w:p w14:paraId="644CBD8F">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67" w:type="dxa"/>
            <w:vAlign w:val="center"/>
          </w:tcPr>
          <w:p w14:paraId="41B050F2">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7FE3CAC4">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207D0393">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ACA057">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B617A51">
            <w:pPr>
              <w:pStyle w:val="29"/>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66ACBDC5">
      <w:pPr>
        <w:pStyle w:val="6"/>
        <w:keepNext w:val="0"/>
        <w:keepLines w:val="0"/>
        <w:pageBreakBefore w:val="0"/>
        <w:wordWrap w:val="0"/>
        <w:overflowPunct/>
        <w:topLinePunct w:val="0"/>
        <w:bidi w:val="0"/>
        <w:spacing w:line="395" w:lineRule="auto"/>
        <w:rPr>
          <w:rFonts w:hint="eastAsia" w:ascii="宋体" w:hAnsi="宋体" w:eastAsia="宋体" w:cs="宋体"/>
          <w:color w:val="auto"/>
          <w:spacing w:val="0"/>
          <w:sz w:val="24"/>
          <w:szCs w:val="24"/>
          <w:highlight w:val="none"/>
        </w:rPr>
      </w:pPr>
    </w:p>
    <w:p w14:paraId="0B9B1778">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5103CD5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．《项目管理机构组成表》后应附表中拟派人员（项目经理、项目技术负责人除外）以下资料：</w:t>
      </w:r>
    </w:p>
    <w:p w14:paraId="2943384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身份证彩色扫描件；</w:t>
      </w:r>
    </w:p>
    <w:p w14:paraId="780E60F3">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57B1167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在本单位缴纳社保的证明（</w:t>
      </w:r>
      <w:r>
        <w:rPr>
          <w:rFonts w:hint="eastAsia" w:ascii="宋体" w:hAnsi="宋体" w:eastAsia="宋体" w:cs="宋体"/>
          <w:color w:val="auto"/>
          <w:spacing w:val="0"/>
          <w:sz w:val="24"/>
          <w:szCs w:val="24"/>
          <w:highlight w:val="none"/>
          <w:lang w:eastAsia="zh-CN"/>
        </w:rPr>
        <w:t>至少3个月，其中必须有2026 年</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。拟派</w:t>
      </w:r>
      <w:r>
        <w:rPr>
          <w:rFonts w:hint="eastAsia" w:ascii="宋体" w:hAnsi="宋体" w:eastAsia="宋体" w:cs="宋体"/>
          <w:color w:val="auto"/>
          <w:spacing w:val="0"/>
          <w:sz w:val="24"/>
          <w:szCs w:val="24"/>
          <w:highlight w:val="none"/>
          <w:lang w:val="en-US" w:eastAsia="zh-CN"/>
        </w:rPr>
        <w:t>人员</w:t>
      </w:r>
      <w:r>
        <w:rPr>
          <w:rFonts w:hint="eastAsia" w:ascii="宋体" w:hAnsi="宋体" w:eastAsia="宋体" w:cs="宋体"/>
          <w:color w:val="auto"/>
          <w:spacing w:val="0"/>
          <w:sz w:val="24"/>
          <w:szCs w:val="24"/>
          <w:highlight w:val="none"/>
        </w:rPr>
        <w:t>为退休返聘人员无法提供社保证明的，提供退休证和劳动合同彩色扫描件。</w:t>
      </w:r>
    </w:p>
    <w:p w14:paraId="51AFC6E4">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（4）“进粤企业和人员诚信信息登记平台 ”个人信息情况截图。（适用于省外建筑企业）</w:t>
      </w:r>
    </w:p>
    <w:p w14:paraId="25A1811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联合体投标的，《项目管理机构组成表》应包括联合体成员单位参与项目管理机构的人员，并提供以上所需资料。</w:t>
      </w:r>
    </w:p>
    <w:p w14:paraId="148E55D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5" w:name="_Toc3573"/>
      <w:r>
        <w:rPr>
          <w:rFonts w:hint="eastAsia" w:ascii="宋体" w:hAnsi="宋体" w:eastAsia="宋体" w:cs="宋体"/>
          <w:b/>
          <w:bCs/>
          <w:color w:val="auto"/>
          <w:spacing w:val="0"/>
          <w:sz w:val="24"/>
          <w:szCs w:val="24"/>
          <w:highlight w:val="none"/>
        </w:rPr>
        <w:t>格式十二 建造师查询页（有效期+建造师签字）</w:t>
      </w:r>
      <w:bookmarkEnd w:id="255"/>
    </w:p>
    <w:p w14:paraId="3F74BE56">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r>
        <w:rPr>
          <w:rFonts w:hint="eastAsia" w:ascii="宋体" w:hAnsi="宋体" w:eastAsia="宋体" w:cs="宋体"/>
          <w:color w:val="auto"/>
          <w:spacing w:val="0"/>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0911E9E5">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C03463">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pPr>
      <w:r>
        <w:rPr>
          <w:rFonts w:hint="eastAsia" w:ascii="宋体" w:hAnsi="宋体" w:eastAsia="宋体" w:cs="宋体"/>
          <w:color w:val="auto"/>
          <w:spacing w:val="0"/>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75F69AC8">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9562F6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6" w:name="_Toc23166"/>
      <w:r>
        <w:rPr>
          <w:rFonts w:hint="eastAsia" w:ascii="宋体" w:hAnsi="宋体" w:eastAsia="宋体" w:cs="宋体"/>
          <w:b/>
          <w:bCs/>
          <w:color w:val="auto"/>
          <w:spacing w:val="0"/>
          <w:sz w:val="24"/>
          <w:szCs w:val="24"/>
          <w:highlight w:val="none"/>
        </w:rPr>
        <w:t>格式十三</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2"/>
          <w:szCs w:val="22"/>
          <w:highlight w:val="none"/>
        </w:rPr>
        <w:t>危险性较大的分部分项工程清单及超过一定规模的危险性较大的分部分项工程清单</w:t>
      </w:r>
      <w:bookmarkEnd w:id="256"/>
    </w:p>
    <w:p w14:paraId="50907F9F">
      <w:pPr>
        <w:pStyle w:val="6"/>
        <w:keepNext w:val="0"/>
        <w:keepLines w:val="0"/>
        <w:pageBreakBefore w:val="0"/>
        <w:wordWrap w:val="0"/>
        <w:overflowPunct/>
        <w:topLinePunct w:val="0"/>
        <w:bidi w:val="0"/>
        <w:spacing w:line="269" w:lineRule="auto"/>
        <w:rPr>
          <w:rFonts w:hint="eastAsia" w:ascii="宋体" w:hAnsi="宋体" w:eastAsia="宋体" w:cs="宋体"/>
          <w:color w:val="auto"/>
          <w:spacing w:val="0"/>
          <w:highlight w:val="none"/>
        </w:rPr>
      </w:pPr>
    </w:p>
    <w:p w14:paraId="7607D11B">
      <w:pPr>
        <w:keepNext w:val="0"/>
        <w:keepLines w:val="0"/>
        <w:pageBreakBefore w:val="0"/>
        <w:tabs>
          <w:tab w:val="left" w:pos="2940"/>
        </w:tabs>
        <w:wordWrap w:val="0"/>
        <w:overflowPunct/>
        <w:topLinePunct w:val="0"/>
        <w:bidi w:val="0"/>
        <w:spacing w:before="101" w:line="377" w:lineRule="auto"/>
        <w:ind w:left="3179" w:leftChars="0" w:right="41" w:hanging="3133" w:firstLineChars="0"/>
        <w:rPr>
          <w:rFonts w:hint="eastAsia" w:ascii="宋体" w:hAnsi="宋体" w:eastAsia="宋体" w:cs="宋体"/>
          <w:color w:val="auto"/>
          <w:spacing w:val="0"/>
          <w:sz w:val="31"/>
          <w:szCs w:val="31"/>
          <w:highlight w:val="none"/>
        </w:rPr>
      </w:pPr>
      <w:bookmarkStart w:id="257" w:name="bookmark160"/>
      <w:bookmarkEnd w:id="257"/>
      <w:bookmarkStart w:id="258" w:name="OLE_LINK41"/>
      <w:r>
        <w:rPr>
          <w:rFonts w:hint="eastAsia" w:ascii="宋体" w:hAnsi="宋体" w:eastAsia="宋体" w:cs="宋体"/>
          <w:b/>
          <w:bCs/>
          <w:color w:val="auto"/>
          <w:spacing w:val="0"/>
          <w:sz w:val="31"/>
          <w:szCs w:val="31"/>
          <w:highlight w:val="none"/>
        </w:rPr>
        <w:t>危险性较大的分部分项工程清单及超过一定规模的危险性较大的分部分项工程清单</w:t>
      </w:r>
    </w:p>
    <w:bookmarkEnd w:id="258"/>
    <w:p w14:paraId="662AF9AF">
      <w:pPr>
        <w:keepNext w:val="0"/>
        <w:keepLines w:val="0"/>
        <w:pageBreakBefore w:val="0"/>
        <w:wordWrap w:val="0"/>
        <w:overflowPunct/>
        <w:topLinePunct w:val="0"/>
        <w:bidi w:val="0"/>
        <w:spacing w:before="6" w:line="326" w:lineRule="auto"/>
        <w:ind w:left="5"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1、根据中华人民共和国住房和城乡建设部令第37号《危险性较大的分部分项工程安全管理规定》（以下简称“37号文 ”），投标人在投标时须补充完善危大工程清单并明确相应的安全管理措施。</w:t>
      </w:r>
    </w:p>
    <w:p w14:paraId="67ED7BDA">
      <w:pPr>
        <w:keepNext w:val="0"/>
        <w:keepLines w:val="0"/>
        <w:pageBreakBefore w:val="0"/>
        <w:wordWrap w:val="0"/>
        <w:overflowPunct/>
        <w:topLinePunct w:val="0"/>
        <w:bidi w:val="0"/>
        <w:spacing w:before="208" w:line="326" w:lineRule="auto"/>
        <w:ind w:left="1"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2、招标人根据设计文件的要求及37号文、粤建规范〔2019〕2号文的规定列出“危险性较大的分部分项工程清单及超过一定规模的危险性较大的分部分项工程清单 ”中与 本招标项目相关的清单项，具体详见第5点“打 √ ”标识。</w:t>
      </w:r>
    </w:p>
    <w:p w14:paraId="1009AAD2">
      <w:pPr>
        <w:keepNext w:val="0"/>
        <w:keepLines w:val="0"/>
        <w:pageBreakBefore w:val="0"/>
        <w:wordWrap w:val="0"/>
        <w:overflowPunct/>
        <w:topLinePunct w:val="0"/>
        <w:bidi w:val="0"/>
        <w:spacing w:before="209" w:line="299" w:lineRule="auto"/>
        <w:ind w:left="3" w:right="7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（1）投标单位同意建设单位在清单中标识的该项请在对应项打“ √ ”标识，并与投标文件中提供相应的安全管理措施。</w:t>
      </w:r>
    </w:p>
    <w:p w14:paraId="4E637A4E">
      <w:pPr>
        <w:keepNext w:val="0"/>
        <w:keepLines w:val="0"/>
        <w:pageBreakBefore w:val="0"/>
        <w:wordWrap w:val="0"/>
        <w:overflowPunct/>
        <w:topLinePunct w:val="0"/>
        <w:bidi w:val="0"/>
        <w:spacing w:before="208" w:line="299" w:lineRule="auto"/>
        <w:ind w:left="2" w:right="72"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（2）投标单位对清单中认为需要补充的该项请在对应项打“ √ ”标识，并与投标文件中提供相应的安全管理措施。</w:t>
      </w:r>
    </w:p>
    <w:p w14:paraId="33208B45">
      <w:pPr>
        <w:keepNext w:val="0"/>
        <w:keepLines w:val="0"/>
        <w:pageBreakBefore w:val="0"/>
        <w:wordWrap w:val="0"/>
        <w:overflowPunct/>
        <w:topLinePunct w:val="0"/>
        <w:bidi w:val="0"/>
        <w:spacing w:before="210" w:line="300" w:lineRule="auto"/>
        <w:ind w:right="7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（3）投标单位不同意建设单位在清单中标识的该项请在对应项打“ × ”标识，并在备注栏填上相关说明。</w:t>
      </w:r>
    </w:p>
    <w:p w14:paraId="7EE27B78">
      <w:pPr>
        <w:keepNext w:val="0"/>
        <w:keepLines w:val="0"/>
        <w:pageBreakBefore w:val="0"/>
        <w:wordWrap w:val="0"/>
        <w:overflowPunct/>
        <w:topLinePunct w:val="0"/>
        <w:bidi w:val="0"/>
        <w:spacing w:before="207" w:line="371" w:lineRule="auto"/>
        <w:ind w:firstLine="48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u w:val="single"/>
        </w:rPr>
        <w:t>3、投标单位应当在投标时根据招标人提供的下述第5点清单，在投标施工组织中回应建设单位提供的危大工程清单，补充相应的安全管理措施。（为减轻标书编制的工作量，投标单位回应的危大工程清单该部分的页数应控制在3页内）</w:t>
      </w:r>
    </w:p>
    <w:p w14:paraId="74717CD9">
      <w:pPr>
        <w:keepNext w:val="0"/>
        <w:keepLines w:val="0"/>
        <w:pageBreakBefore w:val="0"/>
        <w:wordWrap w:val="0"/>
        <w:overflowPunct/>
        <w:topLinePunct w:val="0"/>
        <w:bidi w:val="0"/>
        <w:spacing w:before="33" w:line="326" w:lineRule="auto"/>
        <w:ind w:left="1"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CC55829">
      <w:pPr>
        <w:keepNext w:val="0"/>
        <w:keepLines w:val="0"/>
        <w:pageBreakBefore w:val="0"/>
        <w:wordWrap w:val="0"/>
        <w:overflowPunct/>
        <w:topLinePunct w:val="0"/>
        <w:bidi w:val="0"/>
        <w:spacing w:before="208" w:line="301" w:lineRule="auto"/>
        <w:ind w:firstLine="484"/>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5、危险性较大的分部分项工程清单及超过一定规模的危险性较大的分部分项工程清单</w:t>
      </w:r>
    </w:p>
    <w:p w14:paraId="09191A05">
      <w:pPr>
        <w:keepNext w:val="0"/>
        <w:keepLines w:val="0"/>
        <w:pageBreakBefore w:val="0"/>
        <w:wordWrap w:val="0"/>
        <w:overflowPunct/>
        <w:topLinePunct w:val="0"/>
        <w:bidi w:val="0"/>
        <w:spacing w:before="40"/>
        <w:rPr>
          <w:rFonts w:hint="eastAsia" w:ascii="宋体" w:hAnsi="宋体" w:eastAsia="宋体" w:cs="宋体"/>
          <w:color w:val="auto"/>
          <w:spacing w:val="0"/>
          <w:highlight w:val="none"/>
        </w:rPr>
      </w:pPr>
    </w:p>
    <w:tbl>
      <w:tblPr>
        <w:tblStyle w:val="15"/>
        <w:tblW w:w="9947"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
        <w:gridCol w:w="2"/>
        <w:gridCol w:w="4862"/>
        <w:gridCol w:w="1294"/>
        <w:gridCol w:w="1294"/>
        <w:gridCol w:w="2428"/>
      </w:tblGrid>
      <w:tr w14:paraId="0EB2F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5C37D55F">
            <w:pPr>
              <w:keepNext w:val="0"/>
              <w:keepLines w:val="0"/>
              <w:pageBreakBefore w:val="0"/>
              <w:wordWrap w:val="0"/>
              <w:overflowPunct/>
              <w:topLinePunct w:val="0"/>
              <w:bidi w:val="0"/>
              <w:spacing w:before="133" w:line="22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一、危险性较大的分部分项工程清单</w:t>
            </w:r>
          </w:p>
        </w:tc>
        <w:tc>
          <w:tcPr>
            <w:tcW w:w="1294" w:type="dxa"/>
            <w:vAlign w:val="top"/>
          </w:tcPr>
          <w:p w14:paraId="67D9179E">
            <w:pPr>
              <w:keepNext w:val="0"/>
              <w:keepLines w:val="0"/>
              <w:pageBreakBefore w:val="0"/>
              <w:wordWrap w:val="0"/>
              <w:overflowPunct/>
              <w:topLinePunct w:val="0"/>
              <w:bidi w:val="0"/>
              <w:spacing w:before="133" w:line="221" w:lineRule="auto"/>
              <w:ind w:left="20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03288055">
            <w:pPr>
              <w:keepNext w:val="0"/>
              <w:keepLines w:val="0"/>
              <w:pageBreakBefore w:val="0"/>
              <w:wordWrap w:val="0"/>
              <w:overflowPunct/>
              <w:topLinePunct w:val="0"/>
              <w:bidi w:val="0"/>
              <w:spacing w:before="133" w:line="221" w:lineRule="auto"/>
              <w:ind w:left="205" w:leftChars="0"/>
              <w:rPr>
                <w:rFonts w:hint="eastAsia" w:ascii="宋体" w:hAnsi="宋体" w:eastAsia="宋体" w:cs="宋体"/>
                <w:color w:val="auto"/>
                <w:spacing w:val="0"/>
                <w:w w:val="94"/>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F75FE62">
            <w:pPr>
              <w:keepNext w:val="0"/>
              <w:keepLines w:val="0"/>
              <w:pageBreakBefore w:val="0"/>
              <w:wordWrap w:val="0"/>
              <w:overflowPunct/>
              <w:topLinePunct w:val="0"/>
              <w:bidi w:val="0"/>
              <w:spacing w:before="133" w:line="222" w:lineRule="auto"/>
              <w:ind w:left="360" w:leftChars="0"/>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备注</w:t>
            </w:r>
          </w:p>
        </w:tc>
      </w:tr>
      <w:tr w14:paraId="09153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6EA5278F">
            <w:pPr>
              <w:keepNext w:val="0"/>
              <w:keepLines w:val="0"/>
              <w:pageBreakBefore w:val="0"/>
              <w:wordWrap w:val="0"/>
              <w:overflowPunct/>
              <w:topLinePunct w:val="0"/>
              <w:bidi w:val="0"/>
              <w:spacing w:before="128" w:line="221" w:lineRule="auto"/>
              <w:ind w:left="120" w:left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一、基坑支护</w:t>
            </w:r>
          </w:p>
        </w:tc>
        <w:tc>
          <w:tcPr>
            <w:tcW w:w="1294" w:type="dxa"/>
            <w:vAlign w:val="top"/>
          </w:tcPr>
          <w:p w14:paraId="015BF65A">
            <w:pPr>
              <w:keepNext w:val="0"/>
              <w:keepLines w:val="0"/>
              <w:pageBreakBefore w:val="0"/>
              <w:wordWrap w:val="0"/>
              <w:overflowPunct/>
              <w:topLinePunct w:val="0"/>
              <w:bidi w:val="0"/>
              <w:spacing w:before="128" w:line="223" w:lineRule="auto"/>
              <w:jc w:val="center"/>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bookmarkStart w:id="259" w:name="OLE_LINK39"/>
            <w:r>
              <w:rPr>
                <w:rFonts w:hint="eastAsia" w:ascii="宋体" w:hAnsi="宋体" w:eastAsia="宋体" w:cs="宋体"/>
                <w:color w:val="auto"/>
                <w:spacing w:val="0"/>
                <w:sz w:val="24"/>
                <w:szCs w:val="24"/>
                <w:highlight w:val="none"/>
              </w:rPr>
              <w:t xml:space="preserve">  </w:t>
            </w:r>
            <w:bookmarkEnd w:id="259"/>
            <w:r>
              <w:rPr>
                <w:rFonts w:hint="eastAsia" w:ascii="宋体" w:hAnsi="宋体" w:eastAsia="宋体" w:cs="宋体"/>
                <w:color w:val="auto"/>
                <w:spacing w:val="0"/>
                <w:w w:val="94"/>
                <w:sz w:val="24"/>
                <w:szCs w:val="24"/>
                <w:highlight w:val="none"/>
              </w:rPr>
              <w:t>)</w:t>
            </w:r>
          </w:p>
        </w:tc>
        <w:tc>
          <w:tcPr>
            <w:tcW w:w="1294" w:type="dxa"/>
            <w:vAlign w:val="top"/>
          </w:tcPr>
          <w:p w14:paraId="08C13183">
            <w:pPr>
              <w:keepNext w:val="0"/>
              <w:keepLines w:val="0"/>
              <w:pageBreakBefore w:val="0"/>
              <w:wordWrap w:val="0"/>
              <w:overflowPunct/>
              <w:topLinePunct w:val="0"/>
              <w:bidi w:val="0"/>
              <w:spacing w:before="12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F78762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F39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19713150">
            <w:pPr>
              <w:keepNext w:val="0"/>
              <w:keepLines w:val="0"/>
              <w:pageBreakBefore w:val="0"/>
              <w:wordWrap w:val="0"/>
              <w:overflowPunct/>
              <w:topLinePunct w:val="0"/>
              <w:bidi w:val="0"/>
              <w:spacing w:before="129" w:line="328" w:lineRule="auto"/>
              <w:ind w:left="135" w:leftChars="0" w:right="68" w:rightChars="0" w:hanging="8"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（一）开挖深度超过 3m（含 3m）的基坑（槽） 的土方开挖、支护、降水工程。</w:t>
            </w:r>
          </w:p>
        </w:tc>
        <w:tc>
          <w:tcPr>
            <w:tcW w:w="1294" w:type="dxa"/>
            <w:vAlign w:val="top"/>
          </w:tcPr>
          <w:p w14:paraId="64D282F4">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10C20D5">
            <w:pPr>
              <w:keepNext w:val="0"/>
              <w:keepLines w:val="0"/>
              <w:pageBreakBefore w:val="0"/>
              <w:wordWrap w:val="0"/>
              <w:overflowPunct/>
              <w:topLinePunct w:val="0"/>
              <w:bidi w:val="0"/>
              <w:spacing w:before="78" w:line="223" w:lineRule="auto"/>
              <w:ind w:left="39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A791DBC">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DB9AA82">
            <w:pPr>
              <w:keepNext w:val="0"/>
              <w:keepLines w:val="0"/>
              <w:pageBreakBefore w:val="0"/>
              <w:wordWrap w:val="0"/>
              <w:overflowPunct/>
              <w:topLinePunct w:val="0"/>
              <w:bidi w:val="0"/>
              <w:spacing w:before="7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4610296">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8215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2C3A254E">
            <w:pPr>
              <w:keepNext w:val="0"/>
              <w:keepLines w:val="0"/>
              <w:pageBreakBefore w:val="0"/>
              <w:wordWrap w:val="0"/>
              <w:overflowPunct/>
              <w:topLinePunct w:val="0"/>
              <w:bidi w:val="0"/>
              <w:spacing w:before="132" w:line="354" w:lineRule="auto"/>
              <w:ind w:left="116" w:right="108" w:firstLine="11"/>
              <w:jc w:val="both"/>
              <w:rPr>
                <w:rFonts w:hint="eastAsia" w:ascii="宋体" w:hAnsi="宋体" w:eastAsia="宋体" w:cs="宋体"/>
                <w:color w:val="auto"/>
                <w:spacing w:val="0"/>
                <w:sz w:val="24"/>
                <w:szCs w:val="24"/>
                <w:highlight w:val="none"/>
              </w:rPr>
            </w:pPr>
            <w:bookmarkStart w:id="260" w:name="bookmark161"/>
            <w:bookmarkEnd w:id="260"/>
            <w:r>
              <w:rPr>
                <w:rFonts w:hint="eastAsia" w:ascii="宋体" w:hAnsi="宋体" w:eastAsia="宋体" w:cs="宋体"/>
                <w:color w:val="auto"/>
                <w:spacing w:val="0"/>
                <w:sz w:val="24"/>
                <w:szCs w:val="24"/>
                <w:highlight w:val="none"/>
              </w:rPr>
              <w:t>（二）开挖深度虽未超过 3m，但地质条件、周 围环境和地下管线复杂，或影响毗邻建、构筑 物安全的基坑（槽）的土方开挖、支护、降水 工程。</w:t>
            </w:r>
          </w:p>
        </w:tc>
        <w:tc>
          <w:tcPr>
            <w:tcW w:w="1294" w:type="dxa"/>
            <w:vAlign w:val="top"/>
          </w:tcPr>
          <w:p w14:paraId="3B931B4C">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7BD6AFD">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1A3552EE">
            <w:pPr>
              <w:pStyle w:val="29"/>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4582B41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bookmarkStart w:id="261" w:name="OLE_LINK40"/>
            <w:r>
              <w:rPr>
                <w:rFonts w:hint="eastAsia" w:ascii="宋体" w:hAnsi="宋体" w:eastAsia="宋体" w:cs="宋体"/>
                <w:color w:val="auto"/>
                <w:spacing w:val="0"/>
                <w:sz w:val="24"/>
                <w:szCs w:val="24"/>
                <w:highlight w:val="none"/>
              </w:rPr>
              <w:t xml:space="preserve">     </w:t>
            </w:r>
            <w:bookmarkEnd w:id="261"/>
            <w:r>
              <w:rPr>
                <w:rFonts w:hint="eastAsia" w:ascii="宋体" w:hAnsi="宋体" w:eastAsia="宋体" w:cs="宋体"/>
                <w:color w:val="auto"/>
                <w:spacing w:val="0"/>
                <w:w w:val="94"/>
                <w:sz w:val="24"/>
                <w:szCs w:val="24"/>
                <w:highlight w:val="none"/>
              </w:rPr>
              <w:t>)</w:t>
            </w:r>
          </w:p>
        </w:tc>
        <w:tc>
          <w:tcPr>
            <w:tcW w:w="1294" w:type="dxa"/>
            <w:vAlign w:val="top"/>
          </w:tcPr>
          <w:p w14:paraId="09D26D7C">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6AB11391">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80BA676">
            <w:pPr>
              <w:pStyle w:val="29"/>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3F7FFB3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378289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DEE9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284D345A">
            <w:pPr>
              <w:keepNext w:val="0"/>
              <w:keepLines w:val="0"/>
              <w:pageBreakBefore w:val="0"/>
              <w:wordWrap w:val="0"/>
              <w:overflowPunct/>
              <w:topLinePunct w:val="0"/>
              <w:bidi w:val="0"/>
              <w:spacing w:before="128"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5DBDF86D">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8DCF3A">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8428A05">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6278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4CD23F35">
            <w:pPr>
              <w:keepNext w:val="0"/>
              <w:keepLines w:val="0"/>
              <w:pageBreakBefore w:val="0"/>
              <w:wordWrap w:val="0"/>
              <w:overflowPunct/>
              <w:topLinePunct w:val="0"/>
              <w:bidi w:val="0"/>
              <w:spacing w:before="128" w:line="328"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3D6715B2">
            <w:pPr>
              <w:pStyle w:val="29"/>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52FE7F4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6412FE3">
            <w:pPr>
              <w:pStyle w:val="29"/>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BD9AD4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4CB92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CF46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13367A19">
            <w:pPr>
              <w:keepNext w:val="0"/>
              <w:keepLines w:val="0"/>
              <w:pageBreakBefore w:val="0"/>
              <w:wordWrap w:val="0"/>
              <w:overflowPunct/>
              <w:topLinePunct w:val="0"/>
              <w:bidi w:val="0"/>
              <w:spacing w:before="131" w:line="362" w:lineRule="auto"/>
              <w:ind w:left="115" w:right="10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 5m 及以 上，或搭设跨度 10m 及以上，或施工总荷载（荷 载效应基本组合的设计值，以下简称设计值） 10kN/m2 及以上，或集中线荷载（设计值）15kN/m 及以上，或高度大于支撑水平投影宽度且相对 独立无联系构件的混凝土模板支撑工程。</w:t>
            </w:r>
          </w:p>
        </w:tc>
        <w:tc>
          <w:tcPr>
            <w:tcW w:w="1294" w:type="dxa"/>
            <w:vAlign w:val="top"/>
          </w:tcPr>
          <w:p w14:paraId="547CE5CE">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5F0097AB">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798FBC23">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A433A05">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78EF4DB6">
            <w:pPr>
              <w:pStyle w:val="29"/>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3C19CBC0">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7C92272">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BAAA3C9">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7D01ED8">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2E2A66D4">
            <w:pPr>
              <w:pStyle w:val="29"/>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5185264">
            <w:pPr>
              <w:pStyle w:val="29"/>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3F95B5D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1EA97B8">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1026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42B2F67">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 支撑体系。</w:t>
            </w:r>
          </w:p>
        </w:tc>
        <w:tc>
          <w:tcPr>
            <w:tcW w:w="1294" w:type="dxa"/>
            <w:vAlign w:val="top"/>
          </w:tcPr>
          <w:p w14:paraId="081A79A4">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31DBB299">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1112BB">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2FA3B2E5">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BCC8089">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C17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2CD34E96">
            <w:pPr>
              <w:keepNext w:val="0"/>
              <w:keepLines w:val="0"/>
              <w:pageBreakBefore w:val="0"/>
              <w:wordWrap w:val="0"/>
              <w:overflowPunct/>
              <w:topLinePunct w:val="0"/>
              <w:bidi w:val="0"/>
              <w:spacing w:before="130"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38265AE9">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1147FBD">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603B3DD">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69FA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BBE638F">
            <w:pPr>
              <w:keepNext w:val="0"/>
              <w:keepLines w:val="0"/>
              <w:pageBreakBefore w:val="0"/>
              <w:wordWrap w:val="0"/>
              <w:overflowPunct/>
              <w:topLinePunct w:val="0"/>
              <w:bidi w:val="0"/>
              <w:spacing w:before="131" w:line="327"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10kN 及以上的起重吊装工程。</w:t>
            </w:r>
          </w:p>
        </w:tc>
        <w:tc>
          <w:tcPr>
            <w:tcW w:w="1294" w:type="dxa"/>
            <w:vAlign w:val="top"/>
          </w:tcPr>
          <w:p w14:paraId="37A83AED">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4EE95335">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A34B457">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D76C92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E0D56F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A09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1A85FE26">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（二）采用起重机械进行安装的工程。</w:t>
            </w:r>
          </w:p>
        </w:tc>
        <w:tc>
          <w:tcPr>
            <w:tcW w:w="1294" w:type="dxa"/>
            <w:vAlign w:val="top"/>
          </w:tcPr>
          <w:p w14:paraId="767E6331">
            <w:pPr>
              <w:keepNext w:val="0"/>
              <w:keepLines w:val="0"/>
              <w:pageBreakBefore w:val="0"/>
              <w:wordWrap w:val="0"/>
              <w:overflowPunct/>
              <w:topLinePunct w:val="0"/>
              <w:bidi w:val="0"/>
              <w:spacing w:before="131"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D439AE7">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61EBE37">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F45D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EAE4304">
            <w:pPr>
              <w:keepNext w:val="0"/>
              <w:keepLines w:val="0"/>
              <w:pageBreakBefore w:val="0"/>
              <w:wordWrap w:val="0"/>
              <w:overflowPunct/>
              <w:topLinePunct w:val="0"/>
              <w:bidi w:val="0"/>
              <w:spacing w:before="130"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（三）起重机械安装和拆卸工程。</w:t>
            </w:r>
          </w:p>
        </w:tc>
        <w:tc>
          <w:tcPr>
            <w:tcW w:w="1294" w:type="dxa"/>
            <w:vAlign w:val="top"/>
          </w:tcPr>
          <w:p w14:paraId="335991A7">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5F94CC4">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BB8D17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260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95419C4">
            <w:pPr>
              <w:keepNext w:val="0"/>
              <w:keepLines w:val="0"/>
              <w:pageBreakBefore w:val="0"/>
              <w:wordWrap w:val="0"/>
              <w:overflowPunct/>
              <w:topLinePunct w:val="0"/>
              <w:bidi w:val="0"/>
              <w:spacing w:before="131"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1EC462CF">
            <w:pPr>
              <w:keepNext w:val="0"/>
              <w:keepLines w:val="0"/>
              <w:pageBreakBefore w:val="0"/>
              <w:wordWrap w:val="0"/>
              <w:overflowPunct/>
              <w:topLinePunct w:val="0"/>
              <w:bidi w:val="0"/>
              <w:spacing w:before="130"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2739BCA">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C631CE0">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197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0CB2F8D3">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24m 及以上的落地式钢管脚手 架工程（包括采光井、电梯井脚手架）。</w:t>
            </w:r>
          </w:p>
        </w:tc>
        <w:tc>
          <w:tcPr>
            <w:tcW w:w="1294" w:type="dxa"/>
            <w:vAlign w:val="top"/>
          </w:tcPr>
          <w:p w14:paraId="6A2758E9">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9D015DE">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08ED15F">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49B95D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8E598F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44DE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3DD46A8">
            <w:pPr>
              <w:keepNext w:val="0"/>
              <w:keepLines w:val="0"/>
              <w:pageBreakBefore w:val="0"/>
              <w:wordWrap w:val="0"/>
              <w:overflowPunct/>
              <w:topLinePunct w:val="0"/>
              <w:bidi w:val="0"/>
              <w:spacing w:before="131"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（二）附着式升降脚手架工程。</w:t>
            </w:r>
          </w:p>
        </w:tc>
        <w:tc>
          <w:tcPr>
            <w:tcW w:w="1294" w:type="dxa"/>
            <w:vAlign w:val="top"/>
          </w:tcPr>
          <w:p w14:paraId="135E9D9F">
            <w:pPr>
              <w:keepNext w:val="0"/>
              <w:keepLines w:val="0"/>
              <w:pageBreakBefore w:val="0"/>
              <w:wordWrap w:val="0"/>
              <w:overflowPunct/>
              <w:topLinePunct w:val="0"/>
              <w:bidi w:val="0"/>
              <w:spacing w:before="130"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54243DE">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DE81B0B">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740A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56A5CF2">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（三）悬挑式脚手架工程。</w:t>
            </w:r>
          </w:p>
        </w:tc>
        <w:tc>
          <w:tcPr>
            <w:tcW w:w="1294" w:type="dxa"/>
            <w:vAlign w:val="top"/>
          </w:tcPr>
          <w:p w14:paraId="1C9D5F37">
            <w:pPr>
              <w:keepNext w:val="0"/>
              <w:keepLines w:val="0"/>
              <w:pageBreakBefore w:val="0"/>
              <w:wordWrap w:val="0"/>
              <w:overflowPunct/>
              <w:topLinePunct w:val="0"/>
              <w:bidi w:val="0"/>
              <w:spacing w:before="131"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BB346B5">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FF48AF6">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E61F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4DE411B6">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（四）高处作业吊篮。</w:t>
            </w:r>
          </w:p>
        </w:tc>
        <w:tc>
          <w:tcPr>
            <w:tcW w:w="1294" w:type="dxa"/>
            <w:vAlign w:val="top"/>
          </w:tcPr>
          <w:p w14:paraId="078B20BE">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1EE5114">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2AC04AB">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02F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3FFF77CC">
            <w:pPr>
              <w:keepNext w:val="0"/>
              <w:keepLines w:val="0"/>
              <w:pageBreakBefore w:val="0"/>
              <w:wordWrap w:val="0"/>
              <w:overflowPunct/>
              <w:topLinePunct w:val="0"/>
              <w:bidi w:val="0"/>
              <w:spacing w:before="132"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（五）卸料平台、操作平台工程。</w:t>
            </w:r>
          </w:p>
        </w:tc>
        <w:tc>
          <w:tcPr>
            <w:tcW w:w="1294" w:type="dxa"/>
            <w:vAlign w:val="top"/>
          </w:tcPr>
          <w:p w14:paraId="66FBDFAE">
            <w:pPr>
              <w:keepNext w:val="0"/>
              <w:keepLines w:val="0"/>
              <w:pageBreakBefore w:val="0"/>
              <w:wordWrap w:val="0"/>
              <w:overflowPunct/>
              <w:topLinePunct w:val="0"/>
              <w:bidi w:val="0"/>
              <w:spacing w:before="132"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D5596D9">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6D2943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8FD8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144B7CF">
            <w:pPr>
              <w:keepNext w:val="0"/>
              <w:keepLines w:val="0"/>
              <w:pageBreakBefore w:val="0"/>
              <w:wordWrap w:val="0"/>
              <w:overflowPunct/>
              <w:topLinePunct w:val="0"/>
              <w:bidi w:val="0"/>
              <w:spacing w:before="133"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（六）异型脚手架工程。</w:t>
            </w:r>
          </w:p>
        </w:tc>
        <w:tc>
          <w:tcPr>
            <w:tcW w:w="1294" w:type="dxa"/>
            <w:vAlign w:val="top"/>
          </w:tcPr>
          <w:p w14:paraId="1872A803">
            <w:pPr>
              <w:keepNext w:val="0"/>
              <w:keepLines w:val="0"/>
              <w:pageBreakBefore w:val="0"/>
              <w:wordWrap w:val="0"/>
              <w:overflowPunct/>
              <w:topLinePunct w:val="0"/>
              <w:bidi w:val="0"/>
              <w:spacing w:before="132"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452B405">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73EA998">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F81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CB8C621">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bookmarkStart w:id="262" w:name="bookmark162"/>
            <w:bookmarkEnd w:id="262"/>
            <w:r>
              <w:rPr>
                <w:rFonts w:hint="eastAsia" w:ascii="宋体" w:hAnsi="宋体" w:eastAsia="宋体" w:cs="宋体"/>
                <w:color w:val="auto"/>
                <w:spacing w:val="0"/>
                <w:sz w:val="24"/>
                <w:szCs w:val="24"/>
                <w:highlight w:val="none"/>
              </w:rPr>
              <w:t>五、拆除工程</w:t>
            </w:r>
          </w:p>
        </w:tc>
        <w:tc>
          <w:tcPr>
            <w:tcW w:w="1294" w:type="dxa"/>
            <w:vAlign w:val="top"/>
          </w:tcPr>
          <w:p w14:paraId="314DA6C6">
            <w:pPr>
              <w:keepNext w:val="0"/>
              <w:keepLines w:val="0"/>
              <w:pageBreakBefore w:val="0"/>
              <w:wordWrap w:val="0"/>
              <w:overflowPunct/>
              <w:topLinePunct w:val="0"/>
              <w:bidi w:val="0"/>
              <w:spacing w:before="131"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05E20C3">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04364A3">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AAFE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30BC19F">
            <w:pPr>
              <w:keepNext w:val="0"/>
              <w:keepLines w:val="0"/>
              <w:pageBreakBefore w:val="0"/>
              <w:wordWrap w:val="0"/>
              <w:overflowPunct/>
              <w:topLinePunct w:val="0"/>
              <w:bidi w:val="0"/>
              <w:spacing w:before="126" w:line="329" w:lineRule="auto"/>
              <w:ind w:left="117" w:right="1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可能影响行人、交通、电力设施、通讯设施或 其它建、构筑物安全的拆除工程。</w:t>
            </w:r>
          </w:p>
        </w:tc>
        <w:tc>
          <w:tcPr>
            <w:tcW w:w="1294" w:type="dxa"/>
            <w:vAlign w:val="top"/>
          </w:tcPr>
          <w:p w14:paraId="1BCA91F0">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2D4B74AE">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w w:val="94"/>
                <w:sz w:val="24"/>
                <w:szCs w:val="24"/>
                <w:highlight w:val="none"/>
              </w:rPr>
              <w:t>)</w:t>
            </w:r>
          </w:p>
        </w:tc>
        <w:tc>
          <w:tcPr>
            <w:tcW w:w="1294" w:type="dxa"/>
            <w:vAlign w:val="top"/>
          </w:tcPr>
          <w:p w14:paraId="44F414D8">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9EE3C4E">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D46AC8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58E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EB1B3F0">
            <w:pPr>
              <w:keepNext w:val="0"/>
              <w:keepLines w:val="0"/>
              <w:pageBreakBefore w:val="0"/>
              <w:wordWrap w:val="0"/>
              <w:overflowPunct/>
              <w:topLinePunct w:val="0"/>
              <w:bidi w:val="0"/>
              <w:spacing w:before="126" w:line="221" w:lineRule="auto"/>
              <w:ind w:left="35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3C43A09F">
            <w:pPr>
              <w:keepNext w:val="0"/>
              <w:keepLines w:val="0"/>
              <w:pageBreakBefore w:val="0"/>
              <w:wordWrap w:val="0"/>
              <w:overflowPunct/>
              <w:topLinePunct w:val="0"/>
              <w:bidi w:val="0"/>
              <w:spacing w:before="126"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D14A29">
            <w:pPr>
              <w:keepNext w:val="0"/>
              <w:keepLines w:val="0"/>
              <w:pageBreakBefore w:val="0"/>
              <w:wordWrap w:val="0"/>
              <w:overflowPunct/>
              <w:topLinePunct w:val="0"/>
              <w:bidi w:val="0"/>
              <w:spacing w:before="126"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807B357">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DA7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2744928">
            <w:pPr>
              <w:keepNext w:val="0"/>
              <w:keepLines w:val="0"/>
              <w:pageBreakBefore w:val="0"/>
              <w:wordWrap w:val="0"/>
              <w:overflowPunct/>
              <w:topLinePunct w:val="0"/>
              <w:bidi w:val="0"/>
              <w:spacing w:before="128" w:line="328"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65033D15">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6DB8904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B972FC4">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58A11C01">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67C60E5">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06B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2FD7C2C">
            <w:pPr>
              <w:keepNext w:val="0"/>
              <w:keepLines w:val="0"/>
              <w:pageBreakBefore w:val="0"/>
              <w:wordWrap w:val="0"/>
              <w:overflowPunct/>
              <w:topLinePunct w:val="0"/>
              <w:bidi w:val="0"/>
              <w:spacing w:before="129"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6BE6643A">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6575A55">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14F856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DE89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FFB6826">
            <w:pPr>
              <w:keepNext w:val="0"/>
              <w:keepLines w:val="0"/>
              <w:pageBreakBefore w:val="0"/>
              <w:wordWrap w:val="0"/>
              <w:overflowPunct/>
              <w:topLinePunct w:val="0"/>
              <w:bidi w:val="0"/>
              <w:spacing w:before="128"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（一）建筑幕墙安装工程。</w:t>
            </w:r>
          </w:p>
        </w:tc>
        <w:tc>
          <w:tcPr>
            <w:tcW w:w="1294" w:type="dxa"/>
            <w:vAlign w:val="top"/>
          </w:tcPr>
          <w:p w14:paraId="5ECCB1D8">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8880CC1">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05609F2">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271D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2E6F65">
            <w:pPr>
              <w:keepNext w:val="0"/>
              <w:keepLines w:val="0"/>
              <w:pageBreakBefore w:val="0"/>
              <w:wordWrap w:val="0"/>
              <w:overflowPunct/>
              <w:topLinePunct w:val="0"/>
              <w:bidi w:val="0"/>
              <w:spacing w:before="128"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（二）钢结构、网架和索膜结构安装工程。</w:t>
            </w:r>
          </w:p>
        </w:tc>
        <w:tc>
          <w:tcPr>
            <w:tcW w:w="1294" w:type="dxa"/>
            <w:vAlign w:val="top"/>
          </w:tcPr>
          <w:p w14:paraId="019141C0">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8B37526">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BD4C91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8AF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6EA6A21">
            <w:pPr>
              <w:keepNext w:val="0"/>
              <w:keepLines w:val="0"/>
              <w:pageBreakBefore w:val="0"/>
              <w:wordWrap w:val="0"/>
              <w:overflowPunct/>
              <w:topLinePunct w:val="0"/>
              <w:bidi w:val="0"/>
              <w:spacing w:before="128"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（三）人工挖孔桩工程。</w:t>
            </w:r>
          </w:p>
        </w:tc>
        <w:tc>
          <w:tcPr>
            <w:tcW w:w="1294" w:type="dxa"/>
            <w:vAlign w:val="top"/>
          </w:tcPr>
          <w:p w14:paraId="30B94CD0">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4CA6864">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FD897F2">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9674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C5EBA8B">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07F1B48E">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40E8354">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84828A">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F40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0A20609">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（五）装配式建筑混凝土预制构件安装工程。</w:t>
            </w:r>
          </w:p>
        </w:tc>
        <w:tc>
          <w:tcPr>
            <w:tcW w:w="1294" w:type="dxa"/>
            <w:vAlign w:val="top"/>
          </w:tcPr>
          <w:p w14:paraId="1D69D2E9">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1651258">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B3F74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014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5B86778">
            <w:pPr>
              <w:keepNext w:val="0"/>
              <w:keepLines w:val="0"/>
              <w:pageBreakBefore w:val="0"/>
              <w:wordWrap w:val="0"/>
              <w:overflowPunct/>
              <w:topLinePunct w:val="0"/>
              <w:bidi w:val="0"/>
              <w:spacing w:before="129" w:line="345"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385B5113">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3DD2831">
            <w:pPr>
              <w:pStyle w:val="29"/>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4AAAB3A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CDDABEA">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7B31CAE">
            <w:pPr>
              <w:pStyle w:val="29"/>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6C0040D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E969598">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A11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3BF150">
            <w:pPr>
              <w:keepNext w:val="0"/>
              <w:keepLines w:val="0"/>
              <w:pageBreakBefore w:val="0"/>
              <w:wordWrap w:val="0"/>
              <w:overflowPunct/>
              <w:topLinePunct w:val="0"/>
              <w:bidi w:val="0"/>
              <w:spacing w:before="129" w:line="328" w:lineRule="auto"/>
              <w:ind w:left="115" w:right="108" w:firstLine="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二、超过一定规模的危险性较大的分部分项工程清单</w:t>
            </w:r>
          </w:p>
        </w:tc>
        <w:tc>
          <w:tcPr>
            <w:tcW w:w="1294" w:type="dxa"/>
            <w:vAlign w:val="top"/>
          </w:tcPr>
          <w:p w14:paraId="19226B35">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659575A">
            <w:pPr>
              <w:keepNext w:val="0"/>
              <w:keepLines w:val="0"/>
              <w:pageBreakBefore w:val="0"/>
              <w:wordWrap w:val="0"/>
              <w:overflowPunct/>
              <w:topLinePunct w:val="0"/>
              <w:bidi w:val="0"/>
              <w:spacing w:before="78" w:line="221" w:lineRule="auto"/>
              <w:ind w:left="20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4A4FC379">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42AC6981">
            <w:pPr>
              <w:keepNext w:val="0"/>
              <w:keepLines w:val="0"/>
              <w:pageBreakBefore w:val="0"/>
              <w:wordWrap w:val="0"/>
              <w:overflowPunct/>
              <w:topLinePunct w:val="0"/>
              <w:bidi w:val="0"/>
              <w:spacing w:before="78" w:line="221" w:lineRule="auto"/>
              <w:ind w:left="11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0138FC3">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02FF7559">
            <w:pPr>
              <w:keepNext w:val="0"/>
              <w:keepLines w:val="0"/>
              <w:pageBreakBefore w:val="0"/>
              <w:wordWrap w:val="0"/>
              <w:overflowPunct/>
              <w:topLinePunct w:val="0"/>
              <w:bidi w:val="0"/>
              <w:spacing w:before="78" w:line="222" w:lineRule="auto"/>
              <w:ind w:left="3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r>
      <w:tr w14:paraId="7F3D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E0D3C6D">
            <w:pPr>
              <w:keepNext w:val="0"/>
              <w:keepLines w:val="0"/>
              <w:pageBreakBefore w:val="0"/>
              <w:wordWrap w:val="0"/>
              <w:overflowPunct/>
              <w:topLinePunct w:val="0"/>
              <w:bidi w:val="0"/>
              <w:spacing w:before="129" w:line="221"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一、深基坑工程</w:t>
            </w:r>
          </w:p>
        </w:tc>
        <w:tc>
          <w:tcPr>
            <w:tcW w:w="1294" w:type="dxa"/>
            <w:vAlign w:val="top"/>
          </w:tcPr>
          <w:p w14:paraId="1CE00CFE">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774A846">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E51A0B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AF2D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5A4E17A">
            <w:pPr>
              <w:keepNext w:val="0"/>
              <w:keepLines w:val="0"/>
              <w:pageBreakBefore w:val="0"/>
              <w:wordWrap w:val="0"/>
              <w:overflowPunct/>
              <w:topLinePunct w:val="0"/>
              <w:bidi w:val="0"/>
              <w:spacing w:before="131" w:line="327" w:lineRule="auto"/>
              <w:ind w:left="117" w:right="1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开挖深度超过 5m（含 5m）的基坑（槽）的土方 开挖、支护、降水工程。</w:t>
            </w:r>
          </w:p>
        </w:tc>
        <w:tc>
          <w:tcPr>
            <w:tcW w:w="1294" w:type="dxa"/>
            <w:vAlign w:val="top"/>
          </w:tcPr>
          <w:p w14:paraId="3F89BB15">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6B1FFCA1">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AB60A7B">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5268F17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93BBC77">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D73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7699922">
            <w:pPr>
              <w:keepNext w:val="0"/>
              <w:keepLines w:val="0"/>
              <w:pageBreakBefore w:val="0"/>
              <w:wordWrap w:val="0"/>
              <w:overflowPunct/>
              <w:topLinePunct w:val="0"/>
              <w:bidi w:val="0"/>
              <w:spacing w:before="130"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083558CF">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default"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4A4C90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21241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0BB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A0E47CA">
            <w:pPr>
              <w:keepNext w:val="0"/>
              <w:keepLines w:val="0"/>
              <w:pageBreakBefore w:val="0"/>
              <w:wordWrap w:val="0"/>
              <w:overflowPunct/>
              <w:topLinePunct w:val="0"/>
              <w:bidi w:val="0"/>
              <w:spacing w:before="130" w:line="327"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3BE7CE5F">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22FCE1A7">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9A14FA9">
            <w:pPr>
              <w:pStyle w:val="29"/>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C6FD786">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99834BD">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1C1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27B194F">
            <w:pPr>
              <w:keepNext w:val="0"/>
              <w:keepLines w:val="0"/>
              <w:pageBreakBefore w:val="0"/>
              <w:wordWrap w:val="0"/>
              <w:overflowPunct/>
              <w:topLinePunct w:val="0"/>
              <w:bidi w:val="0"/>
              <w:spacing w:before="132" w:line="353" w:lineRule="auto"/>
              <w:ind w:left="116" w:right="6" w:firstLine="1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（二）混凝土模板支撑工程：搭设高度8m 及以 上，或搭设跨度 18m 及以上，或施工总荷载（设计值）15kN/m2 及以上，或集中线荷载（设计值） 20kN/m 及以上。</w:t>
            </w:r>
          </w:p>
        </w:tc>
        <w:tc>
          <w:tcPr>
            <w:tcW w:w="1294" w:type="dxa"/>
            <w:vAlign w:val="top"/>
          </w:tcPr>
          <w:p w14:paraId="1E22CC31">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34C26A5C">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1186E44E">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4B6460D6">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93DC849">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B3B5DE6">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2E1BD604">
            <w:pPr>
              <w:pStyle w:val="29"/>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4BB44FF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08A7FE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3CB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817" w:hRule="atLeast"/>
          <w:jc w:val="center"/>
        </w:trPr>
        <w:tc>
          <w:tcPr>
            <w:tcW w:w="4864" w:type="dxa"/>
            <w:gridSpan w:val="2"/>
            <w:vAlign w:val="top"/>
          </w:tcPr>
          <w:p w14:paraId="0F1BFB7C">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w:t>
            </w:r>
          </w:p>
          <w:p w14:paraId="21D4B2D4">
            <w:pPr>
              <w:keepNext w:val="0"/>
              <w:keepLines w:val="0"/>
              <w:pageBreakBefore w:val="0"/>
              <w:wordWrap w:val="0"/>
              <w:overflowPunct/>
              <w:topLinePunct w:val="0"/>
              <w:bidi w:val="0"/>
              <w:spacing w:before="131" w:line="220" w:lineRule="auto"/>
              <w:ind w:left="1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支撑体系，承受单点集中荷载 7kN 及以上。</w:t>
            </w:r>
          </w:p>
        </w:tc>
        <w:tc>
          <w:tcPr>
            <w:tcW w:w="1294" w:type="dxa"/>
            <w:vAlign w:val="top"/>
          </w:tcPr>
          <w:p w14:paraId="37CA6230">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F95A620">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126430C">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A4D9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83DF3D2">
            <w:pPr>
              <w:keepNext w:val="0"/>
              <w:keepLines w:val="0"/>
              <w:pageBreakBefore w:val="0"/>
              <w:wordWrap w:val="0"/>
              <w:overflowPunct/>
              <w:topLinePunct w:val="0"/>
              <w:bidi w:val="0"/>
              <w:spacing w:before="128"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7F32CCA7">
            <w:pPr>
              <w:keepNext w:val="0"/>
              <w:keepLines w:val="0"/>
              <w:pageBreakBefore w:val="0"/>
              <w:wordWrap w:val="0"/>
              <w:overflowPunct/>
              <w:topLinePunct w:val="0"/>
              <w:bidi w:val="0"/>
              <w:spacing w:before="127"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1DA0918">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76EAF11">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8E29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06E53A3">
            <w:pPr>
              <w:keepNext w:val="0"/>
              <w:keepLines w:val="0"/>
              <w:pageBreakBefore w:val="0"/>
              <w:wordWrap w:val="0"/>
              <w:overflowPunct/>
              <w:topLinePunct w:val="0"/>
              <w:bidi w:val="0"/>
              <w:spacing w:before="129" w:line="328"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100kN 及以上的起重吊装工程。</w:t>
            </w:r>
          </w:p>
        </w:tc>
        <w:tc>
          <w:tcPr>
            <w:tcW w:w="1294" w:type="dxa"/>
            <w:vAlign w:val="top"/>
          </w:tcPr>
          <w:p w14:paraId="68B100EA">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6E39BEFB">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5BF8415">
            <w:pPr>
              <w:pStyle w:val="29"/>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15D5865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A9F4CB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523B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6CB9001">
            <w:pPr>
              <w:keepNext w:val="0"/>
              <w:keepLines w:val="0"/>
              <w:pageBreakBefore w:val="0"/>
              <w:wordWrap w:val="0"/>
              <w:overflowPunct/>
              <w:topLinePunct w:val="0"/>
              <w:bidi w:val="0"/>
              <w:spacing w:before="129" w:line="345" w:lineRule="auto"/>
              <w:ind w:left="115" w:right="105" w:firstLine="1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（二）起重量 300kN 及以上，或搭设总高度 200m 及以上，或搭设基础标高在 200m 及以上的起重 机械安装和拆卸工程。</w:t>
            </w:r>
          </w:p>
        </w:tc>
        <w:tc>
          <w:tcPr>
            <w:tcW w:w="1294" w:type="dxa"/>
            <w:vAlign w:val="top"/>
          </w:tcPr>
          <w:p w14:paraId="2A95D8F6">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4A01809">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68A2E9F">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D327AE">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2FDE3886">
            <w:pPr>
              <w:pStyle w:val="29"/>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3B809E9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92F0646">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64E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0F4F66D">
            <w:pPr>
              <w:keepNext w:val="0"/>
              <w:keepLines w:val="0"/>
              <w:pageBreakBefore w:val="0"/>
              <w:wordWrap w:val="0"/>
              <w:overflowPunct/>
              <w:topLinePunct w:val="0"/>
              <w:bidi w:val="0"/>
              <w:spacing w:before="128"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12B84D92">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CD7173E">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CFB88CD">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7EE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18FF82F">
            <w:pPr>
              <w:keepNext w:val="0"/>
              <w:keepLines w:val="0"/>
              <w:pageBreakBefore w:val="0"/>
              <w:wordWrap w:val="0"/>
              <w:overflowPunct/>
              <w:topLinePunct w:val="0"/>
              <w:bidi w:val="0"/>
              <w:spacing w:before="128" w:line="328"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50m 及以上的落地式钢管脚手 架工程。</w:t>
            </w:r>
          </w:p>
        </w:tc>
        <w:tc>
          <w:tcPr>
            <w:tcW w:w="1294" w:type="dxa"/>
            <w:vAlign w:val="top"/>
          </w:tcPr>
          <w:p w14:paraId="6EE046A9">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BC7ED0C">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132350E">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76B6C9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1336EE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E92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9C256F4">
            <w:pPr>
              <w:keepNext w:val="0"/>
              <w:keepLines w:val="0"/>
              <w:pageBreakBefore w:val="0"/>
              <w:wordWrap w:val="0"/>
              <w:overflowPunct/>
              <w:topLinePunct w:val="0"/>
              <w:bidi w:val="0"/>
              <w:spacing w:before="131" w:line="327" w:lineRule="auto"/>
              <w:ind w:left="116" w:right="105" w:firstLine="1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（二）提升高度在 </w:t>
            </w:r>
            <w:r>
              <w:rPr>
                <w:rFonts w:hint="eastAsia" w:ascii="宋体" w:hAnsi="宋体" w:eastAsia="宋体" w:cs="宋体"/>
                <w:color w:val="auto"/>
                <w:spacing w:val="0"/>
                <w:sz w:val="24"/>
                <w:szCs w:val="24"/>
                <w:highlight w:val="none"/>
                <w:lang w:eastAsia="zh-CN"/>
              </w:rPr>
              <w:t>450</w:t>
            </w:r>
            <w:r>
              <w:rPr>
                <w:rFonts w:hint="eastAsia" w:ascii="宋体" w:hAnsi="宋体" w:eastAsia="宋体" w:cs="宋体"/>
                <w:color w:val="auto"/>
                <w:spacing w:val="0"/>
                <w:sz w:val="24"/>
                <w:szCs w:val="24"/>
                <w:highlight w:val="none"/>
              </w:rPr>
              <w:t>m 及以上的附着式升降脚 手架工程或附着式升降操作平台工程。</w:t>
            </w:r>
          </w:p>
        </w:tc>
        <w:tc>
          <w:tcPr>
            <w:tcW w:w="1294" w:type="dxa"/>
            <w:vAlign w:val="top"/>
          </w:tcPr>
          <w:p w14:paraId="2EDF3F91">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AD30D2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C214AE1">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B761F9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CBAA38B">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665C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D1FBB95">
            <w:pPr>
              <w:keepNext w:val="0"/>
              <w:keepLines w:val="0"/>
              <w:pageBreakBefore w:val="0"/>
              <w:wordWrap w:val="0"/>
              <w:overflowPunct/>
              <w:topLinePunct w:val="0"/>
              <w:bidi w:val="0"/>
              <w:spacing w:before="129" w:line="328"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（三）分段架体搭设高度 20m 及以上的悬挑式 脚手架工程。</w:t>
            </w:r>
          </w:p>
        </w:tc>
        <w:tc>
          <w:tcPr>
            <w:tcW w:w="1294" w:type="dxa"/>
            <w:vAlign w:val="top"/>
          </w:tcPr>
          <w:p w14:paraId="2811C0F1">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72884A72">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1A991DC">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4D41DF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C0B029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E3A1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F39C5AD">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五、拆除工程</w:t>
            </w:r>
          </w:p>
        </w:tc>
        <w:tc>
          <w:tcPr>
            <w:tcW w:w="1294" w:type="dxa"/>
            <w:vAlign w:val="top"/>
          </w:tcPr>
          <w:p w14:paraId="2961FAB7">
            <w:pPr>
              <w:keepNext w:val="0"/>
              <w:keepLines w:val="0"/>
              <w:pageBreakBefore w:val="0"/>
              <w:wordWrap w:val="0"/>
              <w:overflowPunct/>
              <w:topLinePunct w:val="0"/>
              <w:bidi w:val="0"/>
              <w:spacing w:before="15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EF9D608">
            <w:pPr>
              <w:keepNext w:val="0"/>
              <w:keepLines w:val="0"/>
              <w:pageBreakBefore w:val="0"/>
              <w:wordWrap w:val="0"/>
              <w:overflowPunct/>
              <w:topLinePunct w:val="0"/>
              <w:bidi w:val="0"/>
              <w:spacing w:before="15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12998A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CE1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6691481">
            <w:pPr>
              <w:keepNext w:val="0"/>
              <w:keepLines w:val="0"/>
              <w:pageBreakBefore w:val="0"/>
              <w:wordWrap w:val="0"/>
              <w:overflowPunct/>
              <w:topLinePunct w:val="0"/>
              <w:bidi w:val="0"/>
              <w:spacing w:before="132" w:line="353"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（一）码头、桥梁、高架、烟囱、水塔或拆除 中容易引起有毒有害气（液）体或粉尘扩散、 易燃易爆事故发生的特殊建、构筑物的拆除工 程。</w:t>
            </w:r>
          </w:p>
        </w:tc>
        <w:tc>
          <w:tcPr>
            <w:tcW w:w="1294" w:type="dxa"/>
            <w:vAlign w:val="top"/>
          </w:tcPr>
          <w:p w14:paraId="6B145A87">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7A51EBA">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E188BF7">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3DF183E1">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3AA663F">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4956A9FB">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D7EE95F">
            <w:pPr>
              <w:pStyle w:val="29"/>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11EB225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1148F09">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586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B4295D1">
            <w:pPr>
              <w:keepNext w:val="0"/>
              <w:keepLines w:val="0"/>
              <w:pageBreakBefore w:val="0"/>
              <w:wordWrap w:val="0"/>
              <w:overflowPunct/>
              <w:topLinePunct w:val="0"/>
              <w:bidi w:val="0"/>
              <w:spacing w:before="131"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（二）文物保护建筑、优秀历史建筑或历史文 化风貌区影响范围内的拆除工程。</w:t>
            </w:r>
          </w:p>
        </w:tc>
        <w:tc>
          <w:tcPr>
            <w:tcW w:w="1294" w:type="dxa"/>
            <w:vAlign w:val="top"/>
          </w:tcPr>
          <w:p w14:paraId="04F95FA7">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5A065F3">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489CCE3">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252E2E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CBBF29E">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EAC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E6408F1">
            <w:pPr>
              <w:keepNext w:val="0"/>
              <w:keepLines w:val="0"/>
              <w:pageBreakBefore w:val="0"/>
              <w:wordWrap w:val="0"/>
              <w:overflowPunct/>
              <w:topLinePunct w:val="0"/>
              <w:bidi w:val="0"/>
              <w:spacing w:before="131" w:line="221" w:lineRule="auto"/>
              <w:ind w:left="1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20D91E9F">
            <w:pPr>
              <w:keepNext w:val="0"/>
              <w:keepLines w:val="0"/>
              <w:pageBreakBefore w:val="0"/>
              <w:wordWrap w:val="0"/>
              <w:overflowPunct/>
              <w:topLinePunct w:val="0"/>
              <w:bidi w:val="0"/>
              <w:spacing w:before="14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1D16D57">
            <w:pPr>
              <w:keepNext w:val="0"/>
              <w:keepLines w:val="0"/>
              <w:pageBreakBefore w:val="0"/>
              <w:wordWrap w:val="0"/>
              <w:overflowPunct/>
              <w:topLinePunct w:val="0"/>
              <w:bidi w:val="0"/>
              <w:spacing w:before="14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5A9BA30">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78B6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0652EEF">
            <w:pPr>
              <w:keepNext w:val="0"/>
              <w:keepLines w:val="0"/>
              <w:pageBreakBefore w:val="0"/>
              <w:wordWrap w:val="0"/>
              <w:overflowPunct/>
              <w:topLinePunct w:val="0"/>
              <w:bidi w:val="0"/>
              <w:spacing w:before="131" w:line="327"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75E5A7E4">
            <w:pPr>
              <w:pStyle w:val="29"/>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5DE4826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F86BF86">
            <w:pPr>
              <w:pStyle w:val="29"/>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2A42FCB3">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E902C75">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12E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270B566">
            <w:pPr>
              <w:keepNext w:val="0"/>
              <w:keepLines w:val="0"/>
              <w:pageBreakBefore w:val="0"/>
              <w:wordWrap w:val="0"/>
              <w:overflowPunct/>
              <w:topLinePunct w:val="0"/>
              <w:bidi w:val="0"/>
              <w:spacing w:before="130"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53FD2371">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E11FF32">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D190708">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F21A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AD8DF1">
            <w:pPr>
              <w:keepNext w:val="0"/>
              <w:keepLines w:val="0"/>
              <w:pageBreakBefore w:val="0"/>
              <w:wordWrap w:val="0"/>
              <w:overflowPunct/>
              <w:topLinePunct w:val="0"/>
              <w:bidi w:val="0"/>
              <w:spacing w:before="130" w:line="327"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（一）施工高度 50m 及以上的建筑幕墙安装工 程。</w:t>
            </w:r>
          </w:p>
        </w:tc>
        <w:tc>
          <w:tcPr>
            <w:tcW w:w="1294" w:type="dxa"/>
            <w:vAlign w:val="top"/>
          </w:tcPr>
          <w:p w14:paraId="3E09E110">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485781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EA58C26">
            <w:pPr>
              <w:pStyle w:val="29"/>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ADCAA67">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80D88CC">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832B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FDC97CD">
            <w:pPr>
              <w:keepNext w:val="0"/>
              <w:keepLines w:val="0"/>
              <w:pageBreakBefore w:val="0"/>
              <w:wordWrap w:val="0"/>
              <w:overflowPunct/>
              <w:topLinePunct w:val="0"/>
              <w:bidi w:val="0"/>
              <w:spacing w:before="130"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（二）跨度 36m 及以上的钢结构安装工程，或</w:t>
            </w:r>
          </w:p>
        </w:tc>
        <w:tc>
          <w:tcPr>
            <w:tcW w:w="1294" w:type="dxa"/>
            <w:vAlign w:val="top"/>
          </w:tcPr>
          <w:p w14:paraId="687160DD">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96002C5">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9D3E24">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6AF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7A539FC">
            <w:pPr>
              <w:keepNext w:val="0"/>
              <w:keepLines w:val="0"/>
              <w:pageBreakBefore w:val="0"/>
              <w:wordWrap w:val="0"/>
              <w:overflowPunct/>
              <w:topLinePunct w:val="0"/>
              <w:bidi w:val="0"/>
              <w:spacing w:before="131" w:line="221" w:lineRule="auto"/>
              <w:ind w:left="11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跨度 60m 及以上的网架和索膜结构安装工程。</w:t>
            </w:r>
          </w:p>
        </w:tc>
        <w:tc>
          <w:tcPr>
            <w:tcW w:w="1294" w:type="dxa"/>
            <w:vAlign w:val="top"/>
          </w:tcPr>
          <w:p w14:paraId="1082325C">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1294" w:type="dxa"/>
            <w:vAlign w:val="top"/>
          </w:tcPr>
          <w:p w14:paraId="620018C5">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2428" w:type="dxa"/>
            <w:vAlign w:val="top"/>
          </w:tcPr>
          <w:p w14:paraId="4A385790">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0FEF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0374C66">
            <w:pPr>
              <w:keepNext w:val="0"/>
              <w:keepLines w:val="0"/>
              <w:pageBreakBefore w:val="0"/>
              <w:wordWrap w:val="0"/>
              <w:overflowPunct/>
              <w:topLinePunct w:val="0"/>
              <w:bidi w:val="0"/>
              <w:spacing w:before="127" w:line="22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（三）开挖深度 16m 及以上的人工挖孔桩工程。</w:t>
            </w:r>
          </w:p>
        </w:tc>
        <w:tc>
          <w:tcPr>
            <w:tcW w:w="1294" w:type="dxa"/>
            <w:vAlign w:val="top"/>
          </w:tcPr>
          <w:p w14:paraId="01270E08">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BE371DC">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FB6DAA2">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59BF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67086321">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54BE52D1">
            <w:pPr>
              <w:keepNext w:val="0"/>
              <w:keepLines w:val="0"/>
              <w:pageBreakBefore w:val="0"/>
              <w:wordWrap w:val="0"/>
              <w:overflowPunct/>
              <w:topLinePunct w:val="0"/>
              <w:bidi w:val="0"/>
              <w:spacing w:before="163"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BA2A96F">
            <w:pPr>
              <w:keepNext w:val="0"/>
              <w:keepLines w:val="0"/>
              <w:pageBreakBefore w:val="0"/>
              <w:wordWrap w:val="0"/>
              <w:overflowPunct/>
              <w:topLinePunct w:val="0"/>
              <w:bidi w:val="0"/>
              <w:spacing w:before="163"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84FFF13">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BF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AFD5895">
            <w:pPr>
              <w:keepNext w:val="0"/>
              <w:keepLines w:val="0"/>
              <w:pageBreakBefore w:val="0"/>
              <w:wordWrap w:val="0"/>
              <w:overflowPunct/>
              <w:topLinePunct w:val="0"/>
              <w:bidi w:val="0"/>
              <w:spacing w:before="130" w:line="327" w:lineRule="auto"/>
              <w:ind w:left="115" w:right="2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（五）重量 1000kN及以上的大型结构整体顶升、 平移、转体等施工工艺。</w:t>
            </w:r>
          </w:p>
        </w:tc>
        <w:tc>
          <w:tcPr>
            <w:tcW w:w="1294" w:type="dxa"/>
            <w:vAlign w:val="top"/>
          </w:tcPr>
          <w:p w14:paraId="5D755CF4">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51DF4FD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64A5D5">
            <w:pPr>
              <w:pStyle w:val="29"/>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5FC3D7A">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C0D1E4F">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40E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4E874D5">
            <w:pPr>
              <w:keepNext w:val="0"/>
              <w:keepLines w:val="0"/>
              <w:pageBreakBefore w:val="0"/>
              <w:wordWrap w:val="0"/>
              <w:overflowPunct/>
              <w:topLinePunct w:val="0"/>
              <w:bidi w:val="0"/>
              <w:spacing w:before="129" w:line="346"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1A520949">
            <w:pPr>
              <w:pStyle w:val="29"/>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7F1A9BA9">
            <w:pPr>
              <w:pStyle w:val="29"/>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2347AA8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E18931D">
            <w:pPr>
              <w:pStyle w:val="29"/>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47D3D23">
            <w:pPr>
              <w:pStyle w:val="29"/>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13AD6E0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3D8AFE0">
            <w:pPr>
              <w:pStyle w:val="29"/>
              <w:keepNext w:val="0"/>
              <w:keepLines w:val="0"/>
              <w:pageBreakBefore w:val="0"/>
              <w:wordWrap w:val="0"/>
              <w:overflowPunct/>
              <w:topLinePunct w:val="0"/>
              <w:bidi w:val="0"/>
              <w:rPr>
                <w:rFonts w:hint="eastAsia" w:ascii="宋体" w:hAnsi="宋体" w:eastAsia="宋体" w:cs="宋体"/>
                <w:color w:val="auto"/>
                <w:spacing w:val="0"/>
                <w:highlight w:val="none"/>
              </w:rPr>
            </w:pPr>
          </w:p>
        </w:tc>
      </w:tr>
    </w:tbl>
    <w:p w14:paraId="658D3124">
      <w:pPr>
        <w:pStyle w:val="6"/>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199F441F">
      <w:pPr>
        <w:pStyle w:val="6"/>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2D7986C2">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备注：1.根据《危险性较大的分部分项工程安全管理规定》，该《危险性较大的分部分项工程清单及超过一定规模的危险性较大的分部分项工程清单》</w:t>
      </w:r>
      <w:r>
        <w:rPr>
          <w:rFonts w:hint="eastAsia" w:ascii="宋体" w:hAnsi="宋体" w:eastAsia="宋体" w:cs="宋体"/>
          <w:color w:val="auto"/>
          <w:spacing w:val="0"/>
          <w:sz w:val="21"/>
          <w:szCs w:val="21"/>
          <w:highlight w:val="none"/>
          <w:lang w:eastAsia="zh-CN"/>
        </w:rPr>
        <w:t>应由建设单位组织勘察、设计等单位在招标文件中“勾选（对应项打“√”标识”危险性较大的分部分项工程。</w:t>
      </w:r>
    </w:p>
    <w:p w14:paraId="761BB22D">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2.该《危险性较大的分部分项工程清单及超过一定规模的危险性较大的分部分项工程清单》在办理建设项目施工许可时必须提供，且各地建设行政主管部门可按照《广东省建设工程项目招标中标后监督 检查办法》相关规定开展检查。</w:t>
      </w:r>
    </w:p>
    <w:p w14:paraId="3CA43F8B">
      <w:pPr>
        <w:keepNext w:val="0"/>
        <w:keepLines w:val="0"/>
        <w:pageBreakBefore w:val="0"/>
        <w:wordWrap w:val="0"/>
        <w:overflowPunct/>
        <w:topLinePunct w:val="0"/>
        <w:bidi w:val="0"/>
        <w:spacing w:before="28" w:line="360" w:lineRule="auto"/>
        <w:ind w:left="545" w:leftChars="244" w:hanging="33" w:hangingChars="16"/>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3.如果需要（如需要通过计算编制专项方案，或者需要专家论证），可中标后提供</w:t>
      </w:r>
      <w:r>
        <w:rPr>
          <w:rFonts w:hint="eastAsia" w:ascii="宋体" w:hAnsi="宋体" w:eastAsia="宋体" w:cs="宋体"/>
          <w:color w:val="auto"/>
          <w:spacing w:val="0"/>
          <w:sz w:val="21"/>
          <w:szCs w:val="21"/>
          <w:highlight w:val="none"/>
          <w:lang w:eastAsia="zh-CN"/>
        </w:rPr>
        <w:t>详细版。</w:t>
      </w:r>
    </w:p>
    <w:p w14:paraId="181EE1C9">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2C79ABA9">
      <w:pPr>
        <w:keepNext w:val="0"/>
        <w:keepLines w:val="0"/>
        <w:pageBreakBefore w:val="0"/>
        <w:wordWrap w:val="0"/>
        <w:overflowPunct/>
        <w:topLinePunct w:val="0"/>
        <w:bidi w:val="0"/>
        <w:spacing w:before="78" w:line="220" w:lineRule="auto"/>
        <w:jc w:val="both"/>
        <w:outlineLvl w:val="2"/>
        <w:rPr>
          <w:rFonts w:hint="default" w:ascii="宋体" w:hAnsi="宋体" w:eastAsia="宋体" w:cs="宋体"/>
          <w:b/>
          <w:bCs/>
          <w:color w:val="auto"/>
          <w:spacing w:val="0"/>
          <w:sz w:val="24"/>
          <w:szCs w:val="24"/>
          <w:highlight w:val="none"/>
          <w:lang w:val="en-US" w:eastAsia="zh-CN"/>
        </w:rPr>
      </w:pPr>
      <w:bookmarkStart w:id="263" w:name="_Toc27207"/>
      <w:r>
        <w:rPr>
          <w:rFonts w:hint="eastAsia" w:ascii="宋体" w:hAnsi="宋体" w:eastAsia="宋体" w:cs="宋体"/>
          <w:b/>
          <w:bCs/>
          <w:color w:val="auto"/>
          <w:spacing w:val="0"/>
          <w:sz w:val="24"/>
          <w:szCs w:val="24"/>
          <w:highlight w:val="none"/>
        </w:rPr>
        <w:t>格式十四</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position w:val="3"/>
          <w:sz w:val="21"/>
          <w:szCs w:val="21"/>
          <w:highlight w:val="none"/>
        </w:rPr>
        <w:t>投标保证金信用承诺函</w:t>
      </w:r>
      <w:bookmarkEnd w:id="263"/>
    </w:p>
    <w:p w14:paraId="2D2A2C48">
      <w:pPr>
        <w:keepNext w:val="0"/>
        <w:keepLines w:val="0"/>
        <w:pageBreakBefore w:val="0"/>
        <w:wordWrap w:val="0"/>
        <w:overflowPunct/>
        <w:topLinePunct w:val="0"/>
        <w:bidi w:val="0"/>
        <w:spacing w:before="140" w:line="604" w:lineRule="exact"/>
        <w:jc w:val="center"/>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position w:val="3"/>
          <w:sz w:val="28"/>
          <w:szCs w:val="28"/>
          <w:highlight w:val="none"/>
        </w:rPr>
        <w:t>投标保证金信用承诺函</w:t>
      </w:r>
    </w:p>
    <w:p w14:paraId="66DF5DE4">
      <w:pPr>
        <w:pStyle w:val="6"/>
        <w:keepNext w:val="0"/>
        <w:keepLines w:val="0"/>
        <w:pageBreakBefore w:val="0"/>
        <w:wordWrap w:val="0"/>
        <w:overflowPunct/>
        <w:topLinePunct w:val="0"/>
        <w:bidi w:val="0"/>
        <w:spacing w:line="408" w:lineRule="auto"/>
        <w:rPr>
          <w:rFonts w:hint="eastAsia" w:ascii="宋体" w:hAnsi="宋体" w:eastAsia="宋体" w:cs="宋体"/>
          <w:color w:val="auto"/>
          <w:spacing w:val="0"/>
          <w:highlight w:val="none"/>
        </w:rPr>
      </w:pPr>
    </w:p>
    <w:p w14:paraId="69D0BF15">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w:t>
      </w:r>
      <w:r>
        <w:rPr>
          <w:rFonts w:hint="eastAsia" w:ascii="宋体" w:hAnsi="宋体" w:eastAsia="宋体" w:cs="宋体"/>
          <w:color w:val="auto"/>
          <w:spacing w:val="0"/>
          <w:sz w:val="24"/>
          <w:szCs w:val="24"/>
          <w:highlight w:val="none"/>
        </w:rPr>
        <w:t>我单位参加</w:t>
      </w:r>
      <w:r>
        <w:rPr>
          <w:rFonts w:hint="eastAsia" w:ascii="宋体" w:hAnsi="宋体" w:eastAsia="宋体" w:cs="宋体"/>
          <w:color w:val="auto"/>
          <w:spacing w:val="0"/>
          <w:sz w:val="24"/>
          <w:szCs w:val="24"/>
          <w:highlight w:val="none"/>
          <w:u w:val="single"/>
        </w:rPr>
        <w:t xml:space="preserve">  （工程项目名称）  </w:t>
      </w:r>
      <w:r>
        <w:rPr>
          <w:rFonts w:hint="eastAsia" w:ascii="宋体" w:hAnsi="宋体" w:eastAsia="宋体" w:cs="宋体"/>
          <w:color w:val="auto"/>
          <w:spacing w:val="0"/>
          <w:sz w:val="24"/>
          <w:szCs w:val="24"/>
          <w:highlight w:val="none"/>
        </w:rPr>
        <w:t xml:space="preserve"> 的投标活动，现承诺：将严格按照法律法规规定参与交易活动，按照招标文件要求 依法履行投标人义务；我方若出现违反《中华人民共和国招标投标法》、《中华人民共和国招标投标法实施条例》、《电子招标 投标办法》等有关法律法规的行为，将于投标有效期内全额付清 招标文件规定的投标保证金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元。</w:t>
      </w:r>
    </w:p>
    <w:p w14:paraId="704B9A28">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二、至投标文件提交当天，本公司无严重不良信用记录或存在曾作出虚假承诺的情形，且不属于韶关市建筑市场信用管理平 台公布的信用等级为 B 级、C 级、D 级的企业。</w:t>
      </w:r>
    </w:p>
    <w:p w14:paraId="1700F061">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本企业对以上承诺和声明负责。如有虚假，愿接受行政主管部门作出的处罚，并承担以下后果：</w:t>
      </w:r>
    </w:p>
    <w:p w14:paraId="619E1090">
      <w:pPr>
        <w:keepNext w:val="0"/>
        <w:keepLines w:val="0"/>
        <w:pageBreakBefore w:val="0"/>
        <w:wordWrap w:val="0"/>
        <w:overflowPunct/>
        <w:topLinePunct w:val="0"/>
        <w:bidi w:val="0"/>
        <w:spacing w:before="48"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（一）取消本单位在本项目中的投标资格或中标资格；</w:t>
      </w:r>
    </w:p>
    <w:p w14:paraId="646C0B43">
      <w:pPr>
        <w:keepNext w:val="0"/>
        <w:keepLines w:val="0"/>
        <w:pageBreakBefore w:val="0"/>
        <w:wordWrap w:val="0"/>
        <w:overflowPunct/>
        <w:topLinePunct w:val="0"/>
        <w:bidi w:val="0"/>
        <w:spacing w:before="64"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（二）将本单位不良行为纳入信用信息管理系统；</w:t>
      </w:r>
    </w:p>
    <w:p w14:paraId="6A98DF32">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（三）主动在产生不良行为所在的各县（市、区）行政区域内不参加房建市政工程项目的投标活动一年；</w:t>
      </w:r>
    </w:p>
    <w:p w14:paraId="4917FCE5">
      <w:pPr>
        <w:keepNext w:val="0"/>
        <w:keepLines w:val="0"/>
        <w:pageBreakBefore w:val="0"/>
        <w:wordWrap w:val="0"/>
        <w:overflowPunct/>
        <w:topLinePunct w:val="0"/>
        <w:bidi w:val="0"/>
        <w:spacing w:before="63"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（四）应付的赔偿责任和相应法律责任。</w:t>
      </w:r>
    </w:p>
    <w:p w14:paraId="59535642">
      <w:pPr>
        <w:pStyle w:val="6"/>
        <w:keepNext w:val="0"/>
        <w:keepLines w:val="0"/>
        <w:pageBreakBefore w:val="0"/>
        <w:wordWrap w:val="0"/>
        <w:overflowPunct/>
        <w:topLinePunct w:val="0"/>
        <w:bidi w:val="0"/>
        <w:spacing w:line="329" w:lineRule="auto"/>
        <w:rPr>
          <w:rFonts w:hint="eastAsia" w:ascii="宋体" w:hAnsi="宋体" w:eastAsia="宋体" w:cs="宋体"/>
          <w:color w:val="auto"/>
          <w:spacing w:val="0"/>
          <w:sz w:val="24"/>
          <w:szCs w:val="24"/>
          <w:highlight w:val="none"/>
        </w:rPr>
      </w:pPr>
    </w:p>
    <w:p w14:paraId="1690E963">
      <w:pPr>
        <w:keepNext w:val="0"/>
        <w:keepLines w:val="0"/>
        <w:pageBreakBefore w:val="0"/>
        <w:wordWrap w:val="0"/>
        <w:overflowPunct/>
        <w:topLinePunct w:val="0"/>
        <w:bidi w:val="0"/>
        <w:spacing w:before="102" w:line="225" w:lineRule="auto"/>
        <w:ind w:left="8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单位名称（公章）：</w:t>
      </w:r>
    </w:p>
    <w:p w14:paraId="75190ACB">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02A9FEC8">
      <w:pPr>
        <w:keepNext w:val="0"/>
        <w:keepLines w:val="0"/>
        <w:pageBreakBefore w:val="0"/>
        <w:wordWrap w:val="0"/>
        <w:overflowPunct/>
        <w:topLinePunct w:val="0"/>
        <w:bidi w:val="0"/>
        <w:spacing w:before="100" w:line="225" w:lineRule="auto"/>
        <w:ind w:left="8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统一社会信用代码：</w:t>
      </w:r>
    </w:p>
    <w:p w14:paraId="47162351">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074D0F90">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p>
    <w:p w14:paraId="3B1E9974">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w:t>
      </w:r>
    </w:p>
    <w:p w14:paraId="08FA8EAC">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4A8B10DA">
      <w:pPr>
        <w:pStyle w:val="14"/>
        <w:keepNext w:val="0"/>
        <w:keepLines w:val="0"/>
        <w:pageBreakBefore w:val="0"/>
        <w:wordWrap w:val="0"/>
        <w:overflowPunct/>
        <w:topLinePunct w:val="0"/>
        <w:bidi w:val="0"/>
        <w:rPr>
          <w:rFonts w:hint="eastAsia" w:ascii="宋体" w:hAnsi="宋体" w:eastAsia="宋体" w:cs="宋体"/>
          <w:color w:val="auto"/>
          <w:spacing w:val="0"/>
          <w:sz w:val="24"/>
          <w:szCs w:val="24"/>
          <w:highlight w:val="none"/>
          <w:lang w:eastAsia="zh-CN"/>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954FFED">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64" w:name="_Toc26027"/>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eastAsia="zh-CN"/>
        </w:rPr>
        <w:t>五</w:t>
      </w:r>
      <w:r>
        <w:rPr>
          <w:rFonts w:hint="eastAsia" w:ascii="宋体" w:hAnsi="宋体" w:eastAsia="宋体" w:cs="宋体"/>
          <w:b/>
          <w:bCs/>
          <w:color w:val="auto"/>
          <w:spacing w:val="0"/>
          <w:sz w:val="24"/>
          <w:szCs w:val="24"/>
          <w:highlight w:val="none"/>
        </w:rPr>
        <w:t xml:space="preserve">  原件一览表</w:t>
      </w:r>
      <w:bookmarkEnd w:id="264"/>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6673F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C9A0FE6">
            <w:pPr>
              <w:keepNext w:val="0"/>
              <w:keepLines w:val="0"/>
              <w:pageBreakBefore w:val="0"/>
              <w:wordWrap w:val="0"/>
              <w:overflowPunct/>
              <w:topLinePunct w:val="0"/>
              <w:bidi w:val="0"/>
              <w:spacing w:before="132" w:line="220" w:lineRule="auto"/>
              <w:ind w:left="396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原件一览表</w:t>
            </w:r>
          </w:p>
        </w:tc>
      </w:tr>
      <w:tr w14:paraId="6E7B6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5E648395">
            <w:pPr>
              <w:keepNext w:val="0"/>
              <w:keepLines w:val="0"/>
              <w:pageBreakBefore w:val="0"/>
              <w:wordWrap w:val="0"/>
              <w:overflowPunct/>
              <w:topLinePunct w:val="0"/>
              <w:bidi w:val="0"/>
              <w:spacing w:before="62" w:line="23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工程名称</w:t>
            </w:r>
          </w:p>
        </w:tc>
        <w:tc>
          <w:tcPr>
            <w:tcW w:w="6816" w:type="dxa"/>
            <w:gridSpan w:val="6"/>
            <w:vAlign w:val="top"/>
          </w:tcPr>
          <w:p w14:paraId="2BC3E548">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1BF0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7966F17F">
            <w:pPr>
              <w:keepNext w:val="0"/>
              <w:keepLines w:val="0"/>
              <w:pageBreakBefore w:val="0"/>
              <w:wordWrap w:val="0"/>
              <w:overflowPunct/>
              <w:topLinePunct w:val="0"/>
              <w:bidi w:val="0"/>
              <w:spacing w:before="150" w:line="23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投标人名称(请务必填写单位全称)</w:t>
            </w:r>
          </w:p>
        </w:tc>
        <w:tc>
          <w:tcPr>
            <w:tcW w:w="6816" w:type="dxa"/>
            <w:gridSpan w:val="6"/>
            <w:vAlign w:val="top"/>
          </w:tcPr>
          <w:p w14:paraId="4B21757D">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3FBD0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4DF9074B">
            <w:pPr>
              <w:keepNext w:val="0"/>
              <w:keepLines w:val="0"/>
              <w:pageBreakBefore w:val="0"/>
              <w:wordWrap w:val="0"/>
              <w:overflowPunct/>
              <w:topLinePunct w:val="0"/>
              <w:bidi w:val="0"/>
              <w:spacing w:before="151"/>
              <w:ind w:right="14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投标人法定代表人或其委托代理人签名</w:t>
            </w:r>
          </w:p>
        </w:tc>
        <w:tc>
          <w:tcPr>
            <w:tcW w:w="2689" w:type="dxa"/>
            <w:gridSpan w:val="2"/>
            <w:vAlign w:val="top"/>
          </w:tcPr>
          <w:p w14:paraId="57D7E207">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499" w:type="dxa"/>
            <w:gridSpan w:val="2"/>
            <w:vAlign w:val="top"/>
          </w:tcPr>
          <w:p w14:paraId="2FDC98C5">
            <w:pPr>
              <w:keepNext w:val="0"/>
              <w:keepLines w:val="0"/>
              <w:pageBreakBefore w:val="0"/>
              <w:wordWrap w:val="0"/>
              <w:overflowPunct/>
              <w:topLinePunct w:val="0"/>
              <w:bidi w:val="0"/>
              <w:spacing w:before="151" w:line="312" w:lineRule="auto"/>
              <w:ind w:right="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手机号码</w:t>
            </w:r>
          </w:p>
        </w:tc>
        <w:tc>
          <w:tcPr>
            <w:tcW w:w="2628" w:type="dxa"/>
            <w:gridSpan w:val="2"/>
            <w:vAlign w:val="top"/>
          </w:tcPr>
          <w:p w14:paraId="21C4D805">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656DC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70139CF0">
            <w:pPr>
              <w:keepNext w:val="0"/>
              <w:keepLines w:val="0"/>
              <w:pageBreakBefore w:val="0"/>
              <w:wordWrap w:val="0"/>
              <w:overflowPunct/>
              <w:topLinePunct w:val="0"/>
              <w:bidi w:val="0"/>
              <w:spacing w:before="62" w:line="228" w:lineRule="auto"/>
              <w:ind w:left="33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递交的证明材料原件如下：</w:t>
            </w:r>
          </w:p>
        </w:tc>
      </w:tr>
      <w:tr w14:paraId="485A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9EDD5ED">
            <w:pPr>
              <w:pStyle w:val="29"/>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1CFDD221">
            <w:pPr>
              <w:keepNext w:val="0"/>
              <w:keepLines w:val="0"/>
              <w:pageBreakBefore w:val="0"/>
              <w:wordWrap w:val="0"/>
              <w:overflowPunct/>
              <w:topLinePunct w:val="0"/>
              <w:bidi w:val="0"/>
              <w:spacing w:before="62" w:line="230" w:lineRule="auto"/>
              <w:ind w:left="15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5304" w:type="dxa"/>
            <w:gridSpan w:val="4"/>
            <w:vAlign w:val="top"/>
          </w:tcPr>
          <w:p w14:paraId="5D17C77A">
            <w:pPr>
              <w:pStyle w:val="29"/>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5B061FB8">
            <w:pPr>
              <w:keepNext w:val="0"/>
              <w:keepLines w:val="0"/>
              <w:pageBreakBefore w:val="0"/>
              <w:wordWrap w:val="0"/>
              <w:overflowPunct/>
              <w:topLinePunct w:val="0"/>
              <w:bidi w:val="0"/>
              <w:spacing w:before="61" w:line="228" w:lineRule="auto"/>
              <w:ind w:left="17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证明材料原件名称</w:t>
            </w:r>
          </w:p>
        </w:tc>
        <w:tc>
          <w:tcPr>
            <w:tcW w:w="1771" w:type="dxa"/>
            <w:gridSpan w:val="2"/>
            <w:vAlign w:val="top"/>
          </w:tcPr>
          <w:p w14:paraId="422BA98A">
            <w:pPr>
              <w:pStyle w:val="29"/>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41C47200">
            <w:pPr>
              <w:keepNext w:val="0"/>
              <w:keepLines w:val="0"/>
              <w:pageBreakBefore w:val="0"/>
              <w:wordWrap w:val="0"/>
              <w:overflowPunct/>
              <w:topLinePunct w:val="0"/>
              <w:bidi w:val="0"/>
              <w:spacing w:before="62" w:line="230" w:lineRule="auto"/>
              <w:ind w:left="6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w:t>
            </w:r>
          </w:p>
        </w:tc>
        <w:tc>
          <w:tcPr>
            <w:tcW w:w="1637" w:type="dxa"/>
            <w:vAlign w:val="top"/>
          </w:tcPr>
          <w:p w14:paraId="5F1312ED">
            <w:pPr>
              <w:pStyle w:val="29"/>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2DE0B9E4">
            <w:pPr>
              <w:keepNext w:val="0"/>
              <w:keepLines w:val="0"/>
              <w:pageBreakBefore w:val="0"/>
              <w:wordWrap w:val="0"/>
              <w:overflowPunct/>
              <w:topLinePunct w:val="0"/>
              <w:bidi w:val="0"/>
              <w:spacing w:before="62" w:line="229" w:lineRule="auto"/>
              <w:ind w:left="5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数量</w:t>
            </w:r>
          </w:p>
        </w:tc>
      </w:tr>
      <w:tr w14:paraId="60BE5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FE0613A">
            <w:pPr>
              <w:keepNext w:val="0"/>
              <w:keepLines w:val="0"/>
              <w:pageBreakBefore w:val="0"/>
              <w:wordWrap w:val="0"/>
              <w:overflowPunct/>
              <w:topLinePunct w:val="0"/>
              <w:bidi w:val="0"/>
              <w:spacing w:before="287" w:line="184"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5304" w:type="dxa"/>
            <w:gridSpan w:val="4"/>
            <w:vAlign w:val="top"/>
          </w:tcPr>
          <w:p w14:paraId="166DC365">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90AC910">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35C9C364">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57936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D20AE0D">
            <w:pPr>
              <w:keepNext w:val="0"/>
              <w:keepLines w:val="0"/>
              <w:pageBreakBefore w:val="0"/>
              <w:wordWrap w:val="0"/>
              <w:overflowPunct/>
              <w:topLinePunct w:val="0"/>
              <w:bidi w:val="0"/>
              <w:spacing w:before="288" w:line="183" w:lineRule="auto"/>
              <w:ind w:left="3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5304" w:type="dxa"/>
            <w:gridSpan w:val="4"/>
            <w:vAlign w:val="top"/>
          </w:tcPr>
          <w:p w14:paraId="406B9462">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A131F30">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5197C04B">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A66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6F860A0">
            <w:pPr>
              <w:keepNext w:val="0"/>
              <w:keepLines w:val="0"/>
              <w:pageBreakBefore w:val="0"/>
              <w:wordWrap w:val="0"/>
              <w:overflowPunct/>
              <w:topLinePunct w:val="0"/>
              <w:bidi w:val="0"/>
              <w:spacing w:before="287" w:line="183" w:lineRule="auto"/>
              <w:ind w:left="3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5304" w:type="dxa"/>
            <w:gridSpan w:val="4"/>
            <w:vAlign w:val="top"/>
          </w:tcPr>
          <w:p w14:paraId="1B9B38B5">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7CAD3D1">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E1A04AD">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7489D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AE45D10">
            <w:pPr>
              <w:pStyle w:val="29"/>
              <w:keepNext w:val="0"/>
              <w:keepLines w:val="0"/>
              <w:pageBreakBefore w:val="0"/>
              <w:wordWrap w:val="0"/>
              <w:overflowPunct/>
              <w:topLinePunct w:val="0"/>
              <w:bidi w:val="0"/>
              <w:spacing w:line="348" w:lineRule="auto"/>
              <w:rPr>
                <w:rFonts w:hint="eastAsia" w:ascii="宋体" w:hAnsi="宋体" w:eastAsia="宋体" w:cs="宋体"/>
                <w:color w:val="auto"/>
                <w:spacing w:val="0"/>
                <w:sz w:val="24"/>
                <w:szCs w:val="24"/>
                <w:highlight w:val="none"/>
              </w:rPr>
            </w:pPr>
          </w:p>
          <w:p w14:paraId="547ADE5A">
            <w:pPr>
              <w:keepNext w:val="0"/>
              <w:keepLines w:val="0"/>
              <w:pageBreakBefore w:val="0"/>
              <w:wordWrap w:val="0"/>
              <w:overflowPunct/>
              <w:topLinePunct w:val="0"/>
              <w:bidi w:val="0"/>
              <w:spacing w:before="78" w:line="99" w:lineRule="exact"/>
              <w:ind w:left="18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1"/>
                <w:sz w:val="24"/>
                <w:szCs w:val="24"/>
                <w:highlight w:val="none"/>
              </w:rPr>
              <w:t>...</w:t>
            </w:r>
          </w:p>
        </w:tc>
        <w:tc>
          <w:tcPr>
            <w:tcW w:w="5304" w:type="dxa"/>
            <w:gridSpan w:val="4"/>
            <w:vAlign w:val="top"/>
          </w:tcPr>
          <w:p w14:paraId="4B81671A">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5388A7E4">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5AC54456">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411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3EAB39C7">
            <w:pPr>
              <w:pStyle w:val="29"/>
              <w:keepNext w:val="0"/>
              <w:keepLines w:val="0"/>
              <w:pageBreakBefore w:val="0"/>
              <w:wordWrap w:val="0"/>
              <w:overflowPunct/>
              <w:topLinePunct w:val="0"/>
              <w:bidi w:val="0"/>
              <w:spacing w:line="274" w:lineRule="auto"/>
              <w:rPr>
                <w:rFonts w:hint="eastAsia" w:ascii="宋体" w:hAnsi="宋体" w:eastAsia="宋体" w:cs="宋体"/>
                <w:color w:val="auto"/>
                <w:spacing w:val="0"/>
                <w:sz w:val="24"/>
                <w:szCs w:val="24"/>
                <w:highlight w:val="none"/>
              </w:rPr>
            </w:pPr>
          </w:p>
          <w:p w14:paraId="55FD760D">
            <w:pPr>
              <w:pStyle w:val="29"/>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6FFCD2F6">
            <w:pPr>
              <w:pStyle w:val="29"/>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6DA8DAB2">
            <w:pPr>
              <w:keepNext w:val="0"/>
              <w:keepLines w:val="0"/>
              <w:pageBreakBefore w:val="0"/>
              <w:wordWrap w:val="0"/>
              <w:overflowPunct/>
              <w:topLinePunct w:val="0"/>
              <w:bidi w:val="0"/>
              <w:spacing w:before="62" w:line="233" w:lineRule="auto"/>
              <w:ind w:left="2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注意：</w:t>
            </w:r>
          </w:p>
        </w:tc>
        <w:tc>
          <w:tcPr>
            <w:tcW w:w="8712" w:type="dxa"/>
            <w:gridSpan w:val="7"/>
            <w:vAlign w:val="top"/>
          </w:tcPr>
          <w:p w14:paraId="1B3CF7FC">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59276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690ED03F">
            <w:pPr>
              <w:pStyle w:val="29"/>
              <w:keepNext w:val="0"/>
              <w:keepLines w:val="0"/>
              <w:pageBreakBefore w:val="0"/>
              <w:wordWrap w:val="0"/>
              <w:overflowPunct/>
              <w:topLinePunct w:val="0"/>
              <w:bidi w:val="0"/>
              <w:spacing w:line="240" w:lineRule="auto"/>
              <w:rPr>
                <w:rFonts w:hint="eastAsia" w:ascii="宋体" w:hAnsi="宋体" w:eastAsia="宋体" w:cs="宋体"/>
                <w:color w:val="auto"/>
                <w:spacing w:val="0"/>
                <w:sz w:val="24"/>
                <w:szCs w:val="24"/>
                <w:highlight w:val="none"/>
              </w:rPr>
            </w:pPr>
          </w:p>
          <w:p w14:paraId="1307DA3D">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接收原件经办人</w:t>
            </w:r>
          </w:p>
          <w:p w14:paraId="6B7C6436">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(招标代理)：</w:t>
            </w:r>
          </w:p>
        </w:tc>
        <w:tc>
          <w:tcPr>
            <w:tcW w:w="1725" w:type="dxa"/>
            <w:vAlign w:val="top"/>
          </w:tcPr>
          <w:p w14:paraId="44805BA6">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1B9C22A3">
            <w:pPr>
              <w:pStyle w:val="29"/>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7465BCA">
            <w:pPr>
              <w:pStyle w:val="29"/>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6AA094DD">
            <w:pPr>
              <w:keepNext w:val="0"/>
              <w:keepLines w:val="0"/>
              <w:pageBreakBefore w:val="0"/>
              <w:wordWrap w:val="0"/>
              <w:overflowPunct/>
              <w:topLinePunct w:val="0"/>
              <w:bidi w:val="0"/>
              <w:spacing w:before="62" w:line="229" w:lineRule="auto"/>
              <w:ind w:left="3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接收时间：</w:t>
            </w:r>
          </w:p>
        </w:tc>
        <w:tc>
          <w:tcPr>
            <w:tcW w:w="3408" w:type="dxa"/>
            <w:gridSpan w:val="3"/>
            <w:vAlign w:val="top"/>
          </w:tcPr>
          <w:p w14:paraId="3C673D5F">
            <w:pPr>
              <w:pStyle w:val="29"/>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2F4F575">
            <w:pPr>
              <w:pStyle w:val="29"/>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08459939">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r w14:paraId="35BD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7D643159">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退还原件接收人</w:t>
            </w:r>
          </w:p>
          <w:p w14:paraId="025ED4CA">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p>
        </w:tc>
        <w:tc>
          <w:tcPr>
            <w:tcW w:w="1725" w:type="dxa"/>
            <w:vAlign w:val="top"/>
          </w:tcPr>
          <w:p w14:paraId="026764E9">
            <w:pPr>
              <w:pStyle w:val="29"/>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00ECCFF5">
            <w:pPr>
              <w:pStyle w:val="29"/>
              <w:keepNext w:val="0"/>
              <w:keepLines w:val="0"/>
              <w:pageBreakBefore w:val="0"/>
              <w:wordWrap w:val="0"/>
              <w:overflowPunct/>
              <w:topLinePunct w:val="0"/>
              <w:bidi w:val="0"/>
              <w:spacing w:line="336" w:lineRule="auto"/>
              <w:rPr>
                <w:rFonts w:hint="eastAsia" w:ascii="宋体" w:hAnsi="宋体" w:eastAsia="宋体" w:cs="宋体"/>
                <w:color w:val="auto"/>
                <w:spacing w:val="0"/>
                <w:sz w:val="24"/>
                <w:szCs w:val="24"/>
                <w:highlight w:val="none"/>
              </w:rPr>
            </w:pPr>
          </w:p>
          <w:p w14:paraId="7CF0543D">
            <w:pPr>
              <w:keepNext w:val="0"/>
              <w:keepLines w:val="0"/>
              <w:pageBreakBefore w:val="0"/>
              <w:wordWrap w:val="0"/>
              <w:overflowPunct/>
              <w:topLinePunct w:val="0"/>
              <w:bidi w:val="0"/>
              <w:spacing w:before="61" w:line="231"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退还时间：</w:t>
            </w:r>
          </w:p>
        </w:tc>
        <w:tc>
          <w:tcPr>
            <w:tcW w:w="3408" w:type="dxa"/>
            <w:gridSpan w:val="3"/>
            <w:vAlign w:val="top"/>
          </w:tcPr>
          <w:p w14:paraId="1881D9EA">
            <w:pPr>
              <w:pStyle w:val="29"/>
              <w:keepNext w:val="0"/>
              <w:keepLines w:val="0"/>
              <w:pageBreakBefore w:val="0"/>
              <w:wordWrap w:val="0"/>
              <w:overflowPunct/>
              <w:topLinePunct w:val="0"/>
              <w:bidi w:val="0"/>
              <w:spacing w:line="335" w:lineRule="auto"/>
              <w:rPr>
                <w:rFonts w:hint="eastAsia" w:ascii="宋体" w:hAnsi="宋体" w:eastAsia="宋体" w:cs="宋体"/>
                <w:color w:val="auto"/>
                <w:spacing w:val="0"/>
                <w:sz w:val="24"/>
                <w:szCs w:val="24"/>
                <w:highlight w:val="none"/>
              </w:rPr>
            </w:pPr>
          </w:p>
          <w:p w14:paraId="2253F5EA">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bl>
    <w:p w14:paraId="1BC6BFE4">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65" w:name="bookmark107"/>
      <w:bookmarkEnd w:id="265"/>
      <w:r>
        <w:rPr>
          <w:rFonts w:hint="eastAsia" w:ascii="宋体" w:hAnsi="宋体" w:eastAsia="宋体" w:cs="宋体"/>
          <w:b/>
          <w:bCs/>
          <w:color w:val="auto"/>
          <w:spacing w:val="0"/>
          <w:sz w:val="24"/>
          <w:szCs w:val="24"/>
          <w:highlight w:val="none"/>
        </w:rPr>
        <w:br w:type="page"/>
      </w:r>
      <w:bookmarkStart w:id="266" w:name="_Toc4725"/>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十六</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w:t>
      </w:r>
      <w:r>
        <w:rPr>
          <w:rFonts w:hint="eastAsia" w:ascii="宋体" w:hAnsi="宋体" w:eastAsia="宋体" w:cs="宋体"/>
          <w:b/>
          <w:bCs/>
          <w:color w:val="auto"/>
          <w:spacing w:val="0"/>
          <w:sz w:val="24"/>
          <w:szCs w:val="24"/>
          <w:highlight w:val="none"/>
        </w:rPr>
        <w:t>封面</w:t>
      </w:r>
      <w:bookmarkEnd w:id="266"/>
    </w:p>
    <w:p w14:paraId="5006DC9A">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34B09997">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4A87BBC5">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28D329B3">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3A78CA2F">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AD59DF3">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86F1425">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43C3E641">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9D858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AE0B3FF">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C6864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04705F4">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03EF797F">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944BE4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lang w:val="en-US" w:eastAsia="zh-CN"/>
        </w:rPr>
        <w:t>定</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00A1771B">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C409A07">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9E76458">
      <w:pPr>
        <w:keepNext w:val="0"/>
        <w:keepLines w:val="0"/>
        <w:pageBreakBefore w:val="0"/>
        <w:wordWrap w:val="0"/>
        <w:overflowPunct/>
        <w:topLinePunct w:val="0"/>
        <w:bidi w:val="0"/>
        <w:rPr>
          <w:rFonts w:hint="eastAsia"/>
          <w:color w:val="auto"/>
          <w:spacing w:val="0"/>
          <w:highlight w:val="none"/>
        </w:rPr>
      </w:pPr>
    </w:p>
    <w:p w14:paraId="5472E38F">
      <w:pPr>
        <w:keepNext w:val="0"/>
        <w:keepLines w:val="0"/>
        <w:pageBreakBefore w:val="0"/>
        <w:wordWrap w:val="0"/>
        <w:overflowPunct/>
        <w:topLinePunct w:val="0"/>
        <w:bidi w:val="0"/>
        <w:rPr>
          <w:rFonts w:hint="eastAsia"/>
          <w:color w:val="auto"/>
          <w:spacing w:val="0"/>
          <w:highlight w:val="none"/>
        </w:rPr>
      </w:pPr>
    </w:p>
    <w:p w14:paraId="0834D83C">
      <w:pPr>
        <w:keepNext w:val="0"/>
        <w:keepLines w:val="0"/>
        <w:pageBreakBefore w:val="0"/>
        <w:wordWrap w:val="0"/>
        <w:overflowPunct/>
        <w:topLinePunct w:val="0"/>
        <w:bidi w:val="0"/>
        <w:rPr>
          <w:rFonts w:hint="eastAsia"/>
          <w:color w:val="auto"/>
          <w:spacing w:val="0"/>
          <w:highlight w:val="none"/>
        </w:rPr>
      </w:pPr>
    </w:p>
    <w:p w14:paraId="34D736C6">
      <w:pPr>
        <w:keepNext w:val="0"/>
        <w:keepLines w:val="0"/>
        <w:pageBreakBefore w:val="0"/>
        <w:wordWrap w:val="0"/>
        <w:overflowPunct/>
        <w:topLinePunct w:val="0"/>
        <w:bidi w:val="0"/>
        <w:rPr>
          <w:rFonts w:hint="eastAsia"/>
          <w:color w:val="auto"/>
          <w:spacing w:val="0"/>
          <w:highlight w:val="none"/>
        </w:rPr>
      </w:pPr>
    </w:p>
    <w:p w14:paraId="30D7943B">
      <w:pPr>
        <w:keepNext w:val="0"/>
        <w:keepLines w:val="0"/>
        <w:pageBreakBefore w:val="0"/>
        <w:wordWrap w:val="0"/>
        <w:overflowPunct/>
        <w:topLinePunct w:val="0"/>
        <w:bidi w:val="0"/>
        <w:rPr>
          <w:rFonts w:hint="eastAsia"/>
          <w:color w:val="auto"/>
          <w:spacing w:val="0"/>
          <w:highlight w:val="none"/>
        </w:rPr>
      </w:pPr>
    </w:p>
    <w:p w14:paraId="4FEE1ED6">
      <w:pPr>
        <w:keepNext w:val="0"/>
        <w:keepLines w:val="0"/>
        <w:pageBreakBefore w:val="0"/>
        <w:wordWrap w:val="0"/>
        <w:overflowPunct/>
        <w:topLinePunct w:val="0"/>
        <w:bidi w:val="0"/>
        <w:rPr>
          <w:rFonts w:hint="eastAsia"/>
          <w:color w:val="auto"/>
          <w:spacing w:val="0"/>
          <w:highlight w:val="none"/>
        </w:rPr>
      </w:pPr>
    </w:p>
    <w:p w14:paraId="27FDCF24">
      <w:pPr>
        <w:keepNext w:val="0"/>
        <w:keepLines w:val="0"/>
        <w:pageBreakBefore w:val="0"/>
        <w:wordWrap w:val="0"/>
        <w:overflowPunct/>
        <w:topLinePunct w:val="0"/>
        <w:bidi w:val="0"/>
        <w:rPr>
          <w:rFonts w:hint="eastAsia"/>
          <w:color w:val="auto"/>
          <w:spacing w:val="0"/>
          <w:highlight w:val="none"/>
        </w:rPr>
      </w:pPr>
    </w:p>
    <w:p w14:paraId="2B6F77E3">
      <w:pPr>
        <w:keepNext w:val="0"/>
        <w:keepLines w:val="0"/>
        <w:pageBreakBefore w:val="0"/>
        <w:wordWrap w:val="0"/>
        <w:overflowPunct/>
        <w:topLinePunct w:val="0"/>
        <w:bidi w:val="0"/>
        <w:rPr>
          <w:rFonts w:hint="eastAsia"/>
          <w:color w:val="auto"/>
          <w:spacing w:val="0"/>
          <w:highlight w:val="none"/>
        </w:rPr>
      </w:pPr>
    </w:p>
    <w:p w14:paraId="33769B22">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4A3C1EB5">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45CEE2D">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2283156">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7D3457AD">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87E9E9D">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15EA410B">
      <w:pPr>
        <w:pStyle w:val="47"/>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5CDFBA3">
      <w:pPr>
        <w:spacing w:line="500" w:lineRule="exact"/>
        <w:jc w:val="left"/>
        <w:outlineLvl w:val="2"/>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pacing w:val="0"/>
          <w:sz w:val="24"/>
          <w:szCs w:val="24"/>
          <w:highlight w:val="none"/>
        </w:rPr>
        <w:br w:type="page"/>
      </w:r>
      <w:bookmarkStart w:id="267" w:name="_Toc4519"/>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十七</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定标因素评审资料</w:t>
      </w:r>
      <w:r>
        <w:rPr>
          <w:rFonts w:hint="eastAsia" w:ascii="宋体" w:hAnsi="宋体" w:eastAsia="宋体" w:cs="宋体"/>
          <w:b/>
          <w:bCs/>
          <w:color w:val="auto"/>
          <w:spacing w:val="0"/>
          <w:sz w:val="24"/>
          <w:szCs w:val="24"/>
          <w:highlight w:val="none"/>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z w:val="30"/>
          <w:szCs w:val="30"/>
          <w:highlight w:val="none"/>
          <w:lang w:eastAsia="zh-CN"/>
        </w:rPr>
        <w:t>定标因素评审资料</w:t>
      </w:r>
      <w:bookmarkEnd w:id="267"/>
    </w:p>
    <w:p w14:paraId="5876F9F4">
      <w:pPr>
        <w:jc w:val="left"/>
        <w:rPr>
          <w:rFonts w:hint="eastAsia" w:ascii="宋体" w:hAnsi="宋体" w:eastAsia="宋体" w:cs="宋体"/>
          <w:color w:val="auto"/>
          <w:sz w:val="24"/>
          <w:highlight w:val="none"/>
          <w:lang w:eastAsia="zh-CN"/>
        </w:rPr>
      </w:pPr>
    </w:p>
    <w:p w14:paraId="3931FE62">
      <w:pPr>
        <w:spacing w:line="5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章 </w:t>
      </w:r>
      <w:r>
        <w:rPr>
          <w:rFonts w:hint="eastAsia" w:ascii="宋体" w:hAnsi="宋体" w:eastAsia="宋体" w:cs="宋体"/>
          <w:b/>
          <w:bCs/>
          <w:color w:val="auto"/>
          <w:sz w:val="24"/>
          <w:szCs w:val="24"/>
          <w:highlight w:val="none"/>
          <w:lang w:val="en-US" w:eastAsia="zh-CN"/>
        </w:rPr>
        <w:t>第三节 16.5”载明的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r>
        <w:rPr>
          <w:rFonts w:hint="eastAsia" w:ascii="宋体" w:hAnsi="宋体" w:eastAsia="宋体" w:cs="宋体"/>
          <w:b/>
          <w:bCs/>
          <w:color w:val="auto"/>
          <w:sz w:val="24"/>
          <w:szCs w:val="24"/>
          <w:highlight w:val="none"/>
          <w:lang w:val="en-US" w:eastAsia="zh-CN"/>
        </w:rPr>
        <w:t>提交的评审资料包括但不限于以下内容</w:t>
      </w:r>
      <w:r>
        <w:rPr>
          <w:rFonts w:hint="eastAsia" w:ascii="宋体" w:hAnsi="宋体" w:eastAsia="宋体" w:cs="宋体"/>
          <w:b/>
          <w:bCs/>
          <w:color w:val="auto"/>
          <w:sz w:val="24"/>
          <w:szCs w:val="24"/>
          <w:highlight w:val="none"/>
          <w:lang w:eastAsia="zh-CN"/>
        </w:rPr>
        <w:t>。</w:t>
      </w:r>
    </w:p>
    <w:p w14:paraId="5B088A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6523790B">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（3）农民工工资保障情况</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（4）企业实力</w:t>
      </w:r>
    </w:p>
    <w:p w14:paraId="726FFF1A">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（5）技术方案</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（6）</w:t>
      </w:r>
      <w:r>
        <w:rPr>
          <w:rFonts w:hint="eastAsia" w:ascii="宋体" w:hAnsi="宋体" w:eastAsia="宋体" w:cs="宋体"/>
          <w:color w:val="auto"/>
          <w:spacing w:val="0"/>
          <w:sz w:val="24"/>
          <w:szCs w:val="24"/>
          <w:highlight w:val="none"/>
        </w:rPr>
        <w:t>投标人认为有必要补充的其他资料</w:t>
      </w:r>
    </w:p>
    <w:p w14:paraId="328C5C4C">
      <w:pPr>
        <w:spacing w:line="540" w:lineRule="exact"/>
        <w:ind w:firstLine="862" w:firstLineChars="308"/>
        <w:rPr>
          <w:rFonts w:hint="eastAsia" w:ascii="宋体" w:hAnsi="宋体" w:eastAsia="宋体" w:cs="宋体"/>
          <w:color w:val="auto"/>
          <w:sz w:val="28"/>
          <w:szCs w:val="28"/>
          <w:highlight w:val="none"/>
        </w:rPr>
      </w:pPr>
    </w:p>
    <w:p w14:paraId="34E430AE">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72D2B1B2">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auto"/>
          <w:spacing w:val="0"/>
          <w:highlight w:val="none"/>
        </w:rPr>
      </w:pPr>
      <w:bookmarkStart w:id="268" w:name="_Toc7189"/>
      <w:r>
        <w:rPr>
          <w:rFonts w:hint="eastAsia" w:ascii="宋体" w:hAnsi="宋体" w:eastAsia="宋体" w:cs="宋体"/>
          <w:b/>
          <w:bCs/>
          <w:color w:val="auto"/>
          <w:spacing w:val="0"/>
          <w:sz w:val="24"/>
          <w:szCs w:val="24"/>
          <w:highlight w:val="none"/>
        </w:rPr>
        <w:t>第七章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建设工程施工合同</w:t>
      </w:r>
      <w:bookmarkEnd w:id="268"/>
    </w:p>
    <w:p w14:paraId="5FE97F1E">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4DF00718">
      <w:pPr>
        <w:keepNext w:val="0"/>
        <w:keepLines w:val="0"/>
        <w:pageBreakBefore w:val="0"/>
        <w:wordWrap w:val="0"/>
        <w:overflowPunct/>
        <w:topLinePunct w:val="0"/>
        <w:bidi w:val="0"/>
        <w:spacing w:before="78"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（略），按《广东省建设工程标准施工合同》（2009 年版）或《建设工程施工合同（示范文本）》（GF—2017—0201）执行。</w:t>
      </w:r>
    </w:p>
    <w:p w14:paraId="17E5A5FF">
      <w:pPr>
        <w:keepNext w:val="0"/>
        <w:keepLines w:val="0"/>
        <w:pageBreakBefore w:val="0"/>
        <w:wordWrap w:val="0"/>
        <w:overflowPunct/>
        <w:topLinePunct w:val="0"/>
        <w:bidi w:val="0"/>
        <w:rPr>
          <w:rFonts w:hint="eastAsia" w:ascii="宋体" w:hAnsi="宋体" w:eastAsia="宋体" w:cs="宋体"/>
          <w:color w:val="auto"/>
          <w:spacing w:val="0"/>
          <w:highlight w:val="none"/>
        </w:rPr>
      </w:pPr>
    </w:p>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C96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6228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6228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E5101">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1B8FB">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5C1B8FB">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7779">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09FC0">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F909FC0">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7E2F">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A1F44">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1CA1F44">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0DAE6">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3F0FB">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333F0FB">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D648">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5B4F5">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725B4F5">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3B5A">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7C545">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4F7C545">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5CED2">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9A156">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599A156">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637A">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E01E5">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CEE01E5">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96B4">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ADB12">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A0ADB12">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FBF8">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CE9E7">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13CE9E7">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0323">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64830">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C64830">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D80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75912">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75912">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9B40">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A9F09">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7BA9F09">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F7DF">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D06BD">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BD06BD">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2D07">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35F95">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E35F95">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7F1C">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66B2F">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366B2F">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D432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A84CC">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0A84CC">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E865">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D4C48">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5CD4C48">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199E">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8D8C">
    <w:pPr>
      <w:pStyle w:val="6"/>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E2CB">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B1C2">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CBB09"/>
    <w:multiLevelType w:val="singleLevel"/>
    <w:tmpl w:val="4D5CBB0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3F512F"/>
    <w:rsid w:val="00473031"/>
    <w:rsid w:val="004F4B45"/>
    <w:rsid w:val="00D61DC8"/>
    <w:rsid w:val="00F661CB"/>
    <w:rsid w:val="011F0B90"/>
    <w:rsid w:val="01203FAE"/>
    <w:rsid w:val="012A2737"/>
    <w:rsid w:val="013F232E"/>
    <w:rsid w:val="014B09BB"/>
    <w:rsid w:val="014C6B51"/>
    <w:rsid w:val="016471F9"/>
    <w:rsid w:val="01916C5A"/>
    <w:rsid w:val="01B841E6"/>
    <w:rsid w:val="01C26E13"/>
    <w:rsid w:val="01D95F0B"/>
    <w:rsid w:val="02337D11"/>
    <w:rsid w:val="026E699E"/>
    <w:rsid w:val="0273635F"/>
    <w:rsid w:val="02AA30B8"/>
    <w:rsid w:val="02B7625C"/>
    <w:rsid w:val="02BF0C55"/>
    <w:rsid w:val="02C86EA8"/>
    <w:rsid w:val="02F76F90"/>
    <w:rsid w:val="03091250"/>
    <w:rsid w:val="03130FFF"/>
    <w:rsid w:val="032C4E8C"/>
    <w:rsid w:val="0358304C"/>
    <w:rsid w:val="03696A9E"/>
    <w:rsid w:val="037C563F"/>
    <w:rsid w:val="039E06FB"/>
    <w:rsid w:val="03B524C9"/>
    <w:rsid w:val="03C5042E"/>
    <w:rsid w:val="04021749"/>
    <w:rsid w:val="04115E30"/>
    <w:rsid w:val="04200D92"/>
    <w:rsid w:val="04361E9A"/>
    <w:rsid w:val="043C0BB8"/>
    <w:rsid w:val="04540333"/>
    <w:rsid w:val="048719B2"/>
    <w:rsid w:val="04B51863"/>
    <w:rsid w:val="04B67F25"/>
    <w:rsid w:val="04B91C32"/>
    <w:rsid w:val="04BF763A"/>
    <w:rsid w:val="04C07235"/>
    <w:rsid w:val="04C93D12"/>
    <w:rsid w:val="04CE00F8"/>
    <w:rsid w:val="05654685"/>
    <w:rsid w:val="05E732EC"/>
    <w:rsid w:val="05EC614B"/>
    <w:rsid w:val="05FE0636"/>
    <w:rsid w:val="06342423"/>
    <w:rsid w:val="063C112F"/>
    <w:rsid w:val="066642EF"/>
    <w:rsid w:val="066C1D20"/>
    <w:rsid w:val="066E18CA"/>
    <w:rsid w:val="069B537E"/>
    <w:rsid w:val="06B156A8"/>
    <w:rsid w:val="06C70A28"/>
    <w:rsid w:val="06C929F2"/>
    <w:rsid w:val="06E67100"/>
    <w:rsid w:val="06EE2458"/>
    <w:rsid w:val="07133987"/>
    <w:rsid w:val="073360BD"/>
    <w:rsid w:val="074B3407"/>
    <w:rsid w:val="0784404A"/>
    <w:rsid w:val="07A1396F"/>
    <w:rsid w:val="07A71DAB"/>
    <w:rsid w:val="07B90CB8"/>
    <w:rsid w:val="07E918D6"/>
    <w:rsid w:val="07EC510E"/>
    <w:rsid w:val="08000695"/>
    <w:rsid w:val="082A5712"/>
    <w:rsid w:val="083D3697"/>
    <w:rsid w:val="08C55606"/>
    <w:rsid w:val="08CD7283"/>
    <w:rsid w:val="08D544D0"/>
    <w:rsid w:val="08DB07BA"/>
    <w:rsid w:val="08EB6C4F"/>
    <w:rsid w:val="092D5890"/>
    <w:rsid w:val="09532A47"/>
    <w:rsid w:val="09C339A8"/>
    <w:rsid w:val="09F06AB0"/>
    <w:rsid w:val="09FA34EB"/>
    <w:rsid w:val="0A182626"/>
    <w:rsid w:val="0A2763AD"/>
    <w:rsid w:val="0A62467A"/>
    <w:rsid w:val="0A7D4664"/>
    <w:rsid w:val="0AD33307"/>
    <w:rsid w:val="0AEE3BCC"/>
    <w:rsid w:val="0AFB0342"/>
    <w:rsid w:val="0B3866B7"/>
    <w:rsid w:val="0B3B5F5C"/>
    <w:rsid w:val="0B644CDF"/>
    <w:rsid w:val="0BAE2588"/>
    <w:rsid w:val="0BD240F7"/>
    <w:rsid w:val="0C120997"/>
    <w:rsid w:val="0C350433"/>
    <w:rsid w:val="0C3D67FB"/>
    <w:rsid w:val="0C4153D2"/>
    <w:rsid w:val="0C4E3A2A"/>
    <w:rsid w:val="0C7C281F"/>
    <w:rsid w:val="0CA07D76"/>
    <w:rsid w:val="0CA247B5"/>
    <w:rsid w:val="0CC51EAD"/>
    <w:rsid w:val="0CEB3524"/>
    <w:rsid w:val="0CFE2CC9"/>
    <w:rsid w:val="0D03679A"/>
    <w:rsid w:val="0D046532"/>
    <w:rsid w:val="0D410E67"/>
    <w:rsid w:val="0D786450"/>
    <w:rsid w:val="0DB97443"/>
    <w:rsid w:val="0DCB0DFD"/>
    <w:rsid w:val="0DD203DE"/>
    <w:rsid w:val="0DDC125D"/>
    <w:rsid w:val="0DED346A"/>
    <w:rsid w:val="0DF525DE"/>
    <w:rsid w:val="0DF61CE0"/>
    <w:rsid w:val="0E122ED0"/>
    <w:rsid w:val="0E1E1875"/>
    <w:rsid w:val="0E8E37ED"/>
    <w:rsid w:val="0EAF2E14"/>
    <w:rsid w:val="0EDB59B8"/>
    <w:rsid w:val="0EF30E7F"/>
    <w:rsid w:val="0F1B4006"/>
    <w:rsid w:val="0F312AB7"/>
    <w:rsid w:val="0FA826FB"/>
    <w:rsid w:val="0FB775B8"/>
    <w:rsid w:val="0FD56EE5"/>
    <w:rsid w:val="0FF44D8A"/>
    <w:rsid w:val="103425BC"/>
    <w:rsid w:val="10433815"/>
    <w:rsid w:val="10484987"/>
    <w:rsid w:val="105858FC"/>
    <w:rsid w:val="1069143D"/>
    <w:rsid w:val="108403E2"/>
    <w:rsid w:val="109275A9"/>
    <w:rsid w:val="10945E1E"/>
    <w:rsid w:val="10C15734"/>
    <w:rsid w:val="110D36CE"/>
    <w:rsid w:val="11183B29"/>
    <w:rsid w:val="11533574"/>
    <w:rsid w:val="11733C86"/>
    <w:rsid w:val="11785740"/>
    <w:rsid w:val="117874EE"/>
    <w:rsid w:val="11862732"/>
    <w:rsid w:val="118F278E"/>
    <w:rsid w:val="119105B0"/>
    <w:rsid w:val="11994D85"/>
    <w:rsid w:val="11A47985"/>
    <w:rsid w:val="11A830C4"/>
    <w:rsid w:val="11D80D88"/>
    <w:rsid w:val="11F50B3F"/>
    <w:rsid w:val="12906AB9"/>
    <w:rsid w:val="12B46AE6"/>
    <w:rsid w:val="12C7072D"/>
    <w:rsid w:val="12E7492B"/>
    <w:rsid w:val="12E74FC1"/>
    <w:rsid w:val="12F27F6E"/>
    <w:rsid w:val="12F53397"/>
    <w:rsid w:val="131A26A8"/>
    <w:rsid w:val="132A4818"/>
    <w:rsid w:val="13313DF9"/>
    <w:rsid w:val="133D279D"/>
    <w:rsid w:val="13842E04"/>
    <w:rsid w:val="1385172F"/>
    <w:rsid w:val="13B36C86"/>
    <w:rsid w:val="13C438FA"/>
    <w:rsid w:val="13E34C75"/>
    <w:rsid w:val="14141B79"/>
    <w:rsid w:val="148650F4"/>
    <w:rsid w:val="1505553D"/>
    <w:rsid w:val="150D2643"/>
    <w:rsid w:val="15192D96"/>
    <w:rsid w:val="15446098"/>
    <w:rsid w:val="155663AB"/>
    <w:rsid w:val="15674B8D"/>
    <w:rsid w:val="15793835"/>
    <w:rsid w:val="157955E3"/>
    <w:rsid w:val="15C368B9"/>
    <w:rsid w:val="15DC13FE"/>
    <w:rsid w:val="15E943C5"/>
    <w:rsid w:val="15F3699E"/>
    <w:rsid w:val="16005D04"/>
    <w:rsid w:val="161F618A"/>
    <w:rsid w:val="16223ECC"/>
    <w:rsid w:val="16351E52"/>
    <w:rsid w:val="16505471"/>
    <w:rsid w:val="16737FC1"/>
    <w:rsid w:val="16B80D6A"/>
    <w:rsid w:val="16C60CFC"/>
    <w:rsid w:val="16DF591A"/>
    <w:rsid w:val="1722468F"/>
    <w:rsid w:val="172C4685"/>
    <w:rsid w:val="173157BB"/>
    <w:rsid w:val="1767428D"/>
    <w:rsid w:val="1776627E"/>
    <w:rsid w:val="17C50FB3"/>
    <w:rsid w:val="18226406"/>
    <w:rsid w:val="182A472E"/>
    <w:rsid w:val="1862610F"/>
    <w:rsid w:val="18710487"/>
    <w:rsid w:val="18C06D07"/>
    <w:rsid w:val="190B3062"/>
    <w:rsid w:val="192D6E10"/>
    <w:rsid w:val="192E77AB"/>
    <w:rsid w:val="19355CC5"/>
    <w:rsid w:val="19597C05"/>
    <w:rsid w:val="1963464B"/>
    <w:rsid w:val="197764F6"/>
    <w:rsid w:val="19847A44"/>
    <w:rsid w:val="1A200723"/>
    <w:rsid w:val="1A2C70C8"/>
    <w:rsid w:val="1A3A6836"/>
    <w:rsid w:val="1A4A3FE0"/>
    <w:rsid w:val="1A5B5BFF"/>
    <w:rsid w:val="1A6040D2"/>
    <w:rsid w:val="1A8E7D82"/>
    <w:rsid w:val="1AE57555"/>
    <w:rsid w:val="1B297585"/>
    <w:rsid w:val="1B2B0B2B"/>
    <w:rsid w:val="1B707488"/>
    <w:rsid w:val="1B726CF2"/>
    <w:rsid w:val="1BB32838"/>
    <w:rsid w:val="1BC25F36"/>
    <w:rsid w:val="1BCD48DA"/>
    <w:rsid w:val="1BF24C7D"/>
    <w:rsid w:val="1C116575"/>
    <w:rsid w:val="1C2A3ADB"/>
    <w:rsid w:val="1C324211"/>
    <w:rsid w:val="1C623275"/>
    <w:rsid w:val="1C7F3E27"/>
    <w:rsid w:val="1C8938BE"/>
    <w:rsid w:val="1C977356"/>
    <w:rsid w:val="1CEE68B6"/>
    <w:rsid w:val="1CFE11EF"/>
    <w:rsid w:val="1D012A8E"/>
    <w:rsid w:val="1D1C4C74"/>
    <w:rsid w:val="1D4666F2"/>
    <w:rsid w:val="1DED3012"/>
    <w:rsid w:val="1DFB74DD"/>
    <w:rsid w:val="1E02178A"/>
    <w:rsid w:val="1E3B5065"/>
    <w:rsid w:val="1E3B5B2B"/>
    <w:rsid w:val="1E491296"/>
    <w:rsid w:val="1E504393"/>
    <w:rsid w:val="1E5D49E3"/>
    <w:rsid w:val="1E6432D4"/>
    <w:rsid w:val="1E9F430C"/>
    <w:rsid w:val="1EB53B18"/>
    <w:rsid w:val="1EBD4792"/>
    <w:rsid w:val="1EE461C3"/>
    <w:rsid w:val="1F2465AE"/>
    <w:rsid w:val="1F2962CC"/>
    <w:rsid w:val="1F297E9B"/>
    <w:rsid w:val="1F3C3740"/>
    <w:rsid w:val="1F487665"/>
    <w:rsid w:val="1F4E5D32"/>
    <w:rsid w:val="1F683A66"/>
    <w:rsid w:val="1F721A21"/>
    <w:rsid w:val="1F793D64"/>
    <w:rsid w:val="1F82221D"/>
    <w:rsid w:val="1FA6791C"/>
    <w:rsid w:val="1FB65DB1"/>
    <w:rsid w:val="1FDA1374"/>
    <w:rsid w:val="20210F16"/>
    <w:rsid w:val="206770AC"/>
    <w:rsid w:val="208714FC"/>
    <w:rsid w:val="20AD4C4C"/>
    <w:rsid w:val="20B41F4E"/>
    <w:rsid w:val="20B73CE8"/>
    <w:rsid w:val="20CB1F07"/>
    <w:rsid w:val="20E76E0C"/>
    <w:rsid w:val="21244F9D"/>
    <w:rsid w:val="216E1E9C"/>
    <w:rsid w:val="222C2B90"/>
    <w:rsid w:val="22457E73"/>
    <w:rsid w:val="2248233E"/>
    <w:rsid w:val="22592440"/>
    <w:rsid w:val="227D2BB6"/>
    <w:rsid w:val="22881D9F"/>
    <w:rsid w:val="229E3272"/>
    <w:rsid w:val="22E70030"/>
    <w:rsid w:val="22EC3898"/>
    <w:rsid w:val="22F866E1"/>
    <w:rsid w:val="23260E04"/>
    <w:rsid w:val="233953DA"/>
    <w:rsid w:val="234F2844"/>
    <w:rsid w:val="23515DF1"/>
    <w:rsid w:val="237613B4"/>
    <w:rsid w:val="23790749"/>
    <w:rsid w:val="237B4B25"/>
    <w:rsid w:val="2388353B"/>
    <w:rsid w:val="23931F66"/>
    <w:rsid w:val="239A2C36"/>
    <w:rsid w:val="23A208C4"/>
    <w:rsid w:val="23D61A4F"/>
    <w:rsid w:val="24782AD4"/>
    <w:rsid w:val="249C3951"/>
    <w:rsid w:val="249F17D3"/>
    <w:rsid w:val="24A10C0D"/>
    <w:rsid w:val="24C11F9C"/>
    <w:rsid w:val="250C7A19"/>
    <w:rsid w:val="251B6E45"/>
    <w:rsid w:val="251E59E0"/>
    <w:rsid w:val="254479BB"/>
    <w:rsid w:val="254C2D14"/>
    <w:rsid w:val="256D06AE"/>
    <w:rsid w:val="2582242A"/>
    <w:rsid w:val="259077D0"/>
    <w:rsid w:val="25AF7A72"/>
    <w:rsid w:val="25B20381"/>
    <w:rsid w:val="25DB33C1"/>
    <w:rsid w:val="25E42581"/>
    <w:rsid w:val="25F25669"/>
    <w:rsid w:val="260357AC"/>
    <w:rsid w:val="26081331"/>
    <w:rsid w:val="260B6FC2"/>
    <w:rsid w:val="264763B7"/>
    <w:rsid w:val="268B2A3A"/>
    <w:rsid w:val="268B3DAD"/>
    <w:rsid w:val="26A61FB0"/>
    <w:rsid w:val="26B11081"/>
    <w:rsid w:val="26B13700"/>
    <w:rsid w:val="26BE379D"/>
    <w:rsid w:val="26E1530D"/>
    <w:rsid w:val="275131CB"/>
    <w:rsid w:val="27644345"/>
    <w:rsid w:val="277025E4"/>
    <w:rsid w:val="27734537"/>
    <w:rsid w:val="279B1E5B"/>
    <w:rsid w:val="282B4E63"/>
    <w:rsid w:val="282B6C11"/>
    <w:rsid w:val="28541BD2"/>
    <w:rsid w:val="28884FF7"/>
    <w:rsid w:val="28B60B0F"/>
    <w:rsid w:val="28D9041B"/>
    <w:rsid w:val="28E16404"/>
    <w:rsid w:val="28F60FCD"/>
    <w:rsid w:val="290F389D"/>
    <w:rsid w:val="291572CF"/>
    <w:rsid w:val="29181BE3"/>
    <w:rsid w:val="292D3028"/>
    <w:rsid w:val="293033DF"/>
    <w:rsid w:val="293D2CA4"/>
    <w:rsid w:val="293E21D3"/>
    <w:rsid w:val="29567CBD"/>
    <w:rsid w:val="2962542C"/>
    <w:rsid w:val="296F1102"/>
    <w:rsid w:val="29A9794B"/>
    <w:rsid w:val="2A58372E"/>
    <w:rsid w:val="2A7228D5"/>
    <w:rsid w:val="2AD73080"/>
    <w:rsid w:val="2B160E6F"/>
    <w:rsid w:val="2B351DFD"/>
    <w:rsid w:val="2B367172"/>
    <w:rsid w:val="2B394379"/>
    <w:rsid w:val="2B784A6E"/>
    <w:rsid w:val="2B790267"/>
    <w:rsid w:val="2B9A7B07"/>
    <w:rsid w:val="2BAE2033"/>
    <w:rsid w:val="2BB37649"/>
    <w:rsid w:val="2BB82A63"/>
    <w:rsid w:val="2BC730F4"/>
    <w:rsid w:val="2BDE23BD"/>
    <w:rsid w:val="2BE42462"/>
    <w:rsid w:val="2BFA2F81"/>
    <w:rsid w:val="2BFD3113"/>
    <w:rsid w:val="2BFD6B16"/>
    <w:rsid w:val="2C0003B4"/>
    <w:rsid w:val="2C15160E"/>
    <w:rsid w:val="2C3A068B"/>
    <w:rsid w:val="2CA156F3"/>
    <w:rsid w:val="2D236108"/>
    <w:rsid w:val="2D8C0151"/>
    <w:rsid w:val="2D906B09"/>
    <w:rsid w:val="2D9C5EBB"/>
    <w:rsid w:val="2DAC0A59"/>
    <w:rsid w:val="2DCE076A"/>
    <w:rsid w:val="2E9A689E"/>
    <w:rsid w:val="2ED7388A"/>
    <w:rsid w:val="2EDD4BB1"/>
    <w:rsid w:val="2EE212D0"/>
    <w:rsid w:val="2F2729AC"/>
    <w:rsid w:val="2F3C0F4C"/>
    <w:rsid w:val="2F5A6566"/>
    <w:rsid w:val="2FAB20EE"/>
    <w:rsid w:val="2FAD2601"/>
    <w:rsid w:val="2FB82F9F"/>
    <w:rsid w:val="2FE5383E"/>
    <w:rsid w:val="30E67B79"/>
    <w:rsid w:val="313C778B"/>
    <w:rsid w:val="319C13AD"/>
    <w:rsid w:val="31D9592F"/>
    <w:rsid w:val="31E85B72"/>
    <w:rsid w:val="32105FF7"/>
    <w:rsid w:val="321A2D0F"/>
    <w:rsid w:val="322E1126"/>
    <w:rsid w:val="324D664C"/>
    <w:rsid w:val="32504AC8"/>
    <w:rsid w:val="32BE6EB2"/>
    <w:rsid w:val="32C616FD"/>
    <w:rsid w:val="32C7154E"/>
    <w:rsid w:val="32D46E8A"/>
    <w:rsid w:val="3317207A"/>
    <w:rsid w:val="331A6B7B"/>
    <w:rsid w:val="33204F95"/>
    <w:rsid w:val="33396D39"/>
    <w:rsid w:val="33643EF5"/>
    <w:rsid w:val="33D80BF4"/>
    <w:rsid w:val="33E57C5B"/>
    <w:rsid w:val="34124B0B"/>
    <w:rsid w:val="346F60D7"/>
    <w:rsid w:val="348F605A"/>
    <w:rsid w:val="34A357B5"/>
    <w:rsid w:val="34AA1521"/>
    <w:rsid w:val="34B1049E"/>
    <w:rsid w:val="34C22379"/>
    <w:rsid w:val="34EF2E71"/>
    <w:rsid w:val="34F206CA"/>
    <w:rsid w:val="34F51A33"/>
    <w:rsid w:val="35233259"/>
    <w:rsid w:val="357E4769"/>
    <w:rsid w:val="357F67EE"/>
    <w:rsid w:val="358636D8"/>
    <w:rsid w:val="35B20971"/>
    <w:rsid w:val="35F03248"/>
    <w:rsid w:val="361E1B63"/>
    <w:rsid w:val="365D08DD"/>
    <w:rsid w:val="369E2DBA"/>
    <w:rsid w:val="369F27CF"/>
    <w:rsid w:val="36B60605"/>
    <w:rsid w:val="36C73FA8"/>
    <w:rsid w:val="36CF7301"/>
    <w:rsid w:val="36DB3EF8"/>
    <w:rsid w:val="3701395E"/>
    <w:rsid w:val="3727713D"/>
    <w:rsid w:val="375B08FF"/>
    <w:rsid w:val="375C07A8"/>
    <w:rsid w:val="37704A11"/>
    <w:rsid w:val="379538CC"/>
    <w:rsid w:val="379D2F5B"/>
    <w:rsid w:val="37C45ACE"/>
    <w:rsid w:val="37E335F2"/>
    <w:rsid w:val="37E76AA3"/>
    <w:rsid w:val="38125B90"/>
    <w:rsid w:val="3835053A"/>
    <w:rsid w:val="387463B2"/>
    <w:rsid w:val="38BE1535"/>
    <w:rsid w:val="3955406C"/>
    <w:rsid w:val="395A2DA3"/>
    <w:rsid w:val="397A7B42"/>
    <w:rsid w:val="39B4157B"/>
    <w:rsid w:val="39DF785B"/>
    <w:rsid w:val="3A0D43C8"/>
    <w:rsid w:val="3A1A0893"/>
    <w:rsid w:val="3A5C534F"/>
    <w:rsid w:val="3A5E69D2"/>
    <w:rsid w:val="3A60099C"/>
    <w:rsid w:val="3A751F07"/>
    <w:rsid w:val="3A8B1791"/>
    <w:rsid w:val="3AA16B06"/>
    <w:rsid w:val="3AD969A0"/>
    <w:rsid w:val="3ADB5466"/>
    <w:rsid w:val="3B20637D"/>
    <w:rsid w:val="3B2C2F74"/>
    <w:rsid w:val="3B351E28"/>
    <w:rsid w:val="3B78218B"/>
    <w:rsid w:val="3B8B205B"/>
    <w:rsid w:val="3BA174BE"/>
    <w:rsid w:val="3BAE1FDB"/>
    <w:rsid w:val="3BAE3989"/>
    <w:rsid w:val="3BC05FBD"/>
    <w:rsid w:val="3BCC3E0F"/>
    <w:rsid w:val="3BD258C9"/>
    <w:rsid w:val="3BDB4052"/>
    <w:rsid w:val="3C123FA5"/>
    <w:rsid w:val="3C242530"/>
    <w:rsid w:val="3C607CD7"/>
    <w:rsid w:val="3C8B7826"/>
    <w:rsid w:val="3C8D17F0"/>
    <w:rsid w:val="3CA078D1"/>
    <w:rsid w:val="3CCA02B2"/>
    <w:rsid w:val="3CDB255C"/>
    <w:rsid w:val="3CE62383"/>
    <w:rsid w:val="3CEC7A2A"/>
    <w:rsid w:val="3D0433A8"/>
    <w:rsid w:val="3D15699B"/>
    <w:rsid w:val="3D6A66B2"/>
    <w:rsid w:val="3D867B10"/>
    <w:rsid w:val="3DA07301"/>
    <w:rsid w:val="3DA663C4"/>
    <w:rsid w:val="3DBF44D4"/>
    <w:rsid w:val="3DC207FD"/>
    <w:rsid w:val="3DCE35B6"/>
    <w:rsid w:val="3DD136B5"/>
    <w:rsid w:val="3DDA1126"/>
    <w:rsid w:val="3DF14E3C"/>
    <w:rsid w:val="3DFC6C2D"/>
    <w:rsid w:val="3E043D34"/>
    <w:rsid w:val="3E0A3EC6"/>
    <w:rsid w:val="3E0D6740"/>
    <w:rsid w:val="3E256F9E"/>
    <w:rsid w:val="3E2609B2"/>
    <w:rsid w:val="3E371A14"/>
    <w:rsid w:val="3E7F6463"/>
    <w:rsid w:val="3EAF459C"/>
    <w:rsid w:val="3ECB4852"/>
    <w:rsid w:val="3EEB0292"/>
    <w:rsid w:val="3EF142B8"/>
    <w:rsid w:val="3EF313C9"/>
    <w:rsid w:val="3F281B00"/>
    <w:rsid w:val="3F3E0C3D"/>
    <w:rsid w:val="3F4D76DD"/>
    <w:rsid w:val="3F930BE9"/>
    <w:rsid w:val="3F952DC8"/>
    <w:rsid w:val="3FE15005"/>
    <w:rsid w:val="3FE77469"/>
    <w:rsid w:val="400E2C48"/>
    <w:rsid w:val="401B4FB0"/>
    <w:rsid w:val="401C11D4"/>
    <w:rsid w:val="40324B88"/>
    <w:rsid w:val="403D2804"/>
    <w:rsid w:val="40515615"/>
    <w:rsid w:val="40B21825"/>
    <w:rsid w:val="40BE641C"/>
    <w:rsid w:val="40C14BE6"/>
    <w:rsid w:val="40E85E9C"/>
    <w:rsid w:val="41173D7E"/>
    <w:rsid w:val="417778B2"/>
    <w:rsid w:val="419B675D"/>
    <w:rsid w:val="42056C09"/>
    <w:rsid w:val="428D039F"/>
    <w:rsid w:val="42D77BC6"/>
    <w:rsid w:val="42FC0E58"/>
    <w:rsid w:val="431379ED"/>
    <w:rsid w:val="4315253F"/>
    <w:rsid w:val="431B0D9A"/>
    <w:rsid w:val="43210907"/>
    <w:rsid w:val="436C6603"/>
    <w:rsid w:val="437454B8"/>
    <w:rsid w:val="43931A1E"/>
    <w:rsid w:val="43947908"/>
    <w:rsid w:val="43AA0EDA"/>
    <w:rsid w:val="43AC6A00"/>
    <w:rsid w:val="43C833F3"/>
    <w:rsid w:val="43CC2BFE"/>
    <w:rsid w:val="43D25E53"/>
    <w:rsid w:val="440138A0"/>
    <w:rsid w:val="44246EDE"/>
    <w:rsid w:val="44384737"/>
    <w:rsid w:val="44692B43"/>
    <w:rsid w:val="44740E09"/>
    <w:rsid w:val="44983428"/>
    <w:rsid w:val="44C47D79"/>
    <w:rsid w:val="450F07D9"/>
    <w:rsid w:val="451A208F"/>
    <w:rsid w:val="453170D2"/>
    <w:rsid w:val="453E5D7D"/>
    <w:rsid w:val="45464C32"/>
    <w:rsid w:val="45AD2F03"/>
    <w:rsid w:val="45BE2A1A"/>
    <w:rsid w:val="45D60635"/>
    <w:rsid w:val="460B7B64"/>
    <w:rsid w:val="4612476D"/>
    <w:rsid w:val="46276812"/>
    <w:rsid w:val="462F50FB"/>
    <w:rsid w:val="46617E0B"/>
    <w:rsid w:val="4688254A"/>
    <w:rsid w:val="468F5CB4"/>
    <w:rsid w:val="46953618"/>
    <w:rsid w:val="46C027C2"/>
    <w:rsid w:val="46E75FA1"/>
    <w:rsid w:val="474820C5"/>
    <w:rsid w:val="475B13E7"/>
    <w:rsid w:val="476B2262"/>
    <w:rsid w:val="477A7EE5"/>
    <w:rsid w:val="477C5396"/>
    <w:rsid w:val="47DD7AD0"/>
    <w:rsid w:val="47F0715F"/>
    <w:rsid w:val="47F51E94"/>
    <w:rsid w:val="481D611E"/>
    <w:rsid w:val="4851130F"/>
    <w:rsid w:val="485D476D"/>
    <w:rsid w:val="48665BDE"/>
    <w:rsid w:val="48B545A9"/>
    <w:rsid w:val="48B979EC"/>
    <w:rsid w:val="48D34790"/>
    <w:rsid w:val="48F21359"/>
    <w:rsid w:val="4942078A"/>
    <w:rsid w:val="494D6EBA"/>
    <w:rsid w:val="49557B3A"/>
    <w:rsid w:val="498C348F"/>
    <w:rsid w:val="49BA4655"/>
    <w:rsid w:val="49CD757C"/>
    <w:rsid w:val="49DA3B9B"/>
    <w:rsid w:val="49EF5898"/>
    <w:rsid w:val="49FA5FEB"/>
    <w:rsid w:val="4A3C6BE3"/>
    <w:rsid w:val="4A62606A"/>
    <w:rsid w:val="4A6F0787"/>
    <w:rsid w:val="4A7638C4"/>
    <w:rsid w:val="4AA76173"/>
    <w:rsid w:val="4AAE1013"/>
    <w:rsid w:val="4ADE1878"/>
    <w:rsid w:val="4ADE2E23"/>
    <w:rsid w:val="4AE64EED"/>
    <w:rsid w:val="4B380D6F"/>
    <w:rsid w:val="4BA47B1F"/>
    <w:rsid w:val="4BBC29D4"/>
    <w:rsid w:val="4C5145E8"/>
    <w:rsid w:val="4C560DCF"/>
    <w:rsid w:val="4C7503BA"/>
    <w:rsid w:val="4C7A50FE"/>
    <w:rsid w:val="4CA73452"/>
    <w:rsid w:val="4CAC00BD"/>
    <w:rsid w:val="4CBE77A4"/>
    <w:rsid w:val="4CC32763"/>
    <w:rsid w:val="4D0F1621"/>
    <w:rsid w:val="4D24354A"/>
    <w:rsid w:val="4D4E6D7A"/>
    <w:rsid w:val="4D785BA5"/>
    <w:rsid w:val="4DF97234"/>
    <w:rsid w:val="4E437F61"/>
    <w:rsid w:val="4E4C36AA"/>
    <w:rsid w:val="4E4F6531"/>
    <w:rsid w:val="4EB7021F"/>
    <w:rsid w:val="4EC409BC"/>
    <w:rsid w:val="4F005E52"/>
    <w:rsid w:val="4F377967"/>
    <w:rsid w:val="4F411EB6"/>
    <w:rsid w:val="4F42646A"/>
    <w:rsid w:val="4F582EF7"/>
    <w:rsid w:val="4F5F63A7"/>
    <w:rsid w:val="4FBA24A4"/>
    <w:rsid w:val="4FDA6E22"/>
    <w:rsid w:val="4FFD0EF1"/>
    <w:rsid w:val="502F4C40"/>
    <w:rsid w:val="50353716"/>
    <w:rsid w:val="50AC44E3"/>
    <w:rsid w:val="510E3C07"/>
    <w:rsid w:val="5135755A"/>
    <w:rsid w:val="514F12D7"/>
    <w:rsid w:val="51754B1B"/>
    <w:rsid w:val="517B73AD"/>
    <w:rsid w:val="518A5306"/>
    <w:rsid w:val="51986815"/>
    <w:rsid w:val="51A37E3C"/>
    <w:rsid w:val="51B66656"/>
    <w:rsid w:val="51D16F4E"/>
    <w:rsid w:val="51D610EC"/>
    <w:rsid w:val="521045FE"/>
    <w:rsid w:val="52534816"/>
    <w:rsid w:val="52634928"/>
    <w:rsid w:val="52E2243E"/>
    <w:rsid w:val="53117559"/>
    <w:rsid w:val="53277999"/>
    <w:rsid w:val="532F31A9"/>
    <w:rsid w:val="53353269"/>
    <w:rsid w:val="533B7DA0"/>
    <w:rsid w:val="536746F1"/>
    <w:rsid w:val="53764934"/>
    <w:rsid w:val="53A35FB7"/>
    <w:rsid w:val="53B536AF"/>
    <w:rsid w:val="53C80FD0"/>
    <w:rsid w:val="53E30294"/>
    <w:rsid w:val="544B3A05"/>
    <w:rsid w:val="546E385E"/>
    <w:rsid w:val="5472334E"/>
    <w:rsid w:val="54856F9C"/>
    <w:rsid w:val="549269FE"/>
    <w:rsid w:val="54A86D6F"/>
    <w:rsid w:val="550F1330"/>
    <w:rsid w:val="556829A3"/>
    <w:rsid w:val="55782BE6"/>
    <w:rsid w:val="55A86DD0"/>
    <w:rsid w:val="55B415BA"/>
    <w:rsid w:val="55D46448"/>
    <w:rsid w:val="560E3442"/>
    <w:rsid w:val="56111251"/>
    <w:rsid w:val="56193729"/>
    <w:rsid w:val="56252ADC"/>
    <w:rsid w:val="56327239"/>
    <w:rsid w:val="56426E9F"/>
    <w:rsid w:val="564725B8"/>
    <w:rsid w:val="565959E7"/>
    <w:rsid w:val="56652099"/>
    <w:rsid w:val="56680EAC"/>
    <w:rsid w:val="566D353C"/>
    <w:rsid w:val="569B3338"/>
    <w:rsid w:val="56DE5A63"/>
    <w:rsid w:val="56F269C8"/>
    <w:rsid w:val="57095F85"/>
    <w:rsid w:val="576176AA"/>
    <w:rsid w:val="5765355C"/>
    <w:rsid w:val="57690BD0"/>
    <w:rsid w:val="57CA1153"/>
    <w:rsid w:val="58460B49"/>
    <w:rsid w:val="584A495B"/>
    <w:rsid w:val="586675E4"/>
    <w:rsid w:val="58765D26"/>
    <w:rsid w:val="58947716"/>
    <w:rsid w:val="58B66C06"/>
    <w:rsid w:val="58D345D7"/>
    <w:rsid w:val="59152645"/>
    <w:rsid w:val="591F4A55"/>
    <w:rsid w:val="59407EBE"/>
    <w:rsid w:val="59495785"/>
    <w:rsid w:val="59537B91"/>
    <w:rsid w:val="5962393D"/>
    <w:rsid w:val="59816B33"/>
    <w:rsid w:val="599C2C1B"/>
    <w:rsid w:val="59BE5287"/>
    <w:rsid w:val="59BF67D8"/>
    <w:rsid w:val="59BF6E54"/>
    <w:rsid w:val="59C96098"/>
    <w:rsid w:val="59CD22DC"/>
    <w:rsid w:val="5A2F2D66"/>
    <w:rsid w:val="5A4F3AC1"/>
    <w:rsid w:val="5A9467BF"/>
    <w:rsid w:val="5AAE69DB"/>
    <w:rsid w:val="5AC261B4"/>
    <w:rsid w:val="5ACA056B"/>
    <w:rsid w:val="5AEC0684"/>
    <w:rsid w:val="5AF0582F"/>
    <w:rsid w:val="5B1B6AA6"/>
    <w:rsid w:val="5B1E3B5C"/>
    <w:rsid w:val="5B224E28"/>
    <w:rsid w:val="5B9C02BE"/>
    <w:rsid w:val="5BAF7B56"/>
    <w:rsid w:val="5BF611E3"/>
    <w:rsid w:val="5C0E6052"/>
    <w:rsid w:val="5C313AEE"/>
    <w:rsid w:val="5C7D4F86"/>
    <w:rsid w:val="5C86208C"/>
    <w:rsid w:val="5CAC7619"/>
    <w:rsid w:val="5D072AA1"/>
    <w:rsid w:val="5D211242"/>
    <w:rsid w:val="5D2B49E2"/>
    <w:rsid w:val="5D435D1D"/>
    <w:rsid w:val="5D730EDB"/>
    <w:rsid w:val="5D7C18C6"/>
    <w:rsid w:val="5D902A97"/>
    <w:rsid w:val="5D916BB6"/>
    <w:rsid w:val="5DC32E6C"/>
    <w:rsid w:val="5DE3467B"/>
    <w:rsid w:val="5E000678"/>
    <w:rsid w:val="5E2F5EF2"/>
    <w:rsid w:val="5E61439A"/>
    <w:rsid w:val="5E634018"/>
    <w:rsid w:val="5EB639EA"/>
    <w:rsid w:val="5EDD1D0C"/>
    <w:rsid w:val="5EF54CCE"/>
    <w:rsid w:val="5F0537AA"/>
    <w:rsid w:val="5F1267B5"/>
    <w:rsid w:val="5F2B3E04"/>
    <w:rsid w:val="5F4A1A8C"/>
    <w:rsid w:val="5F760F40"/>
    <w:rsid w:val="5F7D58F2"/>
    <w:rsid w:val="5FC42B81"/>
    <w:rsid w:val="5FD9212E"/>
    <w:rsid w:val="5FFF5CB2"/>
    <w:rsid w:val="600532C8"/>
    <w:rsid w:val="60673F83"/>
    <w:rsid w:val="606E1F64"/>
    <w:rsid w:val="60CE0B25"/>
    <w:rsid w:val="61113EEE"/>
    <w:rsid w:val="61555832"/>
    <w:rsid w:val="6194560C"/>
    <w:rsid w:val="619C4100"/>
    <w:rsid w:val="61A30FEA"/>
    <w:rsid w:val="61BE5E24"/>
    <w:rsid w:val="61D5316E"/>
    <w:rsid w:val="61DB6D9C"/>
    <w:rsid w:val="623C3CCB"/>
    <w:rsid w:val="6277131B"/>
    <w:rsid w:val="62894736"/>
    <w:rsid w:val="62A274F4"/>
    <w:rsid w:val="62A72D5C"/>
    <w:rsid w:val="62BE63E3"/>
    <w:rsid w:val="62DC02C2"/>
    <w:rsid w:val="62E679C4"/>
    <w:rsid w:val="632E6FDA"/>
    <w:rsid w:val="6345292E"/>
    <w:rsid w:val="635D5082"/>
    <w:rsid w:val="63964B41"/>
    <w:rsid w:val="63CD05A1"/>
    <w:rsid w:val="6410048D"/>
    <w:rsid w:val="64392A67"/>
    <w:rsid w:val="64421F3D"/>
    <w:rsid w:val="64487C27"/>
    <w:rsid w:val="6449399F"/>
    <w:rsid w:val="647C3D75"/>
    <w:rsid w:val="648570CD"/>
    <w:rsid w:val="64AD03D2"/>
    <w:rsid w:val="64B66E59"/>
    <w:rsid w:val="64CC5E52"/>
    <w:rsid w:val="650F4B9B"/>
    <w:rsid w:val="654E657D"/>
    <w:rsid w:val="658630FD"/>
    <w:rsid w:val="65864EAB"/>
    <w:rsid w:val="65AC2438"/>
    <w:rsid w:val="65B13FDF"/>
    <w:rsid w:val="65B768E4"/>
    <w:rsid w:val="65BF216B"/>
    <w:rsid w:val="65C57872"/>
    <w:rsid w:val="65DA0D53"/>
    <w:rsid w:val="65EF0F14"/>
    <w:rsid w:val="66042274"/>
    <w:rsid w:val="66043DF1"/>
    <w:rsid w:val="6614083B"/>
    <w:rsid w:val="661D46CA"/>
    <w:rsid w:val="667B0788"/>
    <w:rsid w:val="66887A48"/>
    <w:rsid w:val="669F48C5"/>
    <w:rsid w:val="66B94E0C"/>
    <w:rsid w:val="66BB1AFB"/>
    <w:rsid w:val="66C8643E"/>
    <w:rsid w:val="66CA0DC7"/>
    <w:rsid w:val="66F0707E"/>
    <w:rsid w:val="66F127F8"/>
    <w:rsid w:val="66F20D2E"/>
    <w:rsid w:val="66F95B50"/>
    <w:rsid w:val="673D6A15"/>
    <w:rsid w:val="67960780"/>
    <w:rsid w:val="67BB2DBB"/>
    <w:rsid w:val="681B0B00"/>
    <w:rsid w:val="682E5386"/>
    <w:rsid w:val="683F57E5"/>
    <w:rsid w:val="68415A7C"/>
    <w:rsid w:val="688D47A2"/>
    <w:rsid w:val="68AF4719"/>
    <w:rsid w:val="68CD623B"/>
    <w:rsid w:val="68FD36D6"/>
    <w:rsid w:val="6908207B"/>
    <w:rsid w:val="694D7A8E"/>
    <w:rsid w:val="69562DE6"/>
    <w:rsid w:val="696012B6"/>
    <w:rsid w:val="69642093"/>
    <w:rsid w:val="6985191D"/>
    <w:rsid w:val="69BD2E65"/>
    <w:rsid w:val="69CA6B08"/>
    <w:rsid w:val="69E95A08"/>
    <w:rsid w:val="6A042666"/>
    <w:rsid w:val="6A9736F0"/>
    <w:rsid w:val="6AB26742"/>
    <w:rsid w:val="6ACF714E"/>
    <w:rsid w:val="6AF97ECD"/>
    <w:rsid w:val="6B680BAF"/>
    <w:rsid w:val="6B6C68F1"/>
    <w:rsid w:val="6BA17D14"/>
    <w:rsid w:val="6BCC55E2"/>
    <w:rsid w:val="6BE41292"/>
    <w:rsid w:val="6BF43D6E"/>
    <w:rsid w:val="6C3A781B"/>
    <w:rsid w:val="6C884442"/>
    <w:rsid w:val="6CEA7D28"/>
    <w:rsid w:val="6CF25FA0"/>
    <w:rsid w:val="6CF3094C"/>
    <w:rsid w:val="6CF3436B"/>
    <w:rsid w:val="6D1C04A5"/>
    <w:rsid w:val="6D257FA0"/>
    <w:rsid w:val="6D5B6316"/>
    <w:rsid w:val="6D77157D"/>
    <w:rsid w:val="6D9143ED"/>
    <w:rsid w:val="6DC40A12"/>
    <w:rsid w:val="6DC74A88"/>
    <w:rsid w:val="6DDD7C5D"/>
    <w:rsid w:val="6DEA2117"/>
    <w:rsid w:val="6E003EDB"/>
    <w:rsid w:val="6E026AF3"/>
    <w:rsid w:val="6E113780"/>
    <w:rsid w:val="6E2178BF"/>
    <w:rsid w:val="6E236598"/>
    <w:rsid w:val="6E6C4C84"/>
    <w:rsid w:val="6E8C1058"/>
    <w:rsid w:val="6EBF142E"/>
    <w:rsid w:val="6F02798D"/>
    <w:rsid w:val="6F0F5F11"/>
    <w:rsid w:val="6F120DB6"/>
    <w:rsid w:val="6F2946DA"/>
    <w:rsid w:val="6F550DE0"/>
    <w:rsid w:val="6F694185"/>
    <w:rsid w:val="6FD1766A"/>
    <w:rsid w:val="70294E19"/>
    <w:rsid w:val="707443AD"/>
    <w:rsid w:val="7091168B"/>
    <w:rsid w:val="70990122"/>
    <w:rsid w:val="70C60851"/>
    <w:rsid w:val="70D00980"/>
    <w:rsid w:val="70E51DA8"/>
    <w:rsid w:val="71213150"/>
    <w:rsid w:val="712D267F"/>
    <w:rsid w:val="712F47EA"/>
    <w:rsid w:val="713C6679"/>
    <w:rsid w:val="714802B0"/>
    <w:rsid w:val="71812600"/>
    <w:rsid w:val="71946BA2"/>
    <w:rsid w:val="719C15B2"/>
    <w:rsid w:val="71A843FB"/>
    <w:rsid w:val="71D82792"/>
    <w:rsid w:val="71F94EA8"/>
    <w:rsid w:val="721E450C"/>
    <w:rsid w:val="72514A93"/>
    <w:rsid w:val="7262278F"/>
    <w:rsid w:val="730C2768"/>
    <w:rsid w:val="7329331A"/>
    <w:rsid w:val="732A300A"/>
    <w:rsid w:val="739A5FC5"/>
    <w:rsid w:val="73A429A0"/>
    <w:rsid w:val="73BE1CB4"/>
    <w:rsid w:val="73CC7691"/>
    <w:rsid w:val="73D85A6B"/>
    <w:rsid w:val="740861C7"/>
    <w:rsid w:val="74AE1D28"/>
    <w:rsid w:val="74C2331D"/>
    <w:rsid w:val="74CF1255"/>
    <w:rsid w:val="74E7523A"/>
    <w:rsid w:val="74FB54A4"/>
    <w:rsid w:val="751610E2"/>
    <w:rsid w:val="751A7B05"/>
    <w:rsid w:val="751C63E4"/>
    <w:rsid w:val="75611CC1"/>
    <w:rsid w:val="759233F8"/>
    <w:rsid w:val="75D25EEA"/>
    <w:rsid w:val="75DD731F"/>
    <w:rsid w:val="75FE283B"/>
    <w:rsid w:val="764B039C"/>
    <w:rsid w:val="766641C7"/>
    <w:rsid w:val="766656C3"/>
    <w:rsid w:val="76740D50"/>
    <w:rsid w:val="768014A2"/>
    <w:rsid w:val="768D4B1F"/>
    <w:rsid w:val="76B352F7"/>
    <w:rsid w:val="76B7148E"/>
    <w:rsid w:val="76C22210"/>
    <w:rsid w:val="76CA7E5A"/>
    <w:rsid w:val="77120FDD"/>
    <w:rsid w:val="77214368"/>
    <w:rsid w:val="77490EAB"/>
    <w:rsid w:val="775C2950"/>
    <w:rsid w:val="77610F13"/>
    <w:rsid w:val="776B3787"/>
    <w:rsid w:val="778C37F8"/>
    <w:rsid w:val="77903967"/>
    <w:rsid w:val="779D7E32"/>
    <w:rsid w:val="77B12E34"/>
    <w:rsid w:val="77B32EDF"/>
    <w:rsid w:val="77BF5FFA"/>
    <w:rsid w:val="77CA451A"/>
    <w:rsid w:val="77D46CD2"/>
    <w:rsid w:val="77D83D50"/>
    <w:rsid w:val="77F50340"/>
    <w:rsid w:val="78056103"/>
    <w:rsid w:val="780F6F82"/>
    <w:rsid w:val="781D0CC1"/>
    <w:rsid w:val="7823193A"/>
    <w:rsid w:val="78264F05"/>
    <w:rsid w:val="782E61C7"/>
    <w:rsid w:val="7836235A"/>
    <w:rsid w:val="783B33E4"/>
    <w:rsid w:val="78534B66"/>
    <w:rsid w:val="787B0197"/>
    <w:rsid w:val="787E1A12"/>
    <w:rsid w:val="789467E1"/>
    <w:rsid w:val="78A00DCC"/>
    <w:rsid w:val="78BE10F6"/>
    <w:rsid w:val="78BF6934"/>
    <w:rsid w:val="78C25DA2"/>
    <w:rsid w:val="78D43D28"/>
    <w:rsid w:val="78EE56C6"/>
    <w:rsid w:val="78FD502C"/>
    <w:rsid w:val="792275BE"/>
    <w:rsid w:val="79382508"/>
    <w:rsid w:val="794672BF"/>
    <w:rsid w:val="79532E9E"/>
    <w:rsid w:val="79797086"/>
    <w:rsid w:val="797A5F8B"/>
    <w:rsid w:val="79B42ADE"/>
    <w:rsid w:val="79CA38C6"/>
    <w:rsid w:val="7A3C1D44"/>
    <w:rsid w:val="7A8B158A"/>
    <w:rsid w:val="7AB102CB"/>
    <w:rsid w:val="7ADD5362"/>
    <w:rsid w:val="7AF32002"/>
    <w:rsid w:val="7B1A0118"/>
    <w:rsid w:val="7B2723A2"/>
    <w:rsid w:val="7B62386D"/>
    <w:rsid w:val="7B6E2211"/>
    <w:rsid w:val="7BD217F3"/>
    <w:rsid w:val="7BDC1277"/>
    <w:rsid w:val="7C277454"/>
    <w:rsid w:val="7C594C70"/>
    <w:rsid w:val="7C7C270C"/>
    <w:rsid w:val="7C85264B"/>
    <w:rsid w:val="7CB63E70"/>
    <w:rsid w:val="7CC266CE"/>
    <w:rsid w:val="7CC76395"/>
    <w:rsid w:val="7D00333D"/>
    <w:rsid w:val="7D7A30EF"/>
    <w:rsid w:val="7D906276"/>
    <w:rsid w:val="7D9D293A"/>
    <w:rsid w:val="7DB41364"/>
    <w:rsid w:val="7DC87AA7"/>
    <w:rsid w:val="7DE44A0D"/>
    <w:rsid w:val="7E1E7F1F"/>
    <w:rsid w:val="7E2F667A"/>
    <w:rsid w:val="7E321E60"/>
    <w:rsid w:val="7E347D78"/>
    <w:rsid w:val="7E493D4F"/>
    <w:rsid w:val="7E5356EF"/>
    <w:rsid w:val="7E916B3D"/>
    <w:rsid w:val="7E9B65C0"/>
    <w:rsid w:val="7EA95725"/>
    <w:rsid w:val="7F1205F3"/>
    <w:rsid w:val="7F69341C"/>
    <w:rsid w:val="7F6B3277"/>
    <w:rsid w:val="7F7C3A97"/>
    <w:rsid w:val="7F8F2756"/>
    <w:rsid w:val="7FFA67D9"/>
    <w:rsid w:val="89FFB146"/>
    <w:rsid w:val="AF3DDE11"/>
    <w:rsid w:val="B9FE082A"/>
    <w:rsid w:val="FFBBC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6"/>
    <w:qFormat/>
    <w:uiPriority w:val="0"/>
    <w:pPr>
      <w:spacing w:line="500" w:lineRule="exact"/>
    </w:pPr>
    <w:rPr>
      <w:rFonts w:ascii="宋体"/>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rPr>
      <w:i/>
    </w:rPr>
  </w:style>
  <w:style w:type="character" w:styleId="21">
    <w:name w:val="HTML Variable"/>
    <w:basedOn w:val="17"/>
    <w:qFormat/>
    <w:uiPriority w:val="0"/>
    <w:rPr>
      <w:i/>
    </w:rPr>
  </w:style>
  <w:style w:type="character" w:styleId="22">
    <w:name w:val="Hyperlink"/>
    <w:basedOn w:val="17"/>
    <w:qFormat/>
    <w:uiPriority w:val="0"/>
    <w:rPr>
      <w:color w:val="333333"/>
      <w:u w:val="none"/>
    </w:rPr>
  </w:style>
  <w:style w:type="character" w:styleId="23">
    <w:name w:val="HTML Code"/>
    <w:basedOn w:val="17"/>
    <w:qFormat/>
    <w:uiPriority w:val="0"/>
    <w:rPr>
      <w:rFonts w:ascii="Courier New" w:hAnsi="Courier New"/>
      <w:sz w:val="20"/>
    </w:rPr>
  </w:style>
  <w:style w:type="character" w:styleId="24">
    <w:name w:val="HTML Cite"/>
    <w:basedOn w:val="17"/>
    <w:qFormat/>
    <w:uiPriority w:val="0"/>
    <w:rPr>
      <w:i/>
    </w:rPr>
  </w:style>
  <w:style w:type="paragraph" w:customStyle="1" w:styleId="25">
    <w:name w:val="样式 宋体 行距: 1.5 倍行距"/>
    <w:basedOn w:val="26"/>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27">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8">
    <w:name w:val="NormalCharacter"/>
    <w:qFormat/>
    <w:uiPriority w:val="99"/>
  </w:style>
  <w:style w:type="paragraph" w:customStyle="1" w:styleId="29">
    <w:name w:val="Table Text"/>
    <w:basedOn w:val="1"/>
    <w:semiHidden/>
    <w:qFormat/>
    <w:uiPriority w:val="0"/>
    <w:rPr>
      <w:rFonts w:ascii="Arial" w:hAnsi="Arial" w:eastAsia="Arial" w:cs="Arial"/>
      <w:sz w:val="21"/>
      <w:szCs w:val="21"/>
      <w:lang w:val="en-US" w:eastAsia="en-US" w:bidi="ar-SA"/>
    </w:rPr>
  </w:style>
  <w:style w:type="paragraph" w:customStyle="1" w:styleId="3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缩进1"/>
    <w:basedOn w:val="1"/>
    <w:qFormat/>
    <w:uiPriority w:val="0"/>
    <w:pPr>
      <w:widowControl/>
      <w:ind w:firstLine="420"/>
      <w:jc w:val="left"/>
    </w:pPr>
    <w:rPr>
      <w:kern w:val="0"/>
    </w:rPr>
  </w:style>
  <w:style w:type="paragraph" w:customStyle="1" w:styleId="32">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Heading2"/>
    <w:basedOn w:val="1"/>
    <w:next w:val="1"/>
    <w:qFormat/>
    <w:uiPriority w:val="99"/>
    <w:pPr>
      <w:jc w:val="left"/>
    </w:pPr>
    <w:rPr>
      <w:kern w:val="0"/>
    </w:rPr>
  </w:style>
  <w:style w:type="paragraph" w:customStyle="1" w:styleId="38">
    <w:name w:val="AnnotationText"/>
    <w:basedOn w:val="1"/>
    <w:qFormat/>
    <w:uiPriority w:val="99"/>
    <w:pPr>
      <w:spacing w:line="360" w:lineRule="atLeast"/>
      <w:jc w:val="left"/>
    </w:pPr>
    <w:rPr>
      <w:kern w:val="0"/>
    </w:rPr>
  </w:style>
  <w:style w:type="paragraph" w:customStyle="1" w:styleId="39">
    <w:name w:val="UserStyle_44"/>
    <w:basedOn w:val="40"/>
    <w:qFormat/>
    <w:uiPriority w:val="99"/>
    <w:rPr>
      <w:sz w:val="24"/>
      <w:szCs w:val="24"/>
    </w:rPr>
  </w:style>
  <w:style w:type="paragraph" w:customStyle="1" w:styleId="40">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1">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2">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3">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4">
    <w:name w:val="BodyText"/>
    <w:basedOn w:val="1"/>
    <w:next w:val="45"/>
    <w:qFormat/>
    <w:uiPriority w:val="99"/>
    <w:pPr>
      <w:spacing w:after="120"/>
    </w:pPr>
  </w:style>
  <w:style w:type="paragraph" w:customStyle="1" w:styleId="45">
    <w:name w:val="BodyText2"/>
    <w:basedOn w:val="1"/>
    <w:qFormat/>
    <w:uiPriority w:val="99"/>
    <w:pPr>
      <w:spacing w:line="500" w:lineRule="exact"/>
    </w:pPr>
  </w:style>
  <w:style w:type="paragraph" w:customStyle="1" w:styleId="46">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7">
    <w:name w:val="正文缩进 New"/>
    <w:basedOn w:val="48"/>
    <w:qFormat/>
    <w:uiPriority w:val="0"/>
    <w:pPr>
      <w:widowControl/>
      <w:ind w:firstLine="420"/>
      <w:jc w:val="left"/>
    </w:pPr>
    <w:rPr>
      <w:kern w:val="0"/>
      <w:sz w:val="20"/>
    </w:rPr>
  </w:style>
  <w:style w:type="paragraph" w:customStyle="1" w:styleId="48">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9">
    <w:name w:val="正文文本 (2) + 间距 0 pt3"/>
    <w:basedOn w:val="17"/>
    <w:qFormat/>
    <w:uiPriority w:val="0"/>
    <w:rPr>
      <w:rFonts w:ascii="MingLiU" w:hAnsi="Times New Roman" w:eastAsia="MingLiU" w:cs="MingLiU"/>
      <w:spacing w:val="0"/>
      <w:sz w:val="22"/>
      <w:szCs w:val="22"/>
      <w:u w:val="none"/>
    </w:rPr>
  </w:style>
  <w:style w:type="character" w:customStyle="1" w:styleId="50">
    <w:name w:val="hover21"/>
    <w:basedOn w:val="17"/>
    <w:qFormat/>
    <w:uiPriority w:val="0"/>
    <w:rPr>
      <w:color w:val="5FB878"/>
    </w:rPr>
  </w:style>
  <w:style w:type="character" w:customStyle="1" w:styleId="51">
    <w:name w:val="hover22"/>
    <w:basedOn w:val="17"/>
    <w:qFormat/>
    <w:uiPriority w:val="0"/>
    <w:rPr>
      <w:color w:val="FFFFFF"/>
    </w:rPr>
  </w:style>
  <w:style w:type="character" w:customStyle="1" w:styleId="52">
    <w:name w:val="hover23"/>
    <w:basedOn w:val="17"/>
    <w:qFormat/>
    <w:uiPriority w:val="0"/>
    <w:rPr>
      <w:color w:val="5FB878"/>
    </w:rPr>
  </w:style>
  <w:style w:type="paragraph" w:customStyle="1" w:styleId="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54">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55">
    <w:name w:val="标题 2 New New"/>
    <w:basedOn w:val="56"/>
    <w:next w:val="56"/>
    <w:qFormat/>
    <w:uiPriority w:val="0"/>
    <w:pPr>
      <w:autoSpaceDE w:val="0"/>
      <w:autoSpaceDN w:val="0"/>
      <w:adjustRightInd w:val="0"/>
      <w:jc w:val="left"/>
      <w:outlineLvl w:val="1"/>
    </w:pPr>
    <w:rPr>
      <w:kern w:val="0"/>
    </w:rPr>
  </w:style>
  <w:style w:type="paragraph" w:customStyle="1" w:styleId="56">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7">
    <w:name w:val="普通(网站) New"/>
    <w:basedOn w:val="58"/>
    <w:qFormat/>
    <w:uiPriority w:val="0"/>
    <w:rPr>
      <w:sz w:val="24"/>
    </w:rPr>
  </w:style>
  <w:style w:type="paragraph" w:customStyle="1" w:styleId="5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8.png"/><Relationship Id="rId55" Type="http://schemas.openxmlformats.org/officeDocument/2006/relationships/image" Target="media/image17.jpeg"/><Relationship Id="rId54" Type="http://schemas.openxmlformats.org/officeDocument/2006/relationships/image" Target="media/image16.png"/><Relationship Id="rId53" Type="http://schemas.openxmlformats.org/officeDocument/2006/relationships/image" Target="media/image15.png"/><Relationship Id="rId52" Type="http://schemas.openxmlformats.org/officeDocument/2006/relationships/image" Target="media/image14.wmf"/><Relationship Id="rId51" Type="http://schemas.openxmlformats.org/officeDocument/2006/relationships/oleObject" Target="embeddings/oleObject12.bin"/><Relationship Id="rId50" Type="http://schemas.openxmlformats.org/officeDocument/2006/relationships/image" Target="media/image13.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2.wmf"/><Relationship Id="rId47" Type="http://schemas.openxmlformats.org/officeDocument/2006/relationships/oleObject" Target="embeddings/oleObject10.bin"/><Relationship Id="rId46" Type="http://schemas.openxmlformats.org/officeDocument/2006/relationships/image" Target="media/image11.wmf"/><Relationship Id="rId45" Type="http://schemas.openxmlformats.org/officeDocument/2006/relationships/oleObject" Target="embeddings/oleObject9.bin"/><Relationship Id="rId44" Type="http://schemas.openxmlformats.org/officeDocument/2006/relationships/image" Target="media/image10.wmf"/><Relationship Id="rId43" Type="http://schemas.openxmlformats.org/officeDocument/2006/relationships/oleObject" Target="embeddings/oleObject8.bin"/><Relationship Id="rId42" Type="http://schemas.openxmlformats.org/officeDocument/2006/relationships/image" Target="media/image9.wmf"/><Relationship Id="rId41" Type="http://schemas.openxmlformats.org/officeDocument/2006/relationships/oleObject" Target="embeddings/oleObject7.bin"/><Relationship Id="rId40" Type="http://schemas.openxmlformats.org/officeDocument/2006/relationships/image" Target="media/image8.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7.wmf"/><Relationship Id="rId37" Type="http://schemas.openxmlformats.org/officeDocument/2006/relationships/oleObject" Target="embeddings/oleObject5.bin"/><Relationship Id="rId36" Type="http://schemas.openxmlformats.org/officeDocument/2006/relationships/image" Target="media/image6.wmf"/><Relationship Id="rId35" Type="http://schemas.openxmlformats.org/officeDocument/2006/relationships/oleObject" Target="embeddings/oleObject4.bin"/><Relationship Id="rId34" Type="http://schemas.openxmlformats.org/officeDocument/2006/relationships/image" Target="media/image5.wmf"/><Relationship Id="rId33" Type="http://schemas.openxmlformats.org/officeDocument/2006/relationships/oleObject" Target="embeddings/oleObject3.bin"/><Relationship Id="rId32" Type="http://schemas.openxmlformats.org/officeDocument/2006/relationships/image" Target="media/image4.wmf"/><Relationship Id="rId31" Type="http://schemas.openxmlformats.org/officeDocument/2006/relationships/oleObject" Target="embeddings/oleObject2.bin"/><Relationship Id="rId30" Type="http://schemas.openxmlformats.org/officeDocument/2006/relationships/image" Target="media/image3.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2.png"/><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17967</Words>
  <Characters>19561</Characters>
  <Lines>0</Lines>
  <Paragraphs>0</Paragraphs>
  <TotalTime>0</TotalTime>
  <ScaleCrop>false</ScaleCrop>
  <LinksUpToDate>false</LinksUpToDate>
  <CharactersWithSpaces>20257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2024-09-29T04:36:00Z</dcterms:created>
  <dc:creator>Administrator</dc:creator>
  <cp:lastModifiedBy>wisvhnoiwnvl</cp:lastModifiedBy>
  <cp:lastPrinted>2024-09-30T01:33:00Z</cp:lastPrinted>
  <dcterms:modified xsi:type="dcterms:W3CDTF">2026-04-08T06:59:36Z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B57029E5C83C430AB84131123B4C7A5B_13</vt:lpwstr>
  </property>
  <property fmtid="{D5CDD505-2E9C-101B-9397-08002B2CF9AE}" pid="4" name="KSOTemplateDocerSaveRecord">
    <vt:lpwstr>eyJoZGlkIjoiMjgzYmU5OThlZjM2MDdhYmRjZTMzNjQ0NzZlYTFhMWQiLCJ1c2VySWQiOiIzMzc1OTIyNzgifQ==</vt:lpwstr>
  </property>
</Properties>
</file>