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sz w:val="44"/>
          <w:szCs w:val="44"/>
          <w:highlight w:val="none"/>
        </w:rPr>
        <w:t>广东省乳源瑶族自治县乳城镇益丰矿区建筑用</w:t>
      </w:r>
      <w:r>
        <w:rPr>
          <w:rFonts w:hint="eastAsia" w:ascii="方正小标宋简体" w:hAnsi="方正小标宋简体" w:eastAsia="方正小标宋简体" w:cs="方正小标宋简体"/>
          <w:b w:val="0"/>
          <w:bCs w:val="0"/>
          <w:color w:val="auto"/>
          <w:sz w:val="44"/>
          <w:szCs w:val="44"/>
          <w:highlight w:val="none"/>
        </w:rPr>
        <w:t>灰岩矿采矿权设置与挂牌出让方案</w:t>
      </w:r>
    </w:p>
    <w:p>
      <w:pPr>
        <w:pageBreakBefore w:val="0"/>
        <w:widowControl w:val="0"/>
        <w:kinsoku/>
        <w:wordWrap/>
        <w:overflowPunct/>
        <w:topLinePunct w:val="0"/>
        <w:autoSpaceDE/>
        <w:autoSpaceDN/>
        <w:bidi w:val="0"/>
        <w:adjustRightInd/>
        <w:snapToGrid/>
        <w:textAlignment w:val="auto"/>
        <w:rPr>
          <w:rFonts w:hint="eastAsia"/>
          <w:b w:val="0"/>
          <w:bCs w:val="0"/>
          <w:color w:val="auto"/>
          <w:highlight w:val="none"/>
        </w:rPr>
      </w:pPr>
    </w:p>
    <w:p>
      <w:pPr>
        <w:pageBreakBefore w:val="0"/>
        <w:widowControl w:val="0"/>
        <w:kinsoku/>
        <w:wordWrap/>
        <w:overflowPunct/>
        <w:topLinePunct w:val="0"/>
        <w:autoSpaceDE/>
        <w:autoSpaceDN/>
        <w:bidi w:val="0"/>
        <w:adjustRightInd/>
        <w:snapToGrid/>
        <w:textAlignment w:val="auto"/>
        <w:rPr>
          <w:b w:val="0"/>
          <w:bCs w:val="0"/>
          <w:color w:val="auto"/>
          <w:highlight w:val="none"/>
        </w:rPr>
      </w:pPr>
      <w:r>
        <w:rPr>
          <w:rFonts w:hint="eastAsia"/>
          <w:b w:val="0"/>
          <w:bCs w:val="0"/>
          <w:color w:val="auto"/>
          <w:highlight w:val="none"/>
        </w:rPr>
        <w:t>根据《矿业权出让交易规则》（自然资规〔2023〕1号）、《探矿权采矿权招标拍卖挂牌管理办法（试行）》、《广东省探矿权采矿权招标拍卖挂牌出让管理办法》和《韶关市自然资源局印发关于规范矿业权审批审查工作指引（2023年修订）的通知》等规定，乳源瑶族自治县人民政府拟设置广东省乳源瑶族自治县乳城镇益丰矿区建筑用灰岩矿采矿权，现已完成资源储量核实、开发利用方案编制、采矿权价款评估等工作，拟定了《广东省乳源瑶族自治县乳城镇益丰矿区建筑用灰岩矿采矿权设置与挂牌出让方案》。</w:t>
      </w:r>
    </w:p>
    <w:p>
      <w:pPr>
        <w:pStyle w:val="2"/>
        <w:pageBreakBefore w:val="0"/>
        <w:widowControl w:val="0"/>
        <w:kinsoku/>
        <w:wordWrap/>
        <w:overflowPunct/>
        <w:topLinePunct w:val="0"/>
        <w:autoSpaceDE/>
        <w:autoSpaceDN/>
        <w:bidi w:val="0"/>
        <w:adjustRightInd/>
        <w:snapToGrid/>
        <w:ind w:firstLine="640"/>
        <w:textAlignment w:val="auto"/>
        <w:rPr>
          <w:b w:val="0"/>
          <w:bCs w:val="0"/>
          <w:color w:val="auto"/>
          <w:highlight w:val="none"/>
        </w:rPr>
      </w:pPr>
      <w:r>
        <w:rPr>
          <w:rFonts w:hint="eastAsia"/>
          <w:b w:val="0"/>
          <w:bCs w:val="0"/>
          <w:color w:val="auto"/>
          <w:highlight w:val="none"/>
        </w:rPr>
        <w:t>一、采矿权基本情况</w:t>
      </w:r>
    </w:p>
    <w:p>
      <w:pPr>
        <w:pageBreakBefore w:val="0"/>
        <w:widowControl w:val="0"/>
        <w:kinsoku/>
        <w:wordWrap/>
        <w:overflowPunct/>
        <w:topLinePunct w:val="0"/>
        <w:autoSpaceDE/>
        <w:autoSpaceDN/>
        <w:bidi w:val="0"/>
        <w:adjustRightInd/>
        <w:snapToGrid/>
        <w:textAlignment w:val="auto"/>
        <w:rPr>
          <w:b w:val="0"/>
          <w:bCs w:val="0"/>
          <w:color w:val="auto"/>
          <w:highlight w:val="none"/>
        </w:rPr>
      </w:pPr>
      <w:r>
        <w:rPr>
          <w:rStyle w:val="14"/>
          <w:rFonts w:hint="eastAsia"/>
          <w:b w:val="0"/>
          <w:bCs w:val="0"/>
          <w:color w:val="auto"/>
          <w:highlight w:val="none"/>
        </w:rPr>
        <w:t>（一）项目名称：</w:t>
      </w:r>
      <w:r>
        <w:rPr>
          <w:rFonts w:hint="eastAsia"/>
          <w:b w:val="0"/>
          <w:bCs w:val="0"/>
          <w:color w:val="auto"/>
          <w:highlight w:val="none"/>
        </w:rPr>
        <w:t>广东省乳源瑶族自治县乳城镇益丰矿区建筑用灰岩矿采矿权。</w:t>
      </w:r>
    </w:p>
    <w:p>
      <w:pPr>
        <w:pageBreakBefore w:val="0"/>
        <w:widowControl w:val="0"/>
        <w:kinsoku/>
        <w:wordWrap/>
        <w:overflowPunct/>
        <w:topLinePunct w:val="0"/>
        <w:autoSpaceDE/>
        <w:autoSpaceDN/>
        <w:bidi w:val="0"/>
        <w:adjustRightInd/>
        <w:snapToGrid/>
        <w:textAlignment w:val="auto"/>
        <w:rPr>
          <w:b w:val="0"/>
          <w:bCs w:val="0"/>
          <w:color w:val="auto"/>
          <w:highlight w:val="none"/>
        </w:rPr>
      </w:pPr>
      <w:r>
        <w:rPr>
          <w:rStyle w:val="14"/>
          <w:rFonts w:hint="eastAsia"/>
          <w:b w:val="0"/>
          <w:bCs w:val="0"/>
          <w:color w:val="auto"/>
          <w:highlight w:val="none"/>
        </w:rPr>
        <w:t>（二）地理位置：</w:t>
      </w:r>
      <w:r>
        <w:rPr>
          <w:rStyle w:val="14"/>
          <w:rFonts w:hint="eastAsia" w:ascii="仿宋_GB2312" w:hAnsi="仿宋_GB2312" w:eastAsia="仿宋_GB2312" w:cs="仿宋_GB2312"/>
          <w:b w:val="0"/>
          <w:bCs w:val="0"/>
          <w:color w:val="auto"/>
          <w:highlight w:val="none"/>
        </w:rPr>
        <w:t>韶关市</w:t>
      </w:r>
      <w:r>
        <w:rPr>
          <w:rFonts w:hint="eastAsia"/>
          <w:b w:val="0"/>
          <w:bCs w:val="0"/>
          <w:color w:val="auto"/>
          <w:highlight w:val="none"/>
        </w:rPr>
        <w:t>乳源瑶族自治县乳城镇，矿区中心点地理坐标为：东经：113°20′07″，北纬：24°47′10″。</w:t>
      </w:r>
    </w:p>
    <w:p>
      <w:pPr>
        <w:pageBreakBefore w:val="0"/>
        <w:widowControl w:val="0"/>
        <w:kinsoku/>
        <w:wordWrap/>
        <w:overflowPunct/>
        <w:topLinePunct w:val="0"/>
        <w:autoSpaceDE/>
        <w:autoSpaceDN/>
        <w:bidi w:val="0"/>
        <w:adjustRightInd/>
        <w:snapToGrid/>
        <w:textAlignment w:val="auto"/>
        <w:rPr>
          <w:b w:val="0"/>
          <w:bCs w:val="0"/>
          <w:color w:val="auto"/>
          <w:highlight w:val="none"/>
        </w:rPr>
      </w:pPr>
      <w:r>
        <w:rPr>
          <w:rStyle w:val="14"/>
          <w:rFonts w:hint="eastAsia"/>
          <w:b w:val="0"/>
          <w:bCs w:val="0"/>
          <w:color w:val="auto"/>
          <w:highlight w:val="none"/>
        </w:rPr>
        <w:t>（三）矿区范围及面积：</w:t>
      </w:r>
      <w:r>
        <w:rPr>
          <w:rStyle w:val="12"/>
          <w:rFonts w:hint="eastAsia"/>
          <w:b w:val="0"/>
          <w:bCs w:val="0"/>
          <w:color w:val="auto"/>
          <w:highlight w:val="none"/>
        </w:rPr>
        <w:t>面积</w:t>
      </w:r>
      <w:r>
        <w:rPr>
          <w:rFonts w:hint="eastAsia"/>
          <w:b w:val="0"/>
          <w:bCs w:val="0"/>
          <w:color w:val="auto"/>
          <w:highlight w:val="none"/>
        </w:rPr>
        <w:t>0.102平方公里(约153亩)，矿区范围由6个拐点圈限，坐标如下（2000国家大地坐标系）:</w:t>
      </w:r>
    </w:p>
    <w:tbl>
      <w:tblPr>
        <w:tblStyle w:val="11"/>
        <w:tblW w:w="8522" w:type="dxa"/>
        <w:jc w:val="center"/>
        <w:tblLayout w:type="fixed"/>
        <w:tblCellMar>
          <w:top w:w="0" w:type="dxa"/>
          <w:left w:w="108" w:type="dxa"/>
          <w:bottom w:w="0" w:type="dxa"/>
          <w:right w:w="108" w:type="dxa"/>
        </w:tblCellMar>
      </w:tblPr>
      <w:tblGrid>
        <w:gridCol w:w="1816"/>
        <w:gridCol w:w="3065"/>
        <w:gridCol w:w="3641"/>
      </w:tblGrid>
      <w:tr>
        <w:tblPrEx>
          <w:tblCellMar>
            <w:top w:w="0" w:type="dxa"/>
            <w:left w:w="108" w:type="dxa"/>
            <w:bottom w:w="0" w:type="dxa"/>
            <w:right w:w="108" w:type="dxa"/>
          </w:tblCellMar>
        </w:tblPrEx>
        <w:trPr>
          <w:trHeight w:val="775" w:hRule="exact"/>
          <w:jc w:val="center"/>
        </w:trPr>
        <w:tc>
          <w:tcPr>
            <w:tcW w:w="1816" w:type="dxa"/>
            <w:tcBorders>
              <w:top w:val="single" w:color="000000" w:sz="4" w:space="0"/>
              <w:left w:val="single" w:color="000000" w:sz="4" w:space="0"/>
              <w:bottom w:val="single" w:color="000000" w:sz="4" w:space="0"/>
              <w:right w:val="single" w:color="000000" w:sz="4" w:space="0"/>
            </w:tcBorders>
            <w:vAlign w:val="center"/>
          </w:tcPr>
          <w:p>
            <w:pPr>
              <w:pStyle w:val="16"/>
              <w:pageBreakBefore w:val="0"/>
              <w:widowControl w:val="0"/>
              <w:kinsoku/>
              <w:wordWrap/>
              <w:overflowPunct/>
              <w:topLinePunct w:val="0"/>
              <w:autoSpaceDE/>
              <w:autoSpaceDN/>
              <w:bidi w:val="0"/>
              <w:adjustRightInd/>
              <w:snapToGrid/>
              <w:ind w:firstLine="0" w:firstLineChars="0"/>
              <w:jc w:val="center"/>
              <w:rPr>
                <w:b w:val="0"/>
                <w:bCs w:val="0"/>
                <w:color w:val="auto"/>
                <w:sz w:val="28"/>
                <w:szCs w:val="28"/>
                <w:highlight w:val="none"/>
              </w:rPr>
            </w:pPr>
            <w:r>
              <w:rPr>
                <w:rFonts w:hint="eastAsia"/>
                <w:b w:val="0"/>
                <w:bCs w:val="0"/>
                <w:color w:val="auto"/>
                <w:sz w:val="28"/>
                <w:szCs w:val="28"/>
                <w:highlight w:val="none"/>
              </w:rPr>
              <w:t>拐点坐标</w:t>
            </w:r>
          </w:p>
        </w:tc>
        <w:tc>
          <w:tcPr>
            <w:tcW w:w="3065" w:type="dxa"/>
            <w:tcBorders>
              <w:top w:val="single" w:color="000000" w:sz="4" w:space="0"/>
              <w:left w:val="nil"/>
              <w:bottom w:val="single" w:color="000000" w:sz="4" w:space="0"/>
              <w:right w:val="single" w:color="000000" w:sz="4" w:space="0"/>
            </w:tcBorders>
            <w:vAlign w:val="center"/>
          </w:tcPr>
          <w:p>
            <w:pPr>
              <w:pStyle w:val="16"/>
              <w:pageBreakBefore w:val="0"/>
              <w:widowControl w:val="0"/>
              <w:kinsoku/>
              <w:wordWrap/>
              <w:overflowPunct/>
              <w:topLinePunct w:val="0"/>
              <w:autoSpaceDE/>
              <w:autoSpaceDN/>
              <w:bidi w:val="0"/>
              <w:adjustRightInd/>
              <w:snapToGrid/>
              <w:ind w:firstLine="0" w:firstLineChars="0"/>
              <w:jc w:val="center"/>
              <w:textAlignment w:val="center"/>
              <w:rPr>
                <w:b w:val="0"/>
                <w:bCs w:val="0"/>
                <w:color w:val="auto"/>
                <w:sz w:val="28"/>
                <w:szCs w:val="28"/>
                <w:highlight w:val="none"/>
              </w:rPr>
            </w:pPr>
            <w:r>
              <w:rPr>
                <w:rFonts w:hint="eastAsia"/>
                <w:b w:val="0"/>
                <w:bCs w:val="0"/>
                <w:color w:val="auto"/>
                <w:sz w:val="28"/>
                <w:szCs w:val="28"/>
                <w:highlight w:val="none"/>
              </w:rPr>
              <w:t>X</w:t>
            </w:r>
          </w:p>
        </w:tc>
        <w:tc>
          <w:tcPr>
            <w:tcW w:w="3641" w:type="dxa"/>
            <w:tcBorders>
              <w:top w:val="single" w:color="000000" w:sz="4" w:space="0"/>
              <w:left w:val="nil"/>
              <w:bottom w:val="single" w:color="000000" w:sz="4" w:space="0"/>
              <w:right w:val="single" w:color="000000" w:sz="4" w:space="0"/>
            </w:tcBorders>
            <w:vAlign w:val="center"/>
          </w:tcPr>
          <w:p>
            <w:pPr>
              <w:pStyle w:val="16"/>
              <w:pageBreakBefore w:val="0"/>
              <w:widowControl w:val="0"/>
              <w:kinsoku/>
              <w:wordWrap/>
              <w:overflowPunct/>
              <w:topLinePunct w:val="0"/>
              <w:autoSpaceDE/>
              <w:autoSpaceDN/>
              <w:bidi w:val="0"/>
              <w:adjustRightInd/>
              <w:snapToGrid/>
              <w:ind w:firstLine="0" w:firstLineChars="0"/>
              <w:jc w:val="center"/>
              <w:textAlignment w:val="center"/>
              <w:rPr>
                <w:b w:val="0"/>
                <w:bCs w:val="0"/>
                <w:color w:val="auto"/>
                <w:sz w:val="28"/>
                <w:szCs w:val="28"/>
                <w:highlight w:val="none"/>
              </w:rPr>
            </w:pPr>
            <w:r>
              <w:rPr>
                <w:rFonts w:hint="eastAsia"/>
                <w:b w:val="0"/>
                <w:bCs w:val="0"/>
                <w:color w:val="auto"/>
                <w:sz w:val="28"/>
                <w:szCs w:val="28"/>
                <w:highlight w:val="none"/>
              </w:rPr>
              <w:t>Y</w:t>
            </w:r>
          </w:p>
        </w:tc>
      </w:tr>
      <w:tr>
        <w:tblPrEx>
          <w:tblCellMar>
            <w:top w:w="0" w:type="dxa"/>
            <w:left w:w="108" w:type="dxa"/>
            <w:bottom w:w="0" w:type="dxa"/>
            <w:right w:w="108" w:type="dxa"/>
          </w:tblCellMar>
        </w:tblPrEx>
        <w:trPr>
          <w:trHeight w:val="680" w:hRule="exact"/>
          <w:jc w:val="center"/>
        </w:trPr>
        <w:tc>
          <w:tcPr>
            <w:tcW w:w="1816" w:type="dxa"/>
            <w:tcBorders>
              <w:top w:val="single" w:color="000000" w:sz="4" w:space="0"/>
              <w:left w:val="single" w:color="000000" w:sz="4" w:space="0"/>
              <w:bottom w:val="single" w:color="000000" w:sz="4" w:space="0"/>
              <w:right w:val="single" w:color="000000" w:sz="4" w:space="0"/>
            </w:tcBorders>
            <w:vAlign w:val="center"/>
          </w:tcPr>
          <w:p>
            <w:pPr>
              <w:pStyle w:val="16"/>
              <w:pageBreakBefore w:val="0"/>
              <w:widowControl w:val="0"/>
              <w:kinsoku/>
              <w:wordWrap/>
              <w:overflowPunct/>
              <w:topLinePunct w:val="0"/>
              <w:autoSpaceDE/>
              <w:autoSpaceDN/>
              <w:bidi w:val="0"/>
              <w:adjustRightInd/>
              <w:snapToGrid/>
              <w:ind w:firstLine="0" w:firstLineChars="0"/>
              <w:jc w:val="center"/>
              <w:textAlignment w:val="center"/>
              <w:rPr>
                <w:b w:val="0"/>
                <w:bCs w:val="0"/>
                <w:color w:val="auto"/>
                <w:sz w:val="28"/>
                <w:szCs w:val="28"/>
                <w:highlight w:val="none"/>
              </w:rPr>
            </w:pPr>
            <w:r>
              <w:rPr>
                <w:rFonts w:hint="eastAsia"/>
                <w:b w:val="0"/>
                <w:bCs w:val="0"/>
                <w:color w:val="auto"/>
                <w:sz w:val="28"/>
                <w:szCs w:val="28"/>
                <w:highlight w:val="none"/>
              </w:rPr>
              <w:t>1</w:t>
            </w:r>
          </w:p>
        </w:tc>
        <w:tc>
          <w:tcPr>
            <w:tcW w:w="3065" w:type="dxa"/>
            <w:tcBorders>
              <w:top w:val="single" w:color="000000" w:sz="4" w:space="0"/>
              <w:left w:val="nil"/>
              <w:bottom w:val="single" w:color="000000" w:sz="4" w:space="0"/>
              <w:right w:val="single" w:color="000000" w:sz="4" w:space="0"/>
            </w:tcBorders>
            <w:vAlign w:val="center"/>
          </w:tcPr>
          <w:p>
            <w:pPr>
              <w:pageBreakBefore w:val="0"/>
              <w:widowControl w:val="0"/>
              <w:kinsoku/>
              <w:wordWrap/>
              <w:overflowPunct/>
              <w:topLinePunct w:val="0"/>
              <w:autoSpaceDE/>
              <w:autoSpaceDN/>
              <w:bidi w:val="0"/>
              <w:adjustRightInd/>
              <w:snapToGrid/>
              <w:ind w:firstLine="0" w:firstLineChars="0"/>
              <w:jc w:val="center"/>
              <w:rPr>
                <w:b w:val="0"/>
                <w:bCs w:val="0"/>
                <w:color w:val="auto"/>
                <w:sz w:val="28"/>
                <w:szCs w:val="28"/>
                <w:highlight w:val="none"/>
              </w:rPr>
            </w:pPr>
            <w:r>
              <w:rPr>
                <w:rFonts w:hint="eastAsia"/>
                <w:b w:val="0"/>
                <w:bCs w:val="0"/>
                <w:color w:val="auto"/>
                <w:sz w:val="28"/>
                <w:szCs w:val="28"/>
                <w:highlight w:val="none"/>
              </w:rPr>
              <w:t>2743017.46</w:t>
            </w:r>
          </w:p>
        </w:tc>
        <w:tc>
          <w:tcPr>
            <w:tcW w:w="3641" w:type="dxa"/>
            <w:tcBorders>
              <w:top w:val="single" w:color="000000" w:sz="4" w:space="0"/>
              <w:left w:val="nil"/>
              <w:bottom w:val="single" w:color="000000" w:sz="4" w:space="0"/>
              <w:right w:val="single" w:color="000000" w:sz="4" w:space="0"/>
            </w:tcBorders>
            <w:vAlign w:val="center"/>
          </w:tcPr>
          <w:p>
            <w:pPr>
              <w:pageBreakBefore w:val="0"/>
              <w:widowControl w:val="0"/>
              <w:kinsoku/>
              <w:wordWrap/>
              <w:overflowPunct/>
              <w:topLinePunct w:val="0"/>
              <w:autoSpaceDE/>
              <w:autoSpaceDN/>
              <w:bidi w:val="0"/>
              <w:adjustRightInd/>
              <w:snapToGrid/>
              <w:ind w:firstLine="0" w:firstLineChars="0"/>
              <w:jc w:val="center"/>
              <w:rPr>
                <w:b w:val="0"/>
                <w:bCs w:val="0"/>
                <w:color w:val="auto"/>
                <w:sz w:val="28"/>
                <w:szCs w:val="28"/>
                <w:highlight w:val="none"/>
              </w:rPr>
            </w:pPr>
            <w:r>
              <w:rPr>
                <w:rFonts w:hint="eastAsia"/>
                <w:b w:val="0"/>
                <w:bCs w:val="0"/>
                <w:color w:val="auto"/>
                <w:sz w:val="28"/>
                <w:szCs w:val="28"/>
                <w:highlight w:val="none"/>
              </w:rPr>
              <w:t>38432148.36</w:t>
            </w:r>
          </w:p>
        </w:tc>
      </w:tr>
      <w:tr>
        <w:tblPrEx>
          <w:tblCellMar>
            <w:top w:w="0" w:type="dxa"/>
            <w:left w:w="108" w:type="dxa"/>
            <w:bottom w:w="0" w:type="dxa"/>
            <w:right w:w="108" w:type="dxa"/>
          </w:tblCellMar>
        </w:tblPrEx>
        <w:trPr>
          <w:trHeight w:val="680" w:hRule="exact"/>
          <w:jc w:val="center"/>
        </w:trPr>
        <w:tc>
          <w:tcPr>
            <w:tcW w:w="1816" w:type="dxa"/>
            <w:tcBorders>
              <w:top w:val="single" w:color="000000" w:sz="4" w:space="0"/>
              <w:left w:val="single" w:color="000000" w:sz="4" w:space="0"/>
              <w:bottom w:val="single" w:color="000000" w:sz="4" w:space="0"/>
              <w:right w:val="single" w:color="000000" w:sz="4" w:space="0"/>
            </w:tcBorders>
            <w:vAlign w:val="center"/>
          </w:tcPr>
          <w:p>
            <w:pPr>
              <w:pStyle w:val="16"/>
              <w:pageBreakBefore w:val="0"/>
              <w:widowControl w:val="0"/>
              <w:kinsoku/>
              <w:wordWrap/>
              <w:overflowPunct/>
              <w:topLinePunct w:val="0"/>
              <w:autoSpaceDE/>
              <w:autoSpaceDN/>
              <w:bidi w:val="0"/>
              <w:adjustRightInd/>
              <w:snapToGrid/>
              <w:ind w:firstLine="0" w:firstLineChars="0"/>
              <w:jc w:val="center"/>
              <w:textAlignment w:val="center"/>
              <w:rPr>
                <w:b w:val="0"/>
                <w:bCs w:val="0"/>
                <w:color w:val="auto"/>
                <w:sz w:val="28"/>
                <w:szCs w:val="28"/>
                <w:highlight w:val="none"/>
              </w:rPr>
            </w:pPr>
            <w:r>
              <w:rPr>
                <w:rFonts w:hint="eastAsia"/>
                <w:b w:val="0"/>
                <w:bCs w:val="0"/>
                <w:color w:val="auto"/>
                <w:sz w:val="28"/>
                <w:szCs w:val="28"/>
                <w:highlight w:val="none"/>
              </w:rPr>
              <w:t>2</w:t>
            </w:r>
          </w:p>
        </w:tc>
        <w:tc>
          <w:tcPr>
            <w:tcW w:w="3065" w:type="dxa"/>
            <w:tcBorders>
              <w:top w:val="single" w:color="000000" w:sz="4" w:space="0"/>
              <w:left w:val="nil"/>
              <w:bottom w:val="single" w:color="000000" w:sz="4" w:space="0"/>
              <w:right w:val="single" w:color="000000" w:sz="4" w:space="0"/>
            </w:tcBorders>
            <w:vAlign w:val="center"/>
          </w:tcPr>
          <w:p>
            <w:pPr>
              <w:pageBreakBefore w:val="0"/>
              <w:widowControl w:val="0"/>
              <w:kinsoku/>
              <w:wordWrap/>
              <w:overflowPunct/>
              <w:topLinePunct w:val="0"/>
              <w:autoSpaceDE/>
              <w:autoSpaceDN/>
              <w:bidi w:val="0"/>
              <w:adjustRightInd/>
              <w:snapToGrid/>
              <w:ind w:firstLine="0" w:firstLineChars="0"/>
              <w:jc w:val="center"/>
              <w:rPr>
                <w:b w:val="0"/>
                <w:bCs w:val="0"/>
                <w:color w:val="auto"/>
                <w:sz w:val="28"/>
                <w:szCs w:val="28"/>
                <w:highlight w:val="none"/>
              </w:rPr>
            </w:pPr>
            <w:r>
              <w:rPr>
                <w:rFonts w:hint="eastAsia"/>
                <w:b w:val="0"/>
                <w:bCs w:val="0"/>
                <w:color w:val="auto"/>
                <w:sz w:val="28"/>
                <w:szCs w:val="28"/>
                <w:highlight w:val="none"/>
              </w:rPr>
              <w:t>2742726.32</w:t>
            </w:r>
          </w:p>
        </w:tc>
        <w:tc>
          <w:tcPr>
            <w:tcW w:w="3641" w:type="dxa"/>
            <w:tcBorders>
              <w:top w:val="single" w:color="000000" w:sz="4" w:space="0"/>
              <w:left w:val="nil"/>
              <w:bottom w:val="single" w:color="000000" w:sz="4" w:space="0"/>
              <w:right w:val="single" w:color="000000" w:sz="4" w:space="0"/>
            </w:tcBorders>
            <w:vAlign w:val="center"/>
          </w:tcPr>
          <w:p>
            <w:pPr>
              <w:pageBreakBefore w:val="0"/>
              <w:widowControl w:val="0"/>
              <w:kinsoku/>
              <w:wordWrap/>
              <w:overflowPunct/>
              <w:topLinePunct w:val="0"/>
              <w:autoSpaceDE/>
              <w:autoSpaceDN/>
              <w:bidi w:val="0"/>
              <w:adjustRightInd/>
              <w:snapToGrid/>
              <w:ind w:firstLine="0" w:firstLineChars="0"/>
              <w:jc w:val="center"/>
              <w:rPr>
                <w:b w:val="0"/>
                <w:bCs w:val="0"/>
                <w:color w:val="auto"/>
                <w:sz w:val="28"/>
                <w:szCs w:val="28"/>
                <w:highlight w:val="none"/>
              </w:rPr>
            </w:pPr>
            <w:r>
              <w:rPr>
                <w:rFonts w:hint="eastAsia"/>
                <w:b w:val="0"/>
                <w:bCs w:val="0"/>
                <w:color w:val="auto"/>
                <w:sz w:val="28"/>
                <w:szCs w:val="28"/>
                <w:highlight w:val="none"/>
              </w:rPr>
              <w:t>38432406.65</w:t>
            </w:r>
          </w:p>
        </w:tc>
      </w:tr>
      <w:tr>
        <w:tblPrEx>
          <w:tblCellMar>
            <w:top w:w="0" w:type="dxa"/>
            <w:left w:w="108" w:type="dxa"/>
            <w:bottom w:w="0" w:type="dxa"/>
            <w:right w:w="108" w:type="dxa"/>
          </w:tblCellMar>
        </w:tblPrEx>
        <w:trPr>
          <w:trHeight w:val="680" w:hRule="exact"/>
          <w:jc w:val="center"/>
        </w:trPr>
        <w:tc>
          <w:tcPr>
            <w:tcW w:w="1816" w:type="dxa"/>
            <w:tcBorders>
              <w:top w:val="single" w:color="000000" w:sz="4" w:space="0"/>
              <w:left w:val="single" w:color="000000" w:sz="4" w:space="0"/>
              <w:bottom w:val="single" w:color="000000" w:sz="4" w:space="0"/>
              <w:right w:val="single" w:color="000000" w:sz="4" w:space="0"/>
            </w:tcBorders>
            <w:vAlign w:val="center"/>
          </w:tcPr>
          <w:p>
            <w:pPr>
              <w:pStyle w:val="16"/>
              <w:pageBreakBefore w:val="0"/>
              <w:widowControl w:val="0"/>
              <w:kinsoku/>
              <w:wordWrap/>
              <w:overflowPunct/>
              <w:topLinePunct w:val="0"/>
              <w:autoSpaceDE/>
              <w:autoSpaceDN/>
              <w:bidi w:val="0"/>
              <w:adjustRightInd/>
              <w:snapToGrid/>
              <w:ind w:firstLine="0" w:firstLineChars="0"/>
              <w:jc w:val="center"/>
              <w:textAlignment w:val="center"/>
              <w:rPr>
                <w:b w:val="0"/>
                <w:bCs w:val="0"/>
                <w:color w:val="auto"/>
                <w:sz w:val="28"/>
                <w:szCs w:val="28"/>
                <w:highlight w:val="none"/>
              </w:rPr>
            </w:pPr>
            <w:r>
              <w:rPr>
                <w:rFonts w:hint="eastAsia"/>
                <w:b w:val="0"/>
                <w:bCs w:val="0"/>
                <w:color w:val="auto"/>
                <w:sz w:val="28"/>
                <w:szCs w:val="28"/>
                <w:highlight w:val="none"/>
              </w:rPr>
              <w:t>3</w:t>
            </w:r>
          </w:p>
        </w:tc>
        <w:tc>
          <w:tcPr>
            <w:tcW w:w="3065" w:type="dxa"/>
            <w:tcBorders>
              <w:top w:val="single" w:color="000000" w:sz="4" w:space="0"/>
              <w:left w:val="nil"/>
              <w:bottom w:val="single" w:color="000000" w:sz="4" w:space="0"/>
              <w:right w:val="single" w:color="000000" w:sz="4" w:space="0"/>
            </w:tcBorders>
            <w:vAlign w:val="center"/>
          </w:tcPr>
          <w:p>
            <w:pPr>
              <w:pageBreakBefore w:val="0"/>
              <w:widowControl w:val="0"/>
              <w:kinsoku/>
              <w:wordWrap/>
              <w:overflowPunct/>
              <w:topLinePunct w:val="0"/>
              <w:autoSpaceDE/>
              <w:autoSpaceDN/>
              <w:bidi w:val="0"/>
              <w:adjustRightInd/>
              <w:snapToGrid/>
              <w:ind w:firstLine="0" w:firstLineChars="0"/>
              <w:jc w:val="center"/>
              <w:rPr>
                <w:b w:val="0"/>
                <w:bCs w:val="0"/>
                <w:color w:val="auto"/>
                <w:sz w:val="28"/>
                <w:szCs w:val="28"/>
                <w:highlight w:val="none"/>
              </w:rPr>
            </w:pPr>
            <w:r>
              <w:rPr>
                <w:rFonts w:hint="eastAsia"/>
                <w:b w:val="0"/>
                <w:bCs w:val="0"/>
                <w:color w:val="auto"/>
                <w:sz w:val="28"/>
                <w:szCs w:val="28"/>
                <w:highlight w:val="none"/>
              </w:rPr>
              <w:t>2742556.51</w:t>
            </w:r>
          </w:p>
        </w:tc>
        <w:tc>
          <w:tcPr>
            <w:tcW w:w="3641" w:type="dxa"/>
            <w:tcBorders>
              <w:top w:val="single" w:color="000000" w:sz="4" w:space="0"/>
              <w:left w:val="nil"/>
              <w:bottom w:val="single" w:color="000000" w:sz="4" w:space="0"/>
              <w:right w:val="single" w:color="000000" w:sz="4" w:space="0"/>
            </w:tcBorders>
            <w:vAlign w:val="center"/>
          </w:tcPr>
          <w:p>
            <w:pPr>
              <w:pageBreakBefore w:val="0"/>
              <w:widowControl w:val="0"/>
              <w:kinsoku/>
              <w:wordWrap/>
              <w:overflowPunct/>
              <w:topLinePunct w:val="0"/>
              <w:autoSpaceDE/>
              <w:autoSpaceDN/>
              <w:bidi w:val="0"/>
              <w:adjustRightInd/>
              <w:snapToGrid/>
              <w:ind w:firstLine="0" w:firstLineChars="0"/>
              <w:jc w:val="center"/>
              <w:rPr>
                <w:b w:val="0"/>
                <w:bCs w:val="0"/>
                <w:color w:val="auto"/>
                <w:sz w:val="28"/>
                <w:szCs w:val="28"/>
                <w:highlight w:val="none"/>
              </w:rPr>
            </w:pPr>
            <w:r>
              <w:rPr>
                <w:rFonts w:hint="eastAsia"/>
                <w:b w:val="0"/>
                <w:bCs w:val="0"/>
                <w:color w:val="auto"/>
                <w:sz w:val="28"/>
                <w:szCs w:val="28"/>
                <w:highlight w:val="none"/>
              </w:rPr>
              <w:t>38432223.81</w:t>
            </w:r>
          </w:p>
        </w:tc>
      </w:tr>
      <w:tr>
        <w:tblPrEx>
          <w:tblCellMar>
            <w:top w:w="0" w:type="dxa"/>
            <w:left w:w="108" w:type="dxa"/>
            <w:bottom w:w="0" w:type="dxa"/>
            <w:right w:w="108" w:type="dxa"/>
          </w:tblCellMar>
        </w:tblPrEx>
        <w:trPr>
          <w:trHeight w:val="680" w:hRule="exact"/>
          <w:jc w:val="center"/>
        </w:trPr>
        <w:tc>
          <w:tcPr>
            <w:tcW w:w="1816" w:type="dxa"/>
            <w:tcBorders>
              <w:top w:val="single" w:color="000000" w:sz="4" w:space="0"/>
              <w:left w:val="single" w:color="000000" w:sz="4" w:space="0"/>
              <w:bottom w:val="single" w:color="000000" w:sz="4" w:space="0"/>
              <w:right w:val="single" w:color="000000" w:sz="4" w:space="0"/>
            </w:tcBorders>
            <w:vAlign w:val="center"/>
          </w:tcPr>
          <w:p>
            <w:pPr>
              <w:pStyle w:val="16"/>
              <w:pageBreakBefore w:val="0"/>
              <w:widowControl w:val="0"/>
              <w:kinsoku/>
              <w:wordWrap/>
              <w:overflowPunct/>
              <w:topLinePunct w:val="0"/>
              <w:autoSpaceDE/>
              <w:autoSpaceDN/>
              <w:bidi w:val="0"/>
              <w:adjustRightInd/>
              <w:snapToGrid/>
              <w:ind w:firstLine="0" w:firstLineChars="0"/>
              <w:jc w:val="center"/>
              <w:textAlignment w:val="center"/>
              <w:rPr>
                <w:b w:val="0"/>
                <w:bCs w:val="0"/>
                <w:color w:val="auto"/>
                <w:sz w:val="28"/>
                <w:szCs w:val="28"/>
                <w:highlight w:val="none"/>
              </w:rPr>
            </w:pPr>
            <w:r>
              <w:rPr>
                <w:rFonts w:hint="eastAsia"/>
                <w:b w:val="0"/>
                <w:bCs w:val="0"/>
                <w:color w:val="auto"/>
                <w:sz w:val="28"/>
                <w:szCs w:val="28"/>
                <w:highlight w:val="none"/>
              </w:rPr>
              <w:t>4</w:t>
            </w:r>
          </w:p>
        </w:tc>
        <w:tc>
          <w:tcPr>
            <w:tcW w:w="3065" w:type="dxa"/>
            <w:tcBorders>
              <w:top w:val="single" w:color="000000" w:sz="4" w:space="0"/>
              <w:left w:val="nil"/>
              <w:bottom w:val="single" w:color="000000" w:sz="4" w:space="0"/>
              <w:right w:val="single" w:color="000000" w:sz="4" w:space="0"/>
            </w:tcBorders>
            <w:vAlign w:val="center"/>
          </w:tcPr>
          <w:p>
            <w:pPr>
              <w:pageBreakBefore w:val="0"/>
              <w:widowControl w:val="0"/>
              <w:kinsoku/>
              <w:wordWrap/>
              <w:overflowPunct/>
              <w:topLinePunct w:val="0"/>
              <w:autoSpaceDE/>
              <w:autoSpaceDN/>
              <w:bidi w:val="0"/>
              <w:adjustRightInd/>
              <w:snapToGrid/>
              <w:ind w:firstLine="0" w:firstLineChars="0"/>
              <w:jc w:val="center"/>
              <w:rPr>
                <w:b w:val="0"/>
                <w:bCs w:val="0"/>
                <w:color w:val="auto"/>
                <w:sz w:val="28"/>
                <w:szCs w:val="28"/>
                <w:highlight w:val="none"/>
              </w:rPr>
            </w:pPr>
            <w:r>
              <w:rPr>
                <w:rFonts w:hint="eastAsia"/>
                <w:b w:val="0"/>
                <w:bCs w:val="0"/>
                <w:color w:val="auto"/>
                <w:sz w:val="28"/>
                <w:szCs w:val="28"/>
                <w:highlight w:val="none"/>
              </w:rPr>
              <w:t>2742769.11</w:t>
            </w:r>
          </w:p>
        </w:tc>
        <w:tc>
          <w:tcPr>
            <w:tcW w:w="3641" w:type="dxa"/>
            <w:tcBorders>
              <w:top w:val="single" w:color="000000" w:sz="4" w:space="0"/>
              <w:left w:val="nil"/>
              <w:bottom w:val="single" w:color="000000" w:sz="4" w:space="0"/>
              <w:right w:val="single" w:color="000000" w:sz="4" w:space="0"/>
            </w:tcBorders>
            <w:vAlign w:val="center"/>
          </w:tcPr>
          <w:p>
            <w:pPr>
              <w:pageBreakBefore w:val="0"/>
              <w:widowControl w:val="0"/>
              <w:kinsoku/>
              <w:wordWrap/>
              <w:overflowPunct/>
              <w:topLinePunct w:val="0"/>
              <w:autoSpaceDE/>
              <w:autoSpaceDN/>
              <w:bidi w:val="0"/>
              <w:adjustRightInd/>
              <w:snapToGrid/>
              <w:ind w:firstLine="0" w:firstLineChars="0"/>
              <w:jc w:val="center"/>
              <w:rPr>
                <w:b w:val="0"/>
                <w:bCs w:val="0"/>
                <w:color w:val="auto"/>
                <w:sz w:val="28"/>
                <w:szCs w:val="28"/>
                <w:highlight w:val="none"/>
              </w:rPr>
            </w:pPr>
            <w:r>
              <w:rPr>
                <w:rFonts w:hint="eastAsia"/>
                <w:b w:val="0"/>
                <w:bCs w:val="0"/>
                <w:color w:val="auto"/>
                <w:sz w:val="28"/>
                <w:szCs w:val="28"/>
                <w:highlight w:val="none"/>
              </w:rPr>
              <w:t>38432034.49</w:t>
            </w:r>
          </w:p>
        </w:tc>
      </w:tr>
      <w:tr>
        <w:tblPrEx>
          <w:tblCellMar>
            <w:top w:w="0" w:type="dxa"/>
            <w:left w:w="108" w:type="dxa"/>
            <w:bottom w:w="0" w:type="dxa"/>
            <w:right w:w="108" w:type="dxa"/>
          </w:tblCellMar>
        </w:tblPrEx>
        <w:trPr>
          <w:trHeight w:val="680" w:hRule="exact"/>
          <w:jc w:val="center"/>
        </w:trPr>
        <w:tc>
          <w:tcPr>
            <w:tcW w:w="1816" w:type="dxa"/>
            <w:tcBorders>
              <w:top w:val="single" w:color="000000" w:sz="4" w:space="0"/>
              <w:left w:val="single" w:color="000000" w:sz="4" w:space="0"/>
              <w:bottom w:val="single" w:color="000000" w:sz="4" w:space="0"/>
              <w:right w:val="single" w:color="000000" w:sz="4" w:space="0"/>
            </w:tcBorders>
            <w:vAlign w:val="center"/>
          </w:tcPr>
          <w:p>
            <w:pPr>
              <w:pStyle w:val="16"/>
              <w:pageBreakBefore w:val="0"/>
              <w:widowControl w:val="0"/>
              <w:kinsoku/>
              <w:wordWrap/>
              <w:overflowPunct/>
              <w:topLinePunct w:val="0"/>
              <w:autoSpaceDE/>
              <w:autoSpaceDN/>
              <w:bidi w:val="0"/>
              <w:adjustRightInd/>
              <w:snapToGrid/>
              <w:ind w:firstLine="0" w:firstLineChars="0"/>
              <w:jc w:val="center"/>
              <w:textAlignment w:val="center"/>
              <w:rPr>
                <w:b w:val="0"/>
                <w:bCs w:val="0"/>
                <w:color w:val="auto"/>
                <w:sz w:val="28"/>
                <w:szCs w:val="28"/>
                <w:highlight w:val="none"/>
              </w:rPr>
            </w:pPr>
            <w:r>
              <w:rPr>
                <w:rFonts w:hint="eastAsia"/>
                <w:b w:val="0"/>
                <w:bCs w:val="0"/>
                <w:color w:val="auto"/>
                <w:sz w:val="28"/>
                <w:szCs w:val="28"/>
                <w:highlight w:val="none"/>
              </w:rPr>
              <w:t>5</w:t>
            </w:r>
          </w:p>
        </w:tc>
        <w:tc>
          <w:tcPr>
            <w:tcW w:w="3065" w:type="dxa"/>
            <w:tcBorders>
              <w:top w:val="single" w:color="000000" w:sz="4" w:space="0"/>
              <w:left w:val="nil"/>
              <w:bottom w:val="single" w:color="000000" w:sz="4" w:space="0"/>
              <w:right w:val="single" w:color="000000" w:sz="4" w:space="0"/>
            </w:tcBorders>
            <w:vAlign w:val="center"/>
          </w:tcPr>
          <w:p>
            <w:pPr>
              <w:pageBreakBefore w:val="0"/>
              <w:widowControl w:val="0"/>
              <w:kinsoku/>
              <w:wordWrap/>
              <w:overflowPunct/>
              <w:topLinePunct w:val="0"/>
              <w:autoSpaceDE/>
              <w:autoSpaceDN/>
              <w:bidi w:val="0"/>
              <w:adjustRightInd/>
              <w:snapToGrid/>
              <w:ind w:firstLine="0" w:firstLineChars="0"/>
              <w:jc w:val="center"/>
              <w:rPr>
                <w:b w:val="0"/>
                <w:bCs w:val="0"/>
                <w:color w:val="auto"/>
                <w:sz w:val="28"/>
                <w:szCs w:val="28"/>
                <w:highlight w:val="none"/>
              </w:rPr>
            </w:pPr>
            <w:r>
              <w:rPr>
                <w:rFonts w:hint="eastAsia"/>
                <w:b w:val="0"/>
                <w:bCs w:val="0"/>
                <w:color w:val="auto"/>
                <w:sz w:val="28"/>
                <w:szCs w:val="28"/>
                <w:highlight w:val="none"/>
              </w:rPr>
              <w:t>2742958.75</w:t>
            </w:r>
          </w:p>
        </w:tc>
        <w:tc>
          <w:tcPr>
            <w:tcW w:w="3641" w:type="dxa"/>
            <w:tcBorders>
              <w:top w:val="single" w:color="000000" w:sz="4" w:space="0"/>
              <w:left w:val="nil"/>
              <w:bottom w:val="single" w:color="000000" w:sz="4" w:space="0"/>
              <w:right w:val="single" w:color="000000" w:sz="4" w:space="0"/>
            </w:tcBorders>
            <w:vAlign w:val="center"/>
          </w:tcPr>
          <w:p>
            <w:pPr>
              <w:pageBreakBefore w:val="0"/>
              <w:widowControl w:val="0"/>
              <w:kinsoku/>
              <w:wordWrap/>
              <w:overflowPunct/>
              <w:topLinePunct w:val="0"/>
              <w:autoSpaceDE/>
              <w:autoSpaceDN/>
              <w:bidi w:val="0"/>
              <w:adjustRightInd/>
              <w:snapToGrid/>
              <w:ind w:firstLine="0" w:firstLineChars="0"/>
              <w:jc w:val="center"/>
              <w:rPr>
                <w:b w:val="0"/>
                <w:bCs w:val="0"/>
                <w:color w:val="auto"/>
                <w:sz w:val="28"/>
                <w:szCs w:val="28"/>
                <w:highlight w:val="none"/>
              </w:rPr>
            </w:pPr>
            <w:r>
              <w:rPr>
                <w:rFonts w:hint="eastAsia"/>
                <w:b w:val="0"/>
                <w:bCs w:val="0"/>
                <w:color w:val="auto"/>
                <w:sz w:val="28"/>
                <w:szCs w:val="28"/>
                <w:highlight w:val="none"/>
              </w:rPr>
              <w:t>38432001.98</w:t>
            </w:r>
          </w:p>
        </w:tc>
      </w:tr>
      <w:tr>
        <w:tblPrEx>
          <w:tblCellMar>
            <w:top w:w="0" w:type="dxa"/>
            <w:left w:w="108" w:type="dxa"/>
            <w:bottom w:w="0" w:type="dxa"/>
            <w:right w:w="108" w:type="dxa"/>
          </w:tblCellMar>
        </w:tblPrEx>
        <w:trPr>
          <w:trHeight w:val="680" w:hRule="exact"/>
          <w:jc w:val="center"/>
        </w:trPr>
        <w:tc>
          <w:tcPr>
            <w:tcW w:w="1816" w:type="dxa"/>
            <w:tcBorders>
              <w:top w:val="single" w:color="000000" w:sz="4" w:space="0"/>
              <w:left w:val="single" w:color="000000" w:sz="4" w:space="0"/>
              <w:bottom w:val="single" w:color="000000" w:sz="4" w:space="0"/>
              <w:right w:val="single" w:color="000000" w:sz="4" w:space="0"/>
            </w:tcBorders>
            <w:vAlign w:val="center"/>
          </w:tcPr>
          <w:p>
            <w:pPr>
              <w:pStyle w:val="16"/>
              <w:pageBreakBefore w:val="0"/>
              <w:widowControl w:val="0"/>
              <w:kinsoku/>
              <w:wordWrap/>
              <w:overflowPunct/>
              <w:topLinePunct w:val="0"/>
              <w:autoSpaceDE/>
              <w:autoSpaceDN/>
              <w:bidi w:val="0"/>
              <w:adjustRightInd/>
              <w:snapToGrid/>
              <w:ind w:firstLine="0" w:firstLineChars="0"/>
              <w:jc w:val="center"/>
              <w:textAlignment w:val="center"/>
              <w:rPr>
                <w:b w:val="0"/>
                <w:bCs w:val="0"/>
                <w:color w:val="auto"/>
                <w:sz w:val="28"/>
                <w:szCs w:val="28"/>
                <w:highlight w:val="none"/>
              </w:rPr>
            </w:pPr>
            <w:r>
              <w:rPr>
                <w:rFonts w:hint="eastAsia"/>
                <w:b w:val="0"/>
                <w:bCs w:val="0"/>
                <w:color w:val="auto"/>
                <w:sz w:val="28"/>
                <w:szCs w:val="28"/>
                <w:highlight w:val="none"/>
              </w:rPr>
              <w:t>6</w:t>
            </w:r>
          </w:p>
        </w:tc>
        <w:tc>
          <w:tcPr>
            <w:tcW w:w="3065" w:type="dxa"/>
            <w:tcBorders>
              <w:top w:val="single" w:color="000000" w:sz="4" w:space="0"/>
              <w:left w:val="nil"/>
              <w:bottom w:val="single" w:color="000000" w:sz="4" w:space="0"/>
              <w:right w:val="single" w:color="000000" w:sz="4" w:space="0"/>
            </w:tcBorders>
            <w:vAlign w:val="center"/>
          </w:tcPr>
          <w:p>
            <w:pPr>
              <w:pageBreakBefore w:val="0"/>
              <w:widowControl w:val="0"/>
              <w:kinsoku/>
              <w:wordWrap/>
              <w:overflowPunct/>
              <w:topLinePunct w:val="0"/>
              <w:autoSpaceDE/>
              <w:autoSpaceDN/>
              <w:bidi w:val="0"/>
              <w:adjustRightInd/>
              <w:snapToGrid/>
              <w:ind w:firstLine="0" w:firstLineChars="0"/>
              <w:jc w:val="center"/>
              <w:rPr>
                <w:b w:val="0"/>
                <w:bCs w:val="0"/>
                <w:color w:val="auto"/>
                <w:sz w:val="28"/>
                <w:szCs w:val="28"/>
                <w:highlight w:val="none"/>
              </w:rPr>
            </w:pPr>
            <w:r>
              <w:rPr>
                <w:rFonts w:hint="eastAsia"/>
                <w:b w:val="0"/>
                <w:bCs w:val="0"/>
                <w:color w:val="auto"/>
                <w:sz w:val="28"/>
                <w:szCs w:val="28"/>
                <w:highlight w:val="none"/>
              </w:rPr>
              <w:t>2743029.96</w:t>
            </w:r>
          </w:p>
        </w:tc>
        <w:tc>
          <w:tcPr>
            <w:tcW w:w="3641" w:type="dxa"/>
            <w:tcBorders>
              <w:top w:val="single" w:color="000000" w:sz="4" w:space="0"/>
              <w:left w:val="nil"/>
              <w:bottom w:val="single" w:color="000000" w:sz="4" w:space="0"/>
              <w:right w:val="single" w:color="000000" w:sz="4" w:space="0"/>
            </w:tcBorders>
            <w:vAlign w:val="center"/>
          </w:tcPr>
          <w:p>
            <w:pPr>
              <w:pageBreakBefore w:val="0"/>
              <w:widowControl w:val="0"/>
              <w:kinsoku/>
              <w:wordWrap/>
              <w:overflowPunct/>
              <w:topLinePunct w:val="0"/>
              <w:autoSpaceDE/>
              <w:autoSpaceDN/>
              <w:bidi w:val="0"/>
              <w:adjustRightInd/>
              <w:snapToGrid/>
              <w:ind w:firstLine="0" w:firstLineChars="0"/>
              <w:jc w:val="center"/>
              <w:rPr>
                <w:b w:val="0"/>
                <w:bCs w:val="0"/>
                <w:color w:val="auto"/>
                <w:sz w:val="28"/>
                <w:szCs w:val="28"/>
                <w:highlight w:val="none"/>
              </w:rPr>
            </w:pPr>
            <w:r>
              <w:rPr>
                <w:rFonts w:hint="eastAsia"/>
                <w:b w:val="0"/>
                <w:bCs w:val="0"/>
                <w:color w:val="auto"/>
                <w:sz w:val="28"/>
                <w:szCs w:val="28"/>
                <w:highlight w:val="none"/>
              </w:rPr>
              <w:t>38432078.28</w:t>
            </w:r>
          </w:p>
        </w:tc>
      </w:tr>
    </w:tbl>
    <w:p>
      <w:pPr>
        <w:pageBreakBefore w:val="0"/>
        <w:widowControl w:val="0"/>
        <w:kinsoku/>
        <w:wordWrap/>
        <w:overflowPunct/>
        <w:topLinePunct w:val="0"/>
        <w:autoSpaceDE/>
        <w:autoSpaceDN/>
        <w:bidi w:val="0"/>
        <w:adjustRightInd/>
        <w:snapToGrid/>
        <w:rPr>
          <w:b w:val="0"/>
          <w:bCs w:val="0"/>
          <w:color w:val="auto"/>
          <w:highlight w:val="none"/>
        </w:rPr>
      </w:pPr>
      <w:r>
        <w:rPr>
          <w:rStyle w:val="14"/>
          <w:rFonts w:hint="eastAsia"/>
          <w:b w:val="0"/>
          <w:bCs w:val="0"/>
          <w:color w:val="auto"/>
          <w:highlight w:val="none"/>
        </w:rPr>
        <w:t>（四）开采标高：</w:t>
      </w:r>
      <w:r>
        <w:rPr>
          <w:rFonts w:hint="eastAsia"/>
          <w:b w:val="0"/>
          <w:bCs w:val="0"/>
          <w:color w:val="auto"/>
          <w:highlight w:val="none"/>
        </w:rPr>
        <w:t>+280m～+130m。</w:t>
      </w:r>
    </w:p>
    <w:p>
      <w:pPr>
        <w:pageBreakBefore w:val="0"/>
        <w:widowControl w:val="0"/>
        <w:kinsoku/>
        <w:wordWrap/>
        <w:overflowPunct/>
        <w:topLinePunct w:val="0"/>
        <w:autoSpaceDE/>
        <w:autoSpaceDN/>
        <w:bidi w:val="0"/>
        <w:adjustRightInd/>
        <w:snapToGrid/>
        <w:rPr>
          <w:b w:val="0"/>
          <w:bCs w:val="0"/>
          <w:color w:val="auto"/>
          <w:highlight w:val="none"/>
        </w:rPr>
      </w:pPr>
      <w:r>
        <w:rPr>
          <w:rStyle w:val="14"/>
          <w:rFonts w:hint="eastAsia"/>
          <w:b w:val="0"/>
          <w:bCs w:val="0"/>
          <w:color w:val="auto"/>
          <w:highlight w:val="none"/>
        </w:rPr>
        <w:t>（五）开采矿种：</w:t>
      </w:r>
      <w:r>
        <w:rPr>
          <w:rFonts w:hint="eastAsia"/>
          <w:b w:val="0"/>
          <w:bCs w:val="0"/>
          <w:color w:val="auto"/>
          <w:highlight w:val="none"/>
        </w:rPr>
        <w:t>建筑用石灰岩矿。</w:t>
      </w:r>
    </w:p>
    <w:p>
      <w:pPr>
        <w:pageBreakBefore w:val="0"/>
        <w:widowControl w:val="0"/>
        <w:kinsoku/>
        <w:wordWrap/>
        <w:overflowPunct/>
        <w:topLinePunct w:val="0"/>
        <w:autoSpaceDE/>
        <w:autoSpaceDN/>
        <w:bidi w:val="0"/>
        <w:adjustRightInd/>
        <w:snapToGrid/>
        <w:rPr>
          <w:b w:val="0"/>
          <w:bCs w:val="0"/>
          <w:color w:val="auto"/>
          <w:highlight w:val="none"/>
        </w:rPr>
      </w:pPr>
      <w:r>
        <w:rPr>
          <w:rStyle w:val="14"/>
          <w:rFonts w:hint="eastAsia"/>
          <w:b w:val="0"/>
          <w:bCs w:val="0"/>
          <w:color w:val="auto"/>
          <w:highlight w:val="none"/>
        </w:rPr>
        <w:t>（六）开采方式：</w:t>
      </w:r>
      <w:r>
        <w:rPr>
          <w:rFonts w:hint="eastAsia"/>
          <w:b w:val="0"/>
          <w:bCs w:val="0"/>
          <w:color w:val="auto"/>
          <w:highlight w:val="none"/>
        </w:rPr>
        <w:t>露天开采。</w:t>
      </w:r>
    </w:p>
    <w:p>
      <w:pPr>
        <w:pageBreakBefore w:val="0"/>
        <w:widowControl w:val="0"/>
        <w:kinsoku/>
        <w:wordWrap/>
        <w:overflowPunct/>
        <w:topLinePunct w:val="0"/>
        <w:autoSpaceDE/>
        <w:autoSpaceDN/>
        <w:bidi w:val="0"/>
        <w:adjustRightInd/>
        <w:snapToGrid/>
        <w:rPr>
          <w:b w:val="0"/>
          <w:bCs w:val="0"/>
          <w:color w:val="auto"/>
          <w:highlight w:val="none"/>
        </w:rPr>
      </w:pPr>
      <w:r>
        <w:rPr>
          <w:rStyle w:val="14"/>
          <w:rFonts w:hint="eastAsia"/>
          <w:b w:val="0"/>
          <w:bCs w:val="0"/>
          <w:color w:val="auto"/>
          <w:highlight w:val="none"/>
        </w:rPr>
        <w:t>（七）土地类型：</w:t>
      </w:r>
      <w:r>
        <w:rPr>
          <w:rFonts w:hint="eastAsia"/>
          <w:b w:val="0"/>
          <w:bCs w:val="0"/>
          <w:color w:val="auto"/>
          <w:highlight w:val="none"/>
        </w:rPr>
        <w:t>林地（153亩）。</w:t>
      </w:r>
    </w:p>
    <w:p>
      <w:pPr>
        <w:pageBreakBefore w:val="0"/>
        <w:widowControl w:val="0"/>
        <w:kinsoku/>
        <w:wordWrap/>
        <w:overflowPunct/>
        <w:topLinePunct w:val="0"/>
        <w:autoSpaceDE/>
        <w:autoSpaceDN/>
        <w:bidi w:val="0"/>
        <w:adjustRightInd/>
        <w:snapToGrid/>
        <w:rPr>
          <w:b w:val="0"/>
          <w:bCs w:val="0"/>
          <w:color w:val="auto"/>
          <w:highlight w:val="none"/>
        </w:rPr>
      </w:pPr>
      <w:r>
        <w:rPr>
          <w:rStyle w:val="14"/>
          <w:rFonts w:hint="eastAsia"/>
          <w:b w:val="0"/>
          <w:bCs w:val="0"/>
          <w:color w:val="auto"/>
          <w:highlight w:val="none"/>
        </w:rPr>
        <w:t>（八）拟设矿区周边可视情况。</w:t>
      </w:r>
      <w:r>
        <w:rPr>
          <w:rFonts w:hint="eastAsia"/>
          <w:b w:val="0"/>
          <w:bCs w:val="0"/>
          <w:color w:val="auto"/>
          <w:highlight w:val="none"/>
        </w:rPr>
        <w:t>矿区位于韶关市乳源瑶族自治县，县城77°方向，平距6km处，行政区划隶属韶关市乳源瑶族自治县乳城镇管辖。矿区有简易公路约3km通往323国道，连通乳源县城，于乳源县城可进入京珠高速公路、坪乳公路等，由323国道往东约30km可达韶关市区，交通方便。矿区附近300米以内无矿山、公路、铁路、居民点和其他主要建筑物等，符合安全距离要求（详见图1）。</w:t>
      </w:r>
    </w:p>
    <w:p>
      <w:pPr>
        <w:pStyle w:val="6"/>
        <w:pageBreakBefore w:val="0"/>
        <w:widowControl w:val="0"/>
        <w:kinsoku/>
        <w:wordWrap/>
        <w:overflowPunct/>
        <w:topLinePunct w:val="0"/>
        <w:autoSpaceDE/>
        <w:autoSpaceDN/>
        <w:bidi w:val="0"/>
        <w:adjustRightInd/>
        <w:snapToGrid/>
        <w:jc w:val="center"/>
        <w:rPr>
          <w:rFonts w:ascii="楷体_GB2312" w:hAnsi="楷体_GB2312" w:eastAsia="楷体_GB2312" w:cs="楷体_GB2312"/>
          <w:b w:val="0"/>
          <w:bCs w:val="0"/>
          <w:color w:val="auto"/>
          <w:highlight w:val="none"/>
        </w:rPr>
      </w:pPr>
      <w:r>
        <w:rPr>
          <w:rFonts w:hint="eastAsia" w:ascii="楷体_GB2312" w:hAnsi="楷体_GB2312" w:eastAsia="楷体_GB2312" w:cs="楷体_GB2312"/>
          <w:b w:val="0"/>
          <w:bCs w:val="0"/>
          <w:color w:val="auto"/>
          <w:highlight w:val="none"/>
        </w:rPr>
        <w:drawing>
          <wp:anchor distT="0" distB="0" distL="114300" distR="114300" simplePos="0" relativeHeight="251659264" behindDoc="0" locked="0" layoutInCell="1" allowOverlap="1">
            <wp:simplePos x="0" y="0"/>
            <wp:positionH relativeFrom="column">
              <wp:posOffset>13970</wp:posOffset>
            </wp:positionH>
            <wp:positionV relativeFrom="paragraph">
              <wp:posOffset>-73025</wp:posOffset>
            </wp:positionV>
            <wp:extent cx="5373370" cy="7590155"/>
            <wp:effectExtent l="0" t="0" r="17780" b="10795"/>
            <wp:wrapTopAndBottom/>
            <wp:docPr id="1" name="图片 2" descr="乳源瑶族自治县益丰石场建筑石料用灰岩矿拟设矿区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乳源瑶族自治县益丰石场建筑石料用灰岩矿拟设矿区范围图"/>
                    <pic:cNvPicPr>
                      <a:picLocks noChangeAspect="1"/>
                    </pic:cNvPicPr>
                  </pic:nvPicPr>
                  <pic:blipFill>
                    <a:blip r:embed="rId8"/>
                    <a:stretch>
                      <a:fillRect/>
                    </a:stretch>
                  </pic:blipFill>
                  <pic:spPr>
                    <a:xfrm>
                      <a:off x="0" y="0"/>
                      <a:ext cx="5373370" cy="7590155"/>
                    </a:xfrm>
                    <a:prstGeom prst="rect">
                      <a:avLst/>
                    </a:prstGeom>
                    <a:noFill/>
                    <a:ln>
                      <a:noFill/>
                    </a:ln>
                  </pic:spPr>
                </pic:pic>
              </a:graphicData>
            </a:graphic>
          </wp:anchor>
        </w:drawing>
      </w:r>
      <w:r>
        <w:rPr>
          <w:rFonts w:hint="eastAsia" w:ascii="楷体_GB2312" w:hAnsi="楷体_GB2312" w:eastAsia="楷体_GB2312" w:cs="楷体_GB2312"/>
          <w:b w:val="0"/>
          <w:bCs w:val="0"/>
          <w:color w:val="auto"/>
          <w:highlight w:val="none"/>
        </w:rPr>
        <w:t>图1 现拟设矿区影像图</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Style w:val="14"/>
          <w:rFonts w:hint="eastAsia"/>
          <w:b w:val="0"/>
          <w:bCs w:val="0"/>
          <w:color w:val="auto"/>
          <w:highlight w:val="none"/>
        </w:rPr>
        <w:t>（九）资源储量情况：</w:t>
      </w:r>
      <w:r>
        <w:rPr>
          <w:rFonts w:hint="eastAsia"/>
          <w:b w:val="0"/>
          <w:bCs w:val="0"/>
          <w:color w:val="auto"/>
          <w:highlight w:val="none"/>
        </w:rPr>
        <w:t>根据广东省储量评审中心通过的《广东省乳源瑶族自治县乳城镇益丰矿区建筑用灰岩矿资源储量核实报告》（粤资储评审字〔2023〕71号），资源储量如下：</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建筑用灰岩矿保有资源量为553.7万立方米（控制+推断），其中控制资源量437.4万立方米，推断资源量116.3万立方米。</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根据经评审通过的《矿产资源开发利用方案》，确定的可采储量如下：可采储量405.28万立方米。矿山生产规模为30万立方米/年，设计生产服务年限约15年（含1年基建期）。</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Style w:val="14"/>
          <w:rFonts w:hint="eastAsia"/>
          <w:b w:val="0"/>
          <w:bCs w:val="0"/>
          <w:color w:val="auto"/>
          <w:highlight w:val="none"/>
        </w:rPr>
        <w:t>（十）年生产规模：</w:t>
      </w:r>
      <w:r>
        <w:rPr>
          <w:rFonts w:hint="eastAsia"/>
          <w:b w:val="0"/>
          <w:bCs w:val="0"/>
          <w:color w:val="auto"/>
          <w:highlight w:val="none"/>
        </w:rPr>
        <w:t>30万立方米/年。</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Style w:val="14"/>
          <w:rFonts w:hint="eastAsia"/>
          <w:b w:val="0"/>
          <w:bCs w:val="0"/>
          <w:color w:val="auto"/>
          <w:highlight w:val="none"/>
        </w:rPr>
        <w:t>（十一）出让方式：</w:t>
      </w:r>
      <w:r>
        <w:rPr>
          <w:rFonts w:hint="eastAsia"/>
          <w:b w:val="0"/>
          <w:bCs w:val="0"/>
          <w:color w:val="auto"/>
          <w:highlight w:val="none"/>
        </w:rPr>
        <w:t>网上挂牌公开交易。</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Style w:val="14"/>
          <w:rFonts w:hint="eastAsia"/>
          <w:b w:val="0"/>
          <w:bCs w:val="0"/>
          <w:color w:val="auto"/>
          <w:highlight w:val="none"/>
        </w:rPr>
        <w:t>（十二）出让年限：</w:t>
      </w:r>
      <w:r>
        <w:rPr>
          <w:rFonts w:hint="eastAsia"/>
          <w:b w:val="0"/>
          <w:bCs w:val="0"/>
          <w:color w:val="auto"/>
          <w:highlight w:val="none"/>
        </w:rPr>
        <w:t>15年，包括基建期1年。</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Style w:val="14"/>
          <w:rFonts w:hint="eastAsia"/>
          <w:b w:val="0"/>
          <w:bCs w:val="0"/>
          <w:color w:val="auto"/>
          <w:highlight w:val="none"/>
        </w:rPr>
        <w:t>（十三）起始价（人民币）：</w:t>
      </w:r>
      <w:r>
        <w:rPr>
          <w:rFonts w:hint="eastAsia"/>
          <w:b w:val="0"/>
          <w:bCs w:val="0"/>
          <w:color w:val="auto"/>
          <w:highlight w:val="none"/>
        </w:rPr>
        <w:t>2719万元。</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Style w:val="14"/>
          <w:rFonts w:hint="eastAsia"/>
          <w:b w:val="0"/>
          <w:bCs w:val="0"/>
          <w:color w:val="auto"/>
          <w:highlight w:val="none"/>
        </w:rPr>
        <w:t>（十四）增价幅度（人民币）：</w:t>
      </w:r>
      <w:r>
        <w:rPr>
          <w:rFonts w:hint="eastAsia"/>
          <w:b w:val="0"/>
          <w:bCs w:val="0"/>
          <w:color w:val="auto"/>
          <w:highlight w:val="none"/>
        </w:rPr>
        <w:t>50万元或其整数倍。</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Style w:val="14"/>
          <w:rFonts w:hint="eastAsia"/>
          <w:b w:val="0"/>
          <w:bCs w:val="0"/>
          <w:color w:val="auto"/>
          <w:highlight w:val="none"/>
        </w:rPr>
        <w:t>（十五）竞买保证金（人民币）：</w:t>
      </w:r>
      <w:r>
        <w:rPr>
          <w:rFonts w:hint="eastAsia"/>
          <w:b w:val="0"/>
          <w:bCs w:val="0"/>
          <w:color w:val="auto"/>
          <w:highlight w:val="none"/>
        </w:rPr>
        <w:t>540万元。</w:t>
      </w:r>
    </w:p>
    <w:p>
      <w:pPr>
        <w:pageBreakBefore w:val="0"/>
        <w:widowControl w:val="0"/>
        <w:kinsoku/>
        <w:wordWrap/>
        <w:overflowPunct/>
        <w:topLinePunct w:val="0"/>
        <w:autoSpaceDE/>
        <w:autoSpaceDN/>
        <w:bidi w:val="0"/>
        <w:adjustRightInd/>
        <w:snapToGrid/>
        <w:spacing w:line="240" w:lineRule="auto"/>
        <w:rPr>
          <w:rStyle w:val="14"/>
          <w:rFonts w:hint="eastAsia"/>
          <w:b w:val="0"/>
          <w:bCs w:val="0"/>
          <w:color w:val="auto"/>
          <w:highlight w:val="none"/>
        </w:rPr>
      </w:pPr>
      <w:r>
        <w:rPr>
          <w:rStyle w:val="14"/>
          <w:rFonts w:hint="eastAsia"/>
          <w:b w:val="0"/>
          <w:bCs w:val="0"/>
          <w:color w:val="auto"/>
          <w:highlight w:val="none"/>
        </w:rPr>
        <w:t>（十六）出让收益等有关费用及支付方式。</w:t>
      </w:r>
    </w:p>
    <w:p>
      <w:pPr>
        <w:pageBreakBefore w:val="0"/>
        <w:widowControl w:val="0"/>
        <w:kinsoku/>
        <w:wordWrap/>
        <w:overflowPunct/>
        <w:topLinePunct w:val="0"/>
        <w:autoSpaceDE/>
        <w:autoSpaceDN/>
        <w:bidi w:val="0"/>
        <w:adjustRightInd/>
        <w:snapToGrid/>
        <w:spacing w:line="240" w:lineRule="auto"/>
        <w:rPr>
          <w:rFonts w:hint="eastAsia" w:ascii="仿宋_GB2312" w:hAnsi="仿宋_GB2312" w:eastAsia="仿宋_GB2312" w:cs="仿宋_GB2312"/>
          <w:b w:val="0"/>
          <w:bCs w:val="0"/>
          <w:color w:val="auto"/>
          <w:highlight w:val="none"/>
        </w:rPr>
      </w:pPr>
      <w:r>
        <w:rPr>
          <w:rFonts w:hint="eastAsia" w:ascii="仿宋_GB2312" w:hAnsi="仿宋_GB2312" w:eastAsia="仿宋_GB2312" w:cs="仿宋_GB2312"/>
          <w:b w:val="0"/>
          <w:bCs w:val="0"/>
          <w:color w:val="auto"/>
          <w:kern w:val="2"/>
          <w:sz w:val="32"/>
          <w:szCs w:val="32"/>
          <w:highlight w:val="none"/>
          <w:lang w:val="en-US" w:eastAsia="zh-CN" w:bidi="ar-SA"/>
        </w:rPr>
        <w:t>1.采矿权出让收益。竞得人须于网上交易成交之日起2个工作日内到韶关市公共资源交易中心当场签订《成交确认书》。竞得人须在成交结果公示期（10个工作日）结束后，2个工作日内到乳源瑶族自治县自然资源局签订《采矿权出让合同》。竞得人逾期未签定《成交确认书》或《采矿权出让合同》的，取消采矿权竞得人资格，已缴纳的保证金不予退还。</w:t>
      </w:r>
      <w:r>
        <w:rPr>
          <w:rFonts w:hint="eastAsia" w:cs="仿宋_GB2312"/>
          <w:b w:val="0"/>
          <w:bCs w:val="0"/>
          <w:color w:val="auto"/>
          <w:kern w:val="2"/>
          <w:sz w:val="32"/>
          <w:szCs w:val="32"/>
          <w:highlight w:val="none"/>
          <w:lang w:val="en-US" w:eastAsia="zh-CN" w:bidi="ar-SA"/>
        </w:rPr>
        <w:t>本</w:t>
      </w:r>
      <w:r>
        <w:rPr>
          <w:rFonts w:hint="eastAsia" w:ascii="仿宋_GB2312" w:hAnsi="仿宋_GB2312" w:eastAsia="仿宋_GB2312" w:cs="仿宋_GB2312"/>
          <w:b w:val="0"/>
          <w:bCs w:val="0"/>
          <w:color w:val="auto"/>
          <w:highlight w:val="none"/>
        </w:rPr>
        <w:t>采矿权出让收益不包括采矿权使用费及其他依规需要缴纳的费用</w:t>
      </w:r>
      <w:r>
        <w:rPr>
          <w:rFonts w:hint="eastAsia" w:cs="仿宋_GB2312"/>
          <w:b w:val="0"/>
          <w:bCs w:val="0"/>
          <w:color w:val="auto"/>
          <w:highlight w:val="none"/>
          <w:lang w:eastAsia="zh-CN"/>
        </w:rPr>
        <w:t>，</w:t>
      </w:r>
      <w:r>
        <w:rPr>
          <w:rFonts w:hint="eastAsia" w:cs="仿宋_GB2312"/>
          <w:b w:val="0"/>
          <w:bCs w:val="0"/>
          <w:color w:val="auto"/>
          <w:kern w:val="2"/>
          <w:sz w:val="32"/>
          <w:szCs w:val="32"/>
          <w:highlight w:val="none"/>
          <w:lang w:val="en-US" w:eastAsia="zh-CN" w:bidi="ar-SA"/>
        </w:rPr>
        <w:t>应按照《财政部 自然资源部 税务总局关于印发&lt;矿业权出让收益征收办法&gt;的通知》（财综</w:t>
      </w:r>
      <w:r>
        <w:rPr>
          <w:rFonts w:hint="eastAsia" w:ascii="仿宋_GB2312" w:hAnsi="仿宋_GB2312" w:eastAsia="仿宋_GB2312" w:cs="仿宋_GB2312"/>
          <w:b w:val="0"/>
          <w:bCs w:val="0"/>
          <w:color w:val="auto"/>
          <w:kern w:val="2"/>
          <w:sz w:val="32"/>
          <w:szCs w:val="32"/>
          <w:highlight w:val="none"/>
          <w:lang w:val="en-US" w:eastAsia="zh-CN" w:bidi="ar-SA"/>
        </w:rPr>
        <w:t>〔</w:t>
      </w:r>
      <w:r>
        <w:rPr>
          <w:rFonts w:hint="eastAsia" w:cs="仿宋_GB2312"/>
          <w:b w:val="0"/>
          <w:bCs w:val="0"/>
          <w:color w:val="auto"/>
          <w:kern w:val="2"/>
          <w:sz w:val="32"/>
          <w:szCs w:val="32"/>
          <w:highlight w:val="none"/>
          <w:lang w:val="en-US" w:eastAsia="zh-CN" w:bidi="ar-SA"/>
        </w:rPr>
        <w:t>2023</w:t>
      </w:r>
      <w:r>
        <w:rPr>
          <w:rFonts w:hint="eastAsia" w:ascii="仿宋_GB2312" w:hAnsi="仿宋_GB2312" w:eastAsia="仿宋_GB2312" w:cs="仿宋_GB2312"/>
          <w:b w:val="0"/>
          <w:bCs w:val="0"/>
          <w:color w:val="auto"/>
          <w:kern w:val="2"/>
          <w:sz w:val="32"/>
          <w:szCs w:val="32"/>
          <w:highlight w:val="none"/>
          <w:lang w:val="en-US" w:eastAsia="zh-CN" w:bidi="ar-SA"/>
        </w:rPr>
        <w:t>〕</w:t>
      </w:r>
      <w:r>
        <w:rPr>
          <w:rFonts w:hint="eastAsia" w:cs="仿宋_GB2312"/>
          <w:b w:val="0"/>
          <w:bCs w:val="0"/>
          <w:color w:val="auto"/>
          <w:kern w:val="2"/>
          <w:sz w:val="32"/>
          <w:szCs w:val="32"/>
          <w:highlight w:val="none"/>
          <w:lang w:val="en-US" w:eastAsia="zh-CN" w:bidi="ar-SA"/>
        </w:rPr>
        <w:t>10号）有关要求，签订《采矿权出让合同》后3个工作日内缴交。</w:t>
      </w:r>
      <w:r>
        <w:rPr>
          <w:rFonts w:hint="eastAsia" w:ascii="仿宋_GB2312" w:hAnsi="仿宋_GB2312" w:eastAsia="仿宋_GB2312" w:cs="仿宋_GB2312"/>
          <w:b w:val="0"/>
          <w:bCs w:val="0"/>
          <w:color w:val="auto"/>
          <w:highlight w:val="none"/>
          <w:lang w:val="en-US" w:eastAsia="zh-CN"/>
        </w:rPr>
        <w:t>竞得</w:t>
      </w:r>
      <w:r>
        <w:rPr>
          <w:rFonts w:hint="eastAsia" w:ascii="仿宋_GB2312" w:hAnsi="仿宋_GB2312" w:eastAsia="仿宋_GB2312" w:cs="仿宋_GB2312"/>
          <w:b w:val="0"/>
          <w:bCs w:val="0"/>
          <w:color w:val="auto"/>
          <w:highlight w:val="none"/>
        </w:rPr>
        <w:t>人未按时足额缴纳采矿权出让收益的，由乳源瑶族自治县自然资源局（采矿权出让方）责令限期缴纳，并从滞纳之日起每日加收2‰的滞纳金，逾期</w:t>
      </w:r>
      <w:r>
        <w:rPr>
          <w:rFonts w:hint="eastAsia" w:ascii="仿宋_GB2312" w:hAnsi="仿宋_GB2312" w:eastAsia="仿宋_GB2312" w:cs="仿宋_GB2312"/>
          <w:b w:val="0"/>
          <w:bCs w:val="0"/>
          <w:color w:val="auto"/>
          <w:highlight w:val="none"/>
          <w:lang w:val="en-US" w:eastAsia="zh-CN"/>
        </w:rPr>
        <w:t>30天</w:t>
      </w:r>
      <w:r>
        <w:rPr>
          <w:rFonts w:hint="eastAsia" w:ascii="仿宋_GB2312" w:hAnsi="仿宋_GB2312" w:eastAsia="仿宋_GB2312" w:cs="仿宋_GB2312"/>
          <w:b w:val="0"/>
          <w:bCs w:val="0"/>
          <w:color w:val="auto"/>
          <w:highlight w:val="none"/>
        </w:rPr>
        <w:t>仍不缴纳的，</w:t>
      </w:r>
      <w:r>
        <w:rPr>
          <w:rFonts w:hint="eastAsia" w:cs="仿宋_GB2312"/>
          <w:b w:val="0"/>
          <w:bCs w:val="0"/>
          <w:color w:val="auto"/>
          <w:highlight w:val="none"/>
          <w:lang w:eastAsia="zh-CN"/>
        </w:rPr>
        <w:t>采矿权出让方</w:t>
      </w:r>
      <w:r>
        <w:rPr>
          <w:rFonts w:hint="eastAsia" w:ascii="仿宋_GB2312" w:hAnsi="仿宋_GB2312" w:eastAsia="仿宋_GB2312" w:cs="仿宋_GB2312"/>
          <w:b w:val="0"/>
          <w:bCs w:val="0"/>
          <w:color w:val="auto"/>
          <w:highlight w:val="none"/>
        </w:rPr>
        <w:t>有权撤销采矿权出让合同，</w:t>
      </w:r>
      <w:r>
        <w:rPr>
          <w:rFonts w:hint="eastAsia" w:ascii="仿宋_GB2312" w:hAnsi="仿宋_GB2312" w:eastAsia="仿宋_GB2312" w:cs="仿宋_GB2312"/>
          <w:b w:val="0"/>
          <w:bCs w:val="0"/>
          <w:color w:val="auto"/>
          <w:highlight w:val="none"/>
          <w:lang w:eastAsia="zh-CN"/>
        </w:rPr>
        <w:t>没收已缴纳的保证金，</w:t>
      </w:r>
      <w:r>
        <w:rPr>
          <w:rFonts w:hint="eastAsia" w:ascii="仿宋_GB2312" w:hAnsi="仿宋_GB2312" w:eastAsia="仿宋_GB2312" w:cs="仿宋_GB2312"/>
          <w:b w:val="0"/>
          <w:bCs w:val="0"/>
          <w:color w:val="auto"/>
          <w:highlight w:val="none"/>
        </w:rPr>
        <w:t>并追究相关违约责任。</w:t>
      </w:r>
    </w:p>
    <w:p>
      <w:pPr>
        <w:pageBreakBefore w:val="0"/>
        <w:widowControl w:val="0"/>
        <w:kinsoku/>
        <w:wordWrap/>
        <w:overflowPunct/>
        <w:topLinePunct w:val="0"/>
        <w:autoSpaceDE/>
        <w:autoSpaceDN/>
        <w:bidi w:val="0"/>
        <w:adjustRightInd/>
        <w:snapToGrid/>
        <w:spacing w:line="240" w:lineRule="auto"/>
        <w:textAlignment w:val="auto"/>
        <w:rPr>
          <w:b w:val="0"/>
          <w:bCs w:val="0"/>
          <w:color w:val="0000FF"/>
          <w:highlight w:val="none"/>
        </w:rPr>
      </w:pPr>
      <w:r>
        <w:rPr>
          <w:rFonts w:hint="eastAsia"/>
          <w:b w:val="0"/>
          <w:bCs w:val="0"/>
          <w:color w:val="auto"/>
          <w:highlight w:val="none"/>
          <w:u w:val="none"/>
        </w:rPr>
        <w:t>2.采矿权挂牌前期投入费用（</w:t>
      </w:r>
      <w:r>
        <w:rPr>
          <w:rFonts w:hint="eastAsia"/>
          <w:b w:val="0"/>
          <w:bCs w:val="0"/>
          <w:color w:val="auto"/>
          <w:highlight w:val="none"/>
          <w:u w:val="none"/>
          <w:lang w:val="en-US" w:eastAsia="zh-CN"/>
        </w:rPr>
        <w:t>2358.68</w:t>
      </w:r>
      <w:r>
        <w:rPr>
          <w:rFonts w:hint="eastAsia"/>
          <w:b w:val="0"/>
          <w:bCs w:val="0"/>
          <w:color w:val="auto"/>
          <w:highlight w:val="none"/>
          <w:u w:val="none"/>
        </w:rPr>
        <w:t>万元）。①采矿权挂牌前期投入地质勘查储量报告编制、</w:t>
      </w:r>
      <w:r>
        <w:rPr>
          <w:rFonts w:hint="eastAsia"/>
          <w:b w:val="0"/>
          <w:bCs w:val="0"/>
          <w:color w:val="auto"/>
          <w:highlight w:val="none"/>
          <w:u w:val="none"/>
          <w:lang w:eastAsia="zh-CN"/>
        </w:rPr>
        <w:t>乡村振兴费测算服务费开发利用方案</w:t>
      </w:r>
      <w:r>
        <w:rPr>
          <w:rFonts w:hint="eastAsia"/>
          <w:b w:val="0"/>
          <w:bCs w:val="0"/>
          <w:color w:val="auto"/>
          <w:highlight w:val="none"/>
          <w:u w:val="none"/>
        </w:rPr>
        <w:t>编制、安全专项评估报告技术服务费</w:t>
      </w:r>
      <w:r>
        <w:rPr>
          <w:rFonts w:hint="eastAsia"/>
          <w:b w:val="0"/>
          <w:bCs w:val="0"/>
          <w:color w:val="auto"/>
          <w:highlight w:val="none"/>
          <w:u w:val="none"/>
          <w:lang w:eastAsia="zh-CN"/>
        </w:rPr>
        <w:t>、土地流转费测算服务费</w:t>
      </w:r>
      <w:r>
        <w:rPr>
          <w:rFonts w:hint="eastAsia"/>
          <w:b w:val="0"/>
          <w:bCs w:val="0"/>
          <w:color w:val="auto"/>
          <w:highlight w:val="none"/>
          <w:u w:val="none"/>
        </w:rPr>
        <w:t>等费用总计</w:t>
      </w:r>
      <w:r>
        <w:rPr>
          <w:rFonts w:hint="eastAsia"/>
          <w:b w:val="0"/>
          <w:bCs w:val="0"/>
          <w:color w:val="auto"/>
          <w:highlight w:val="none"/>
          <w:u w:val="none"/>
          <w:lang w:val="en-US" w:eastAsia="zh-CN"/>
        </w:rPr>
        <w:t>100.6</w:t>
      </w:r>
      <w:r>
        <w:rPr>
          <w:rFonts w:hint="eastAsia"/>
          <w:b w:val="0"/>
          <w:bCs w:val="0"/>
          <w:color w:val="auto"/>
          <w:highlight w:val="none"/>
          <w:u w:val="none"/>
        </w:rPr>
        <w:t>万元。</w:t>
      </w:r>
      <w:r>
        <w:rPr>
          <w:rFonts w:hint="eastAsia"/>
          <w:b w:val="0"/>
          <w:bCs w:val="0"/>
          <w:color w:val="auto"/>
          <w:highlight w:val="none"/>
        </w:rPr>
        <w:t>竞得人须在签订《</w:t>
      </w:r>
      <w:r>
        <w:rPr>
          <w:rFonts w:hint="eastAsia"/>
          <w:b w:val="0"/>
          <w:bCs w:val="0"/>
          <w:color w:val="auto"/>
          <w:highlight w:val="none"/>
          <w:lang w:eastAsia="zh-CN"/>
        </w:rPr>
        <w:t>采矿权出让合同</w:t>
      </w:r>
      <w:r>
        <w:rPr>
          <w:rFonts w:hint="eastAsia"/>
          <w:b w:val="0"/>
          <w:bCs w:val="0"/>
          <w:color w:val="auto"/>
          <w:highlight w:val="none"/>
        </w:rPr>
        <w:t>》</w:t>
      </w:r>
      <w:r>
        <w:rPr>
          <w:rFonts w:hint="eastAsia"/>
          <w:b w:val="0"/>
          <w:bCs w:val="0"/>
          <w:color w:val="auto"/>
          <w:highlight w:val="none"/>
          <w:lang w:eastAsia="zh-CN"/>
        </w:rPr>
        <w:t>后，</w:t>
      </w:r>
      <w:r>
        <w:rPr>
          <w:rFonts w:hint="eastAsia"/>
          <w:b w:val="0"/>
          <w:bCs w:val="0"/>
          <w:color w:val="auto"/>
          <w:highlight w:val="none"/>
          <w:lang w:val="en-US" w:eastAsia="zh-CN"/>
        </w:rPr>
        <w:t>3</w:t>
      </w:r>
      <w:r>
        <w:rPr>
          <w:rFonts w:hint="eastAsia"/>
          <w:b w:val="0"/>
          <w:bCs w:val="0"/>
          <w:color w:val="auto"/>
          <w:highlight w:val="none"/>
        </w:rPr>
        <w:t>个工作日</w:t>
      </w:r>
      <w:r>
        <w:rPr>
          <w:rFonts w:hint="eastAsia"/>
          <w:b w:val="0"/>
          <w:bCs w:val="0"/>
          <w:color w:val="auto"/>
          <w:highlight w:val="none"/>
          <w:lang w:eastAsia="zh-CN"/>
        </w:rPr>
        <w:t>内一次性足额</w:t>
      </w:r>
      <w:r>
        <w:rPr>
          <w:rFonts w:hint="eastAsia"/>
          <w:b w:val="0"/>
          <w:bCs w:val="0"/>
          <w:color w:val="auto"/>
          <w:highlight w:val="none"/>
        </w:rPr>
        <w:t>支付</w:t>
      </w:r>
      <w:r>
        <w:rPr>
          <w:rFonts w:hint="eastAsia"/>
          <w:b w:val="0"/>
          <w:bCs w:val="0"/>
          <w:color w:val="auto"/>
          <w:highlight w:val="none"/>
          <w:lang w:eastAsia="zh-CN"/>
        </w:rPr>
        <w:t>该费用</w:t>
      </w:r>
      <w:r>
        <w:rPr>
          <w:rFonts w:hint="eastAsia"/>
          <w:b w:val="0"/>
          <w:bCs w:val="0"/>
          <w:color w:val="auto"/>
          <w:highlight w:val="none"/>
          <w:u w:val="none"/>
          <w:lang w:val="en-US" w:eastAsia="zh-CN"/>
        </w:rPr>
        <w:t>至乳源瑶族自治县财政局指定账户。</w:t>
      </w:r>
      <w:r>
        <w:rPr>
          <w:rFonts w:hint="eastAsia"/>
          <w:b w:val="0"/>
          <w:bCs w:val="0"/>
          <w:color w:val="auto"/>
          <w:highlight w:val="none"/>
          <w:u w:val="none"/>
        </w:rPr>
        <w:t>②土地处置成本</w:t>
      </w:r>
      <w:r>
        <w:rPr>
          <w:rFonts w:hint="eastAsia"/>
          <w:b w:val="0"/>
          <w:bCs w:val="0"/>
          <w:color w:val="auto"/>
          <w:highlight w:val="none"/>
          <w:u w:val="none"/>
          <w:lang w:eastAsia="zh-CN"/>
        </w:rPr>
        <w:t>等费用</w:t>
      </w:r>
      <w:r>
        <w:rPr>
          <w:rFonts w:hint="eastAsia"/>
          <w:b w:val="0"/>
          <w:bCs w:val="0"/>
          <w:color w:val="auto"/>
          <w:highlight w:val="none"/>
          <w:u w:val="none"/>
        </w:rPr>
        <w:t>总计</w:t>
      </w:r>
      <w:r>
        <w:rPr>
          <w:rFonts w:hint="eastAsia"/>
          <w:b w:val="0"/>
          <w:bCs w:val="0"/>
          <w:color w:val="auto"/>
          <w:highlight w:val="none"/>
          <w:u w:val="none"/>
          <w:lang w:val="en-US" w:eastAsia="zh-CN"/>
        </w:rPr>
        <w:t>2258.08万元：其中840.59万元，</w:t>
      </w:r>
      <w:r>
        <w:rPr>
          <w:rFonts w:hint="eastAsia"/>
          <w:b w:val="0"/>
          <w:bCs w:val="0"/>
          <w:color w:val="auto"/>
          <w:highlight w:val="none"/>
        </w:rPr>
        <w:t>竞得人在网上交易成交之日起30日内一次性</w:t>
      </w:r>
      <w:r>
        <w:rPr>
          <w:rFonts w:hint="eastAsia"/>
          <w:b w:val="0"/>
          <w:bCs w:val="0"/>
          <w:color w:val="auto"/>
          <w:highlight w:val="none"/>
          <w:lang w:eastAsia="zh-CN"/>
        </w:rPr>
        <w:t>足额</w:t>
      </w:r>
      <w:r>
        <w:rPr>
          <w:rFonts w:hint="eastAsia"/>
          <w:b w:val="0"/>
          <w:bCs w:val="0"/>
          <w:color w:val="auto"/>
          <w:highlight w:val="none"/>
        </w:rPr>
        <w:t>支付</w:t>
      </w:r>
      <w:r>
        <w:rPr>
          <w:rFonts w:hint="eastAsia"/>
          <w:b w:val="0"/>
          <w:bCs w:val="0"/>
          <w:color w:val="auto"/>
          <w:highlight w:val="none"/>
          <w:u w:val="none"/>
          <w:lang w:val="en-US" w:eastAsia="zh-CN"/>
        </w:rPr>
        <w:t>至乳源瑶族自治县财政局指定账户，</w:t>
      </w:r>
      <w:r>
        <w:rPr>
          <w:rFonts w:hint="eastAsia"/>
          <w:b w:val="0"/>
          <w:bCs w:val="0"/>
          <w:color w:val="auto"/>
          <w:highlight w:val="none"/>
          <w:u w:val="none"/>
          <w:lang w:eastAsia="zh-CN"/>
        </w:rPr>
        <w:t>由县财政局统筹支付给前期资金垫付相关单位</w:t>
      </w:r>
      <w:r>
        <w:rPr>
          <w:rFonts w:hint="eastAsia"/>
          <w:b w:val="0"/>
          <w:bCs w:val="0"/>
          <w:color w:val="auto"/>
          <w:highlight w:val="none"/>
          <w:u w:val="none"/>
          <w:lang w:val="en-US" w:eastAsia="zh-CN"/>
        </w:rPr>
        <w:t>,</w:t>
      </w:r>
      <w:r>
        <w:rPr>
          <w:rFonts w:hint="eastAsia"/>
          <w:b w:val="0"/>
          <w:bCs w:val="0"/>
          <w:color w:val="auto"/>
          <w:highlight w:val="none"/>
        </w:rPr>
        <w:t>逾期</w:t>
      </w:r>
      <w:r>
        <w:rPr>
          <w:rFonts w:hint="eastAsia"/>
          <w:b w:val="0"/>
          <w:bCs w:val="0"/>
          <w:color w:val="auto"/>
          <w:highlight w:val="none"/>
          <w:lang w:eastAsia="zh-CN"/>
        </w:rPr>
        <w:t>未足额</w:t>
      </w:r>
      <w:r>
        <w:rPr>
          <w:rFonts w:hint="eastAsia"/>
          <w:b w:val="0"/>
          <w:bCs w:val="0"/>
          <w:color w:val="auto"/>
          <w:highlight w:val="none"/>
        </w:rPr>
        <w:t>缴纳的，视为放弃竞得人权利，《成交确认书》自动作废</w:t>
      </w:r>
      <w:r>
        <w:rPr>
          <w:rFonts w:hint="eastAsia"/>
          <w:b w:val="0"/>
          <w:bCs w:val="0"/>
          <w:color w:val="auto"/>
          <w:highlight w:val="none"/>
          <w:lang w:eastAsia="zh-CN"/>
        </w:rPr>
        <w:t>。剩余</w:t>
      </w:r>
      <w:r>
        <w:rPr>
          <w:rFonts w:hint="eastAsia"/>
          <w:b w:val="0"/>
          <w:bCs w:val="0"/>
          <w:color w:val="auto"/>
          <w:highlight w:val="none"/>
          <w:lang w:val="en-US" w:eastAsia="zh-CN"/>
        </w:rPr>
        <w:t>1417.49万元按</w:t>
      </w:r>
      <w:r>
        <w:rPr>
          <w:rFonts w:hint="eastAsia" w:ascii="仿宋_GB2312" w:hAnsi="仿宋_GB2312" w:eastAsia="仿宋_GB2312" w:cs="仿宋_GB2312"/>
          <w:b w:val="0"/>
          <w:bCs w:val="0"/>
          <w:color w:val="auto"/>
          <w:sz w:val="32"/>
          <w:szCs w:val="32"/>
          <w:highlight w:val="none"/>
          <w:u w:val="none"/>
          <w:lang w:val="en-US" w:eastAsia="zh-CN"/>
        </w:rPr>
        <w:t>采矿权设置年限</w:t>
      </w:r>
      <w:r>
        <w:rPr>
          <w:rFonts w:hint="eastAsia" w:cs="仿宋_GB2312"/>
          <w:b w:val="0"/>
          <w:bCs w:val="0"/>
          <w:color w:val="auto"/>
          <w:sz w:val="32"/>
          <w:szCs w:val="32"/>
          <w:highlight w:val="none"/>
          <w:u w:val="none"/>
          <w:lang w:val="en-US" w:eastAsia="zh-CN"/>
        </w:rPr>
        <w:t>等比例</w:t>
      </w:r>
      <w:r>
        <w:rPr>
          <w:rFonts w:hint="eastAsia" w:ascii="仿宋_GB2312" w:hAnsi="仿宋_GB2312" w:eastAsia="仿宋_GB2312" w:cs="仿宋_GB2312"/>
          <w:b w:val="0"/>
          <w:bCs w:val="0"/>
          <w:color w:val="auto"/>
          <w:sz w:val="32"/>
          <w:szCs w:val="32"/>
          <w:highlight w:val="none"/>
          <w:u w:val="none"/>
          <w:lang w:val="en-US" w:eastAsia="zh-CN"/>
        </w:rPr>
        <w:t>逐年支付</w:t>
      </w:r>
      <w:r>
        <w:rPr>
          <w:rFonts w:hint="eastAsia" w:cs="仿宋_GB2312"/>
          <w:b w:val="0"/>
          <w:bCs w:val="0"/>
          <w:color w:val="auto"/>
          <w:sz w:val="32"/>
          <w:szCs w:val="32"/>
          <w:highlight w:val="none"/>
          <w:lang w:val="en-US" w:eastAsia="zh-CN"/>
        </w:rPr>
        <w:t>，</w:t>
      </w:r>
      <w:r>
        <w:rPr>
          <w:rFonts w:hint="eastAsia" w:ascii="仿宋_GB2312" w:hAnsi="仿宋_GB2312" w:eastAsia="仿宋_GB2312" w:cs="仿宋_GB2312"/>
          <w:b w:val="0"/>
          <w:bCs w:val="0"/>
          <w:color w:val="auto"/>
          <w:kern w:val="0"/>
          <w:sz w:val="32"/>
          <w:szCs w:val="32"/>
          <w:highlight w:val="none"/>
          <w:lang w:val="en-US" w:eastAsia="zh-CN" w:bidi="ar"/>
        </w:rPr>
        <w:t>竞得人签订《成交确认书》后3日内与</w:t>
      </w:r>
      <w:r>
        <w:rPr>
          <w:rFonts w:hint="eastAsia" w:cs="仿宋_GB2312"/>
          <w:b w:val="0"/>
          <w:bCs w:val="0"/>
          <w:color w:val="auto"/>
          <w:kern w:val="0"/>
          <w:sz w:val="32"/>
          <w:szCs w:val="32"/>
          <w:highlight w:val="none"/>
          <w:lang w:val="en-US" w:eastAsia="zh-CN" w:bidi="ar"/>
        </w:rPr>
        <w:t>乳源瑶族自治县富丽源乡村振兴有限公司</w:t>
      </w:r>
      <w:r>
        <w:rPr>
          <w:rFonts w:hint="eastAsia" w:ascii="仿宋_GB2312" w:hAnsi="仿宋_GB2312" w:eastAsia="仿宋_GB2312" w:cs="仿宋_GB2312"/>
          <w:b w:val="0"/>
          <w:bCs w:val="0"/>
          <w:color w:val="auto"/>
          <w:kern w:val="0"/>
          <w:sz w:val="32"/>
          <w:szCs w:val="32"/>
          <w:highlight w:val="none"/>
          <w:lang w:val="en-US" w:eastAsia="zh-CN" w:bidi="ar"/>
        </w:rPr>
        <w:t>签订《</w:t>
      </w:r>
      <w:r>
        <w:rPr>
          <w:rFonts w:hint="eastAsia" w:ascii="仿宋_GB2312" w:hAnsi="仿宋_GB2312" w:eastAsia="仿宋_GB2312" w:cs="仿宋_GB2312"/>
          <w:b w:val="0"/>
          <w:bCs w:val="0"/>
          <w:color w:val="auto"/>
          <w:sz w:val="32"/>
          <w:szCs w:val="32"/>
          <w:highlight w:val="none"/>
          <w:u w:val="none"/>
          <w:lang w:eastAsia="zh-CN"/>
        </w:rPr>
        <w:t>缴纳协议</w:t>
      </w:r>
      <w:r>
        <w:rPr>
          <w:rFonts w:hint="eastAsia" w:ascii="仿宋_GB2312" w:hAnsi="仿宋_GB2312" w:eastAsia="仿宋_GB2312" w:cs="仿宋_GB2312"/>
          <w:b w:val="0"/>
          <w:bCs w:val="0"/>
          <w:color w:val="auto"/>
          <w:kern w:val="0"/>
          <w:sz w:val="32"/>
          <w:szCs w:val="32"/>
          <w:highlight w:val="none"/>
          <w:lang w:val="en-US" w:eastAsia="zh-CN" w:bidi="ar"/>
        </w:rPr>
        <w:t>》</w:t>
      </w:r>
      <w:r>
        <w:rPr>
          <w:rFonts w:hint="eastAsia" w:cs="仿宋_GB2312"/>
          <w:b w:val="0"/>
          <w:bCs w:val="0"/>
          <w:color w:val="auto"/>
          <w:kern w:val="0"/>
          <w:sz w:val="32"/>
          <w:szCs w:val="32"/>
          <w:highlight w:val="none"/>
          <w:lang w:val="en-US" w:eastAsia="zh-CN" w:bidi="ar"/>
        </w:rPr>
        <w:t>，</w:t>
      </w:r>
      <w:r>
        <w:rPr>
          <w:rFonts w:hint="eastAsia" w:ascii="仿宋_GB2312" w:hAnsi="仿宋_GB2312" w:eastAsia="仿宋_GB2312" w:cs="仿宋_GB2312"/>
          <w:b w:val="0"/>
          <w:bCs w:val="0"/>
          <w:color w:val="auto"/>
          <w:kern w:val="0"/>
          <w:sz w:val="32"/>
          <w:szCs w:val="32"/>
          <w:highlight w:val="none"/>
          <w:lang w:val="en-US" w:eastAsia="zh-CN" w:bidi="ar"/>
        </w:rPr>
        <w:t>约定该费用缴纳方式及具体事宜。</w:t>
      </w:r>
    </w:p>
    <w:p>
      <w:pPr>
        <w:pageBreakBefore w:val="0"/>
        <w:widowControl w:val="0"/>
        <w:kinsoku/>
        <w:wordWrap/>
        <w:overflowPunct/>
        <w:topLinePunct w:val="0"/>
        <w:autoSpaceDE/>
        <w:autoSpaceDN/>
        <w:bidi w:val="0"/>
        <w:adjustRightInd/>
        <w:snapToGrid/>
        <w:spacing w:line="240" w:lineRule="auto"/>
        <w:rPr>
          <w:rFonts w:hint="eastAsia"/>
          <w:b w:val="0"/>
          <w:bCs w:val="0"/>
          <w:color w:val="auto"/>
          <w:highlight w:val="none"/>
        </w:rPr>
      </w:pPr>
      <w:r>
        <w:rPr>
          <w:rFonts w:hint="eastAsia"/>
          <w:b w:val="0"/>
          <w:bCs w:val="0"/>
          <w:color w:val="auto"/>
          <w:highlight w:val="none"/>
          <w:lang w:val="en-US" w:eastAsia="zh-CN"/>
        </w:rPr>
        <w:t>3.</w:t>
      </w:r>
      <w:r>
        <w:rPr>
          <w:rFonts w:hint="eastAsia"/>
          <w:b w:val="0"/>
          <w:bCs w:val="0"/>
          <w:color w:val="auto"/>
          <w:highlight w:val="none"/>
        </w:rPr>
        <w:t>乡村振兴</w:t>
      </w:r>
      <w:r>
        <w:rPr>
          <w:rFonts w:hint="eastAsia"/>
          <w:b w:val="0"/>
          <w:bCs w:val="0"/>
          <w:color w:val="auto"/>
          <w:highlight w:val="none"/>
          <w:lang w:eastAsia="zh-CN"/>
        </w:rPr>
        <w:t>建设</w:t>
      </w:r>
      <w:r>
        <w:rPr>
          <w:rFonts w:hint="eastAsia"/>
          <w:b w:val="0"/>
          <w:bCs w:val="0"/>
          <w:color w:val="auto"/>
          <w:highlight w:val="none"/>
        </w:rPr>
        <w:t>资金（</w:t>
      </w:r>
      <w:r>
        <w:rPr>
          <w:rFonts w:hint="eastAsia"/>
          <w:b w:val="0"/>
          <w:bCs w:val="0"/>
          <w:color w:val="auto"/>
          <w:highlight w:val="none"/>
          <w:lang w:val="en-US" w:eastAsia="zh-CN"/>
        </w:rPr>
        <w:t>1740.16</w:t>
      </w:r>
      <w:r>
        <w:rPr>
          <w:rFonts w:hint="eastAsia"/>
          <w:b w:val="0"/>
          <w:bCs w:val="0"/>
          <w:color w:val="auto"/>
          <w:highlight w:val="none"/>
        </w:rPr>
        <w:t>万元）。竞得人须在签订《</w:t>
      </w:r>
      <w:r>
        <w:rPr>
          <w:rFonts w:hint="eastAsia"/>
          <w:b w:val="0"/>
          <w:bCs w:val="0"/>
          <w:color w:val="auto"/>
          <w:highlight w:val="none"/>
          <w:lang w:eastAsia="zh-CN"/>
        </w:rPr>
        <w:t>采矿权出让合同</w:t>
      </w:r>
      <w:r>
        <w:rPr>
          <w:rFonts w:hint="eastAsia"/>
          <w:b w:val="0"/>
          <w:bCs w:val="0"/>
          <w:color w:val="auto"/>
          <w:highlight w:val="none"/>
        </w:rPr>
        <w:t>》</w:t>
      </w:r>
      <w:r>
        <w:rPr>
          <w:rFonts w:hint="eastAsia"/>
          <w:b w:val="0"/>
          <w:bCs w:val="0"/>
          <w:color w:val="auto"/>
          <w:highlight w:val="none"/>
          <w:lang w:eastAsia="zh-CN"/>
        </w:rPr>
        <w:t>后，</w:t>
      </w:r>
      <w:r>
        <w:rPr>
          <w:rFonts w:hint="eastAsia"/>
          <w:b w:val="0"/>
          <w:bCs w:val="0"/>
          <w:color w:val="auto"/>
          <w:highlight w:val="none"/>
          <w:lang w:val="en-US" w:eastAsia="zh-CN"/>
        </w:rPr>
        <w:t>3</w:t>
      </w:r>
      <w:r>
        <w:rPr>
          <w:rFonts w:hint="eastAsia"/>
          <w:b w:val="0"/>
          <w:bCs w:val="0"/>
          <w:color w:val="auto"/>
          <w:highlight w:val="none"/>
        </w:rPr>
        <w:t>个工作日</w:t>
      </w:r>
      <w:r>
        <w:rPr>
          <w:rFonts w:hint="eastAsia"/>
          <w:b w:val="0"/>
          <w:bCs w:val="0"/>
          <w:color w:val="auto"/>
          <w:highlight w:val="none"/>
          <w:lang w:eastAsia="zh-CN"/>
        </w:rPr>
        <w:t>内一次性足额</w:t>
      </w:r>
      <w:r>
        <w:rPr>
          <w:rFonts w:hint="eastAsia"/>
          <w:b w:val="0"/>
          <w:bCs w:val="0"/>
          <w:color w:val="auto"/>
          <w:highlight w:val="none"/>
        </w:rPr>
        <w:t>支付乡村振兴</w:t>
      </w:r>
      <w:r>
        <w:rPr>
          <w:rFonts w:hint="eastAsia"/>
          <w:b w:val="0"/>
          <w:bCs w:val="0"/>
          <w:color w:val="auto"/>
          <w:highlight w:val="none"/>
          <w:lang w:eastAsia="zh-CN"/>
        </w:rPr>
        <w:t>建设</w:t>
      </w:r>
      <w:r>
        <w:rPr>
          <w:rFonts w:hint="eastAsia"/>
          <w:b w:val="0"/>
          <w:bCs w:val="0"/>
          <w:color w:val="auto"/>
          <w:highlight w:val="none"/>
        </w:rPr>
        <w:t>费用</w:t>
      </w:r>
      <w:r>
        <w:rPr>
          <w:rFonts w:hint="eastAsia"/>
          <w:b w:val="0"/>
          <w:bCs w:val="0"/>
          <w:color w:val="auto"/>
          <w:highlight w:val="none"/>
          <w:lang w:val="en-US" w:eastAsia="zh-CN"/>
        </w:rPr>
        <w:t>1740.16</w:t>
      </w:r>
      <w:r>
        <w:rPr>
          <w:rFonts w:hint="eastAsia"/>
          <w:b w:val="0"/>
          <w:bCs w:val="0"/>
          <w:color w:val="auto"/>
          <w:highlight w:val="none"/>
        </w:rPr>
        <w:t>万元，该费用不属于采矿权出让收益，</w:t>
      </w:r>
      <w:r>
        <w:rPr>
          <w:rFonts w:hint="eastAsia" w:ascii="仿宋_GB2312" w:hAnsi="仿宋_GB2312" w:eastAsia="仿宋_GB2312" w:cs="仿宋_GB2312"/>
          <w:color w:val="auto"/>
          <w:spacing w:val="0"/>
          <w:kern w:val="2"/>
          <w:sz w:val="32"/>
          <w:szCs w:val="32"/>
          <w:highlight w:val="none"/>
          <w:lang w:eastAsia="zh-CN"/>
        </w:rPr>
        <w:t>由</w:t>
      </w:r>
      <w:r>
        <w:rPr>
          <w:rFonts w:hint="eastAsia" w:cs="仿宋_GB2312"/>
          <w:color w:val="auto"/>
          <w:spacing w:val="0"/>
          <w:kern w:val="2"/>
          <w:sz w:val="32"/>
          <w:szCs w:val="32"/>
          <w:highlight w:val="none"/>
          <w:lang w:eastAsia="zh-CN"/>
        </w:rPr>
        <w:t>竞得人一次性支付</w:t>
      </w:r>
      <w:r>
        <w:rPr>
          <w:rFonts w:hint="eastAsia" w:ascii="仿宋_GB2312" w:hAnsi="仿宋_GB2312" w:eastAsia="仿宋_GB2312" w:cs="仿宋_GB2312"/>
          <w:color w:val="auto"/>
          <w:spacing w:val="0"/>
          <w:kern w:val="2"/>
          <w:sz w:val="32"/>
          <w:szCs w:val="32"/>
          <w:highlight w:val="none"/>
          <w:lang w:eastAsia="zh-CN"/>
        </w:rPr>
        <w:t>至乳源瑶族自治县财政局指定账户，由</w:t>
      </w:r>
      <w:r>
        <w:rPr>
          <w:rFonts w:hint="eastAsia" w:cs="仿宋_GB2312"/>
          <w:color w:val="auto"/>
          <w:spacing w:val="0"/>
          <w:kern w:val="2"/>
          <w:sz w:val="32"/>
          <w:szCs w:val="32"/>
          <w:highlight w:val="none"/>
          <w:lang w:eastAsia="zh-CN"/>
        </w:rPr>
        <w:t>市、</w:t>
      </w:r>
      <w:r>
        <w:rPr>
          <w:rFonts w:hint="eastAsia" w:ascii="仿宋_GB2312" w:hAnsi="仿宋_GB2312" w:eastAsia="仿宋_GB2312" w:cs="仿宋_GB2312"/>
          <w:color w:val="auto"/>
          <w:spacing w:val="0"/>
          <w:kern w:val="2"/>
          <w:sz w:val="32"/>
          <w:szCs w:val="32"/>
          <w:highlight w:val="none"/>
          <w:lang w:eastAsia="zh-CN"/>
        </w:rPr>
        <w:t>县财政局统筹支配。</w:t>
      </w:r>
      <w:r>
        <w:rPr>
          <w:rFonts w:hint="eastAsia"/>
          <w:b w:val="0"/>
          <w:bCs w:val="0"/>
          <w:color w:val="auto"/>
          <w:highlight w:val="none"/>
        </w:rPr>
        <w:t>逾期</w:t>
      </w:r>
      <w:r>
        <w:rPr>
          <w:rFonts w:hint="eastAsia"/>
          <w:b w:val="0"/>
          <w:bCs w:val="0"/>
          <w:color w:val="auto"/>
          <w:highlight w:val="none"/>
          <w:lang w:eastAsia="zh-CN"/>
        </w:rPr>
        <w:t>未足额</w:t>
      </w:r>
      <w:r>
        <w:rPr>
          <w:rFonts w:hint="eastAsia"/>
          <w:b w:val="0"/>
          <w:bCs w:val="0"/>
          <w:color w:val="auto"/>
          <w:highlight w:val="none"/>
        </w:rPr>
        <w:t>缴纳的，视为竞得人违约，《成交确认书》自动作废。</w:t>
      </w:r>
    </w:p>
    <w:p>
      <w:pPr>
        <w:pStyle w:val="4"/>
        <w:pageBreakBefore w:val="0"/>
        <w:widowControl w:val="0"/>
        <w:kinsoku/>
        <w:wordWrap/>
        <w:overflowPunct/>
        <w:topLinePunct w:val="0"/>
        <w:autoSpaceDE/>
        <w:autoSpaceDN/>
        <w:bidi w:val="0"/>
        <w:adjustRightInd/>
        <w:snapToGrid/>
        <w:spacing w:line="240" w:lineRule="auto"/>
        <w:rPr>
          <w:rFonts w:hint="eastAsia"/>
          <w:highlight w:val="none"/>
        </w:rPr>
      </w:pPr>
      <w:r>
        <w:rPr>
          <w:rFonts w:hint="eastAsia"/>
          <w:highlight w:val="none"/>
        </w:rPr>
        <w:t>（十七）其他说明事项。</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1.采矿权出让收益不包括矿区土地租金、地上附着物以及青苗等补偿；不包括资源税、</w:t>
      </w:r>
      <w:r>
        <w:rPr>
          <w:rFonts w:hint="eastAsia"/>
          <w:color w:val="auto"/>
          <w:spacing w:val="0"/>
          <w:highlight w:val="none"/>
          <w:lang w:val="en-US" w:eastAsia="zh-CN"/>
        </w:rPr>
        <w:t>耕地占用税、</w:t>
      </w:r>
      <w:r>
        <w:rPr>
          <w:rFonts w:hint="eastAsia"/>
          <w:b w:val="0"/>
          <w:bCs w:val="0"/>
          <w:color w:val="auto"/>
          <w:highlight w:val="none"/>
        </w:rPr>
        <w:t>矿山地质环境治理恢复基金、采矿权使用费、森林植被恢复费、办理用地手续费用及其他相关费用。以上费用由竞得人自行承担，另行支付，其中涉矿土林地收储流转工作已由政府完成，相关费用已经核算明确，</w:t>
      </w:r>
      <w:r>
        <w:rPr>
          <w:rFonts w:hint="eastAsia"/>
          <w:b w:val="0"/>
          <w:bCs w:val="0"/>
          <w:color w:val="auto"/>
          <w:highlight w:val="none"/>
          <w:lang w:eastAsia="zh-CN"/>
        </w:rPr>
        <w:t>根据《自然资源部关于做好采矿用地保障的通知》（自然资发</w:t>
      </w:r>
      <w:r>
        <w:rPr>
          <w:rFonts w:hint="eastAsia" w:ascii="仿宋_GB2312" w:hAnsi="仿宋_GB2312" w:eastAsia="仿宋_GB2312" w:cs="仿宋_GB2312"/>
          <w:b w:val="0"/>
          <w:bCs w:val="0"/>
          <w:color w:val="auto"/>
          <w:highlight w:val="none"/>
          <w:lang w:eastAsia="zh-CN"/>
        </w:rPr>
        <w:t>〔</w:t>
      </w:r>
      <w:r>
        <w:rPr>
          <w:rFonts w:hint="eastAsia" w:cs="仿宋_GB2312"/>
          <w:b w:val="0"/>
          <w:bCs w:val="0"/>
          <w:color w:val="auto"/>
          <w:highlight w:val="none"/>
          <w:lang w:val="en-US" w:eastAsia="zh-CN"/>
        </w:rPr>
        <w:t>2022</w:t>
      </w:r>
      <w:r>
        <w:rPr>
          <w:rFonts w:hint="eastAsia" w:ascii="仿宋_GB2312" w:hAnsi="仿宋_GB2312" w:eastAsia="仿宋_GB2312" w:cs="仿宋_GB2312"/>
          <w:b w:val="0"/>
          <w:bCs w:val="0"/>
          <w:color w:val="auto"/>
          <w:highlight w:val="none"/>
          <w:lang w:eastAsia="zh-CN"/>
        </w:rPr>
        <w:t>〕</w:t>
      </w:r>
      <w:r>
        <w:rPr>
          <w:rFonts w:hint="eastAsia"/>
          <w:b w:val="0"/>
          <w:bCs w:val="0"/>
          <w:color w:val="auto"/>
          <w:highlight w:val="none"/>
          <w:lang w:val="en-US" w:eastAsia="zh-CN"/>
        </w:rPr>
        <w:t>202号）、《广东省自然资源厅转发自然资源部关于做好采矿用地保障的通知》（粤自然资管制</w:t>
      </w:r>
      <w:r>
        <w:rPr>
          <w:rFonts w:hint="eastAsia" w:ascii="仿宋_GB2312" w:hAnsi="仿宋_GB2312" w:eastAsia="仿宋_GB2312" w:cs="仿宋_GB2312"/>
          <w:b w:val="0"/>
          <w:bCs w:val="0"/>
          <w:color w:val="auto"/>
          <w:highlight w:val="none"/>
          <w:lang w:val="en-US" w:eastAsia="zh-CN"/>
        </w:rPr>
        <w:t>〔</w:t>
      </w:r>
      <w:r>
        <w:rPr>
          <w:rFonts w:hint="eastAsia" w:cs="仿宋_GB2312"/>
          <w:b w:val="0"/>
          <w:bCs w:val="0"/>
          <w:color w:val="auto"/>
          <w:highlight w:val="none"/>
          <w:lang w:val="en-US" w:eastAsia="zh-CN"/>
        </w:rPr>
        <w:t>2022</w:t>
      </w:r>
      <w:r>
        <w:rPr>
          <w:rFonts w:hint="eastAsia" w:ascii="仿宋_GB2312" w:hAnsi="仿宋_GB2312" w:eastAsia="仿宋_GB2312" w:cs="仿宋_GB2312"/>
          <w:b w:val="0"/>
          <w:bCs w:val="0"/>
          <w:color w:val="auto"/>
          <w:highlight w:val="none"/>
          <w:lang w:val="en-US" w:eastAsia="zh-CN"/>
        </w:rPr>
        <w:t>〕</w:t>
      </w:r>
      <w:r>
        <w:rPr>
          <w:rFonts w:hint="eastAsia" w:cs="仿宋_GB2312"/>
          <w:b w:val="0"/>
          <w:bCs w:val="0"/>
          <w:color w:val="auto"/>
          <w:highlight w:val="none"/>
          <w:lang w:val="en-US" w:eastAsia="zh-CN"/>
        </w:rPr>
        <w:t>3137号）文件要求，采矿权竞得人在开采前必须办理农转用审批手续，报批费用由竞得人承担，涉及拟设矿区面积0.102平方公里（153亩），用地报批费用以实际发生金额为准。</w:t>
      </w:r>
      <w:r>
        <w:rPr>
          <w:rFonts w:hint="eastAsia"/>
          <w:b w:val="0"/>
          <w:bCs w:val="0"/>
          <w:color w:val="auto"/>
          <w:highlight w:val="none"/>
        </w:rPr>
        <w:t>竞得人向有关市场监管、生态环境、自然资源、水利、税务</w:t>
      </w:r>
      <w:r>
        <w:rPr>
          <w:rFonts w:hint="eastAsia"/>
          <w:b w:val="0"/>
          <w:bCs w:val="0"/>
          <w:color w:val="auto"/>
          <w:highlight w:val="none"/>
          <w:lang w:eastAsia="zh-CN"/>
        </w:rPr>
        <w:t>、林业</w:t>
      </w:r>
      <w:r>
        <w:rPr>
          <w:rFonts w:hint="eastAsia"/>
          <w:b w:val="0"/>
          <w:bCs w:val="0"/>
          <w:color w:val="auto"/>
          <w:highlight w:val="none"/>
        </w:rPr>
        <w:t>等部门申办手续时需缴交的税费由其自行承担。</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2.本次挂牌不组织现场踏勘，意向竞买人可自行现场踏勘。意向竞买人参加本次出让项目产生的一切费用自行承担。</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3.竞得人使用虚假材料或者采取其他非法手段竞得标的的、弃权或违约的，采矿权由韶关市乳源瑶族自治县自然资源局无偿收回，已付款项不予退回；涉嫌犯罪的，移送公安机关及有关部门依法处理。</w:t>
      </w:r>
    </w:p>
    <w:p>
      <w:pPr>
        <w:pageBreakBefore w:val="0"/>
        <w:widowControl w:val="0"/>
        <w:kinsoku/>
        <w:wordWrap/>
        <w:overflowPunct/>
        <w:topLinePunct w:val="0"/>
        <w:autoSpaceDE/>
        <w:autoSpaceDN/>
        <w:bidi w:val="0"/>
        <w:adjustRightInd/>
        <w:snapToGrid/>
        <w:spacing w:line="240" w:lineRule="auto"/>
        <w:rPr>
          <w:rFonts w:hint="eastAsia"/>
          <w:b w:val="0"/>
          <w:bCs w:val="0"/>
          <w:color w:val="auto"/>
          <w:highlight w:val="none"/>
        </w:rPr>
      </w:pPr>
      <w:r>
        <w:rPr>
          <w:rFonts w:hint="eastAsia"/>
          <w:b w:val="0"/>
          <w:bCs w:val="0"/>
          <w:color w:val="auto"/>
          <w:highlight w:val="none"/>
        </w:rPr>
        <w:t>4.竞得人须自行办理矿山建设开采过程所涉及的土地、山林、道路交通</w:t>
      </w:r>
      <w:r>
        <w:rPr>
          <w:rFonts w:hint="eastAsia"/>
          <w:b w:val="0"/>
          <w:bCs w:val="0"/>
          <w:color w:val="auto"/>
          <w:highlight w:val="none"/>
          <w:lang w:eastAsia="zh-CN"/>
        </w:rPr>
        <w:t>及电力线路迁移</w:t>
      </w:r>
      <w:r>
        <w:rPr>
          <w:rFonts w:hint="eastAsia"/>
          <w:b w:val="0"/>
          <w:bCs w:val="0"/>
          <w:color w:val="auto"/>
          <w:highlight w:val="none"/>
        </w:rPr>
        <w:t>等相关手续，自行理顺与周边村民的关系，竞得人在矿山建设生产、交通运输等过程中遇到的由采矿活动引起的各种问题，应由竞得人自行解决，必要时可咨询相关职能部门意见。</w:t>
      </w:r>
    </w:p>
    <w:p>
      <w:pPr>
        <w:keepNext w:val="0"/>
        <w:keepLines w:val="0"/>
        <w:widowControl/>
        <w:suppressLineNumbers w:val="0"/>
        <w:jc w:val="left"/>
        <w:rPr>
          <w:rFonts w:hint="eastAsia" w:ascii="仿宋_GB2312" w:hAnsi="仿宋_GB2312" w:eastAsia="仿宋_GB2312" w:cs="仿宋_GB2312"/>
          <w:b w:val="0"/>
          <w:bCs w:val="0"/>
          <w:color w:val="auto"/>
          <w:kern w:val="2"/>
          <w:sz w:val="32"/>
          <w:szCs w:val="32"/>
          <w:highlight w:val="none"/>
          <w:lang w:val="en-US" w:eastAsia="zh-CN" w:bidi="ar-SA"/>
        </w:rPr>
      </w:pPr>
      <w:r>
        <w:rPr>
          <w:rFonts w:hint="eastAsia" w:ascii="仿宋_GB2312" w:hAnsi="仿宋_GB2312" w:eastAsia="仿宋_GB2312" w:cs="仿宋_GB2312"/>
          <w:b w:val="0"/>
          <w:bCs w:val="0"/>
          <w:color w:val="auto"/>
          <w:kern w:val="2"/>
          <w:sz w:val="32"/>
          <w:szCs w:val="32"/>
          <w:highlight w:val="none"/>
          <w:lang w:val="en-US" w:eastAsia="zh-CN" w:bidi="ar-SA"/>
        </w:rPr>
        <w:t>5.根据国务院《电力供应与使用条例》第十八条“因建设需要，必须对已建成的供电设施进行迁移、改造或者采取防护措施时，建设单位应当事先与该供电设施管理单位协商，所需工程费用由建设单位负担”等文件要求，竞得人应积极联系广东电网有限责任公司韶关供电局，按照有关要求自行出资完成有关线路迁改工作，确保相关电力设施与矿区保持足够的安全距离</w:t>
      </w:r>
      <w:r>
        <w:rPr>
          <w:rFonts w:hint="eastAsia" w:cs="仿宋_GB2312"/>
          <w:b w:val="0"/>
          <w:bCs w:val="0"/>
          <w:color w:val="auto"/>
          <w:kern w:val="2"/>
          <w:sz w:val="32"/>
          <w:szCs w:val="32"/>
          <w:highlight w:val="none"/>
          <w:lang w:val="en-US" w:eastAsia="zh-CN" w:bidi="ar-SA"/>
        </w:rPr>
        <w:t>。</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lang w:val="en-US" w:eastAsia="zh-CN"/>
        </w:rPr>
        <w:t>6</w:t>
      </w:r>
      <w:r>
        <w:rPr>
          <w:rFonts w:hint="eastAsia"/>
          <w:b w:val="0"/>
          <w:bCs w:val="0"/>
          <w:color w:val="auto"/>
          <w:highlight w:val="none"/>
        </w:rPr>
        <w:t>.竞得人在申请办理《采矿许可证》前必须编制《矿山地质环境保护与土地复垦方案》《</w:t>
      </w:r>
      <w:r>
        <w:rPr>
          <w:rFonts w:hint="eastAsia"/>
          <w:color w:val="auto"/>
          <w:spacing w:val="0"/>
          <w:highlight w:val="none"/>
          <w:lang w:val="en-US" w:eastAsia="zh-CN"/>
        </w:rPr>
        <w:t>建设项目环境影响报告书（表）</w:t>
      </w:r>
      <w:r>
        <w:rPr>
          <w:rFonts w:hint="eastAsia"/>
          <w:b w:val="0"/>
          <w:bCs w:val="0"/>
          <w:color w:val="auto"/>
          <w:highlight w:val="none"/>
        </w:rPr>
        <w:t>》等，在签订《采矿权出让合同》之日起6个月内，按照采矿权新立登记资料清单要求，自行备齐相关材料，向乳源瑶族自治县自然资源局申请办理《采矿许可证》。采矿权竞得人不在规定时间内申请办理《采矿许可证》，视为自动放弃采矿权。出让的采矿权由出让人无偿收回，已付款项不予退回。</w:t>
      </w:r>
    </w:p>
    <w:p>
      <w:pPr>
        <w:pageBreakBefore w:val="0"/>
        <w:kinsoku/>
        <w:wordWrap/>
        <w:overflowPunct/>
        <w:topLinePunct w:val="0"/>
        <w:autoSpaceDE/>
        <w:autoSpaceDN/>
        <w:bidi w:val="0"/>
        <w:adjustRightInd/>
        <w:snapToGrid/>
        <w:spacing w:line="240" w:lineRule="auto"/>
        <w:rPr>
          <w:rFonts w:hint="eastAsia" w:eastAsia="仿宋_GB2312"/>
          <w:color w:val="auto"/>
          <w:spacing w:val="0"/>
          <w:highlight w:val="none"/>
          <w:lang w:eastAsia="zh-CN"/>
        </w:rPr>
      </w:pPr>
      <w:r>
        <w:rPr>
          <w:rFonts w:hint="eastAsia"/>
          <w:b w:val="0"/>
          <w:bCs w:val="0"/>
          <w:color w:val="auto"/>
          <w:highlight w:val="none"/>
          <w:lang w:val="en-US" w:eastAsia="zh-CN"/>
        </w:rPr>
        <w:t>7</w:t>
      </w:r>
      <w:r>
        <w:rPr>
          <w:rFonts w:hint="eastAsia"/>
          <w:b w:val="0"/>
          <w:bCs w:val="0"/>
          <w:color w:val="auto"/>
          <w:highlight w:val="none"/>
        </w:rPr>
        <w:t>.严格落实文物保护义务。</w:t>
      </w:r>
      <w:r>
        <w:rPr>
          <w:rFonts w:hint="eastAsia"/>
          <w:color w:val="auto"/>
          <w:spacing w:val="0"/>
          <w:highlight w:val="none"/>
        </w:rPr>
        <w:t>在矿山开发利用的各项活动中，</w:t>
      </w:r>
      <w:r>
        <w:rPr>
          <w:rFonts w:hint="eastAsia"/>
          <w:color w:val="auto"/>
          <w:spacing w:val="0"/>
          <w:highlight w:val="none"/>
          <w:lang w:eastAsia="zh-CN"/>
        </w:rPr>
        <w:t>矿业权人</w:t>
      </w:r>
      <w:r>
        <w:rPr>
          <w:rFonts w:hint="eastAsia"/>
          <w:color w:val="auto"/>
          <w:spacing w:val="0"/>
          <w:highlight w:val="none"/>
        </w:rPr>
        <w:t>要做好对已公布不可移动文物的保护工作，</w:t>
      </w:r>
      <w:r>
        <w:rPr>
          <w:rFonts w:hint="eastAsia"/>
          <w:color w:val="auto"/>
          <w:spacing w:val="0"/>
          <w:highlight w:val="none"/>
          <w:lang w:eastAsia="zh-CN"/>
        </w:rPr>
        <w:t>注意避让文物保护单位的保护范围和建设控制地带。</w:t>
      </w:r>
      <w:r>
        <w:rPr>
          <w:rFonts w:hint="eastAsia"/>
          <w:color w:val="auto"/>
          <w:spacing w:val="0"/>
          <w:highlight w:val="none"/>
        </w:rPr>
        <w:t>加强对未探明不可移动文物的核实和上报工作，建设单位在施工过程中</w:t>
      </w:r>
      <w:r>
        <w:rPr>
          <w:rFonts w:hint="eastAsia"/>
          <w:color w:val="auto"/>
          <w:spacing w:val="0"/>
          <w:highlight w:val="none"/>
          <w:lang w:eastAsia="zh-CN"/>
        </w:rPr>
        <w:t>如发现重要文物遗存，应立即停止施工并</w:t>
      </w:r>
      <w:r>
        <w:rPr>
          <w:rFonts w:hint="eastAsia"/>
          <w:color w:val="auto"/>
          <w:spacing w:val="0"/>
          <w:highlight w:val="none"/>
        </w:rPr>
        <w:t>保护好现场，即刻通知当地文物行政主管部门进行文物保护</w:t>
      </w:r>
      <w:r>
        <w:rPr>
          <w:rFonts w:hint="eastAsia"/>
          <w:color w:val="auto"/>
          <w:spacing w:val="0"/>
          <w:highlight w:val="none"/>
          <w:lang w:eastAsia="zh-CN"/>
        </w:rPr>
        <w:t>，</w:t>
      </w:r>
      <w:r>
        <w:rPr>
          <w:rFonts w:hint="eastAsia"/>
          <w:color w:val="auto"/>
          <w:spacing w:val="0"/>
          <w:highlight w:val="none"/>
          <w:lang w:val="en-US" w:eastAsia="zh-CN"/>
        </w:rPr>
        <w:t>同时报请组织从事考古发掘的单位在工程范围内进行考古调查、勘探。</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lang w:val="en-US" w:eastAsia="zh-CN"/>
        </w:rPr>
        <w:t>8</w:t>
      </w:r>
      <w:r>
        <w:rPr>
          <w:rFonts w:hint="eastAsia"/>
          <w:b w:val="0"/>
          <w:bCs w:val="0"/>
          <w:color w:val="auto"/>
          <w:highlight w:val="none"/>
        </w:rPr>
        <w:t>.严格遵守道路运输管理规定。①矿业权人应参照建设工程施工的要求，采石场的出入口路面需硬底化，并建有洗车槽，配备车辆冲洗设备。②矿山应配备养路工人和专用洒水车，清扫路面和洒水降尘，防止石场运输车辆造成扬尘和道路损坏。</w:t>
      </w:r>
      <w:r>
        <w:rPr>
          <w:rFonts w:hint="eastAsia"/>
          <w:b w:val="0"/>
          <w:bCs w:val="0"/>
          <w:color w:val="auto"/>
          <w:highlight w:val="none"/>
          <w:u w:val="none"/>
        </w:rPr>
        <w:t>③矿业权人须与乳城镇人民政府签订《矿区附近重要生产生活设施维保协议》并约定，采矿权人应履行矿山经营运输经常出入道路、桥梁等交通、居民生活、工厂、军事等设施的修缮义务，如矿山生产、矿产品运输销售等行为对附近设施造成破坏，由</w:t>
      </w:r>
      <w:r>
        <w:rPr>
          <w:rFonts w:hint="eastAsia"/>
          <w:b w:val="0"/>
          <w:bCs w:val="0"/>
          <w:color w:val="auto"/>
          <w:highlight w:val="none"/>
          <w:u w:val="none"/>
          <w:lang w:eastAsia="zh-CN"/>
        </w:rPr>
        <w:t>竞得人负责修缮并承担</w:t>
      </w:r>
      <w:r>
        <w:rPr>
          <w:rFonts w:hint="eastAsia"/>
          <w:b w:val="0"/>
          <w:bCs w:val="0"/>
          <w:color w:val="auto"/>
          <w:highlight w:val="none"/>
          <w:u w:val="none"/>
        </w:rPr>
        <w:t>相关费用</w:t>
      </w:r>
      <w:r>
        <w:rPr>
          <w:rFonts w:hint="eastAsia"/>
          <w:b w:val="0"/>
          <w:bCs w:val="0"/>
          <w:color w:val="auto"/>
          <w:highlight w:val="none"/>
        </w:rPr>
        <w:t>。④矿业权人须根据《广东省道路货物运输源头超限超载治理办法》，签订《韶关市区道路货物运输源头超限超载治理责任书》，安装称重检测及视频远程监控系统设备，并按照省统一的技术标准和规范接入省货运源头治超信息监管系统。⑤竞得人在矿山生产开采过程中，须在矿山称重检测处安装矿山开采量、税收监管等信息系统，相关数据由政府统筹共享使用。⑥矿区涉及公路部分应按《公路法》第47条、《公路安全保护条例》第17条的规定执行，确保公路安全畅通。</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lang w:val="en-US" w:eastAsia="zh-CN"/>
        </w:rPr>
        <w:t>9</w:t>
      </w:r>
      <w:r>
        <w:rPr>
          <w:rFonts w:hint="eastAsia"/>
          <w:b w:val="0"/>
          <w:bCs w:val="0"/>
          <w:color w:val="auto"/>
          <w:highlight w:val="none"/>
        </w:rPr>
        <w:t>.严格落实水土保持有关义务。竞得人应严格按《中华人民共和国水土保持法》《广东省水土保持条例》（2016年发布）等要求完成水土保持方案编制，落实水土保持“三同时”制度，并根据《广东省水利厅关于简化企业投资生产建设项目水土保持方案审批程序的通知》（粤水水保函〔2019〕691号）要求，在项目开工前到乳源瑶族自治县水务局办理完成水土保持方案审批手续。在生产建设过程中做好流经矿区的雨水、生产生活废水等的收集处理工作，防止其流入矿区下游的南水河河段。</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lang w:val="en-US" w:eastAsia="zh-CN"/>
        </w:rPr>
        <w:t>10</w:t>
      </w:r>
      <w:r>
        <w:rPr>
          <w:rFonts w:hint="eastAsia"/>
          <w:b w:val="0"/>
          <w:bCs w:val="0"/>
          <w:color w:val="auto"/>
          <w:highlight w:val="none"/>
        </w:rPr>
        <w:t>.竞得人须在领取《采矿许可证》之日起6个月内投入生产，逾期不建场或逾期不投入生产的，由出让人无偿收回已出让的采矿权（如涉及非建设用地转建设用地，</w:t>
      </w:r>
      <w:r>
        <w:rPr>
          <w:rFonts w:hint="eastAsia"/>
          <w:b w:val="0"/>
          <w:bCs w:val="0"/>
          <w:color w:val="auto"/>
          <w:highlight w:val="none"/>
          <w:lang w:eastAsia="zh-CN"/>
        </w:rPr>
        <w:t>竞得人</w:t>
      </w:r>
      <w:r>
        <w:rPr>
          <w:rFonts w:hint="eastAsia"/>
          <w:b w:val="0"/>
          <w:bCs w:val="0"/>
          <w:color w:val="auto"/>
          <w:highlight w:val="none"/>
        </w:rPr>
        <w:t>须办理非建设用地转建设用地批准手续</w:t>
      </w:r>
      <w:r>
        <w:rPr>
          <w:rFonts w:hint="eastAsia"/>
          <w:b w:val="0"/>
          <w:bCs w:val="0"/>
          <w:color w:val="auto"/>
          <w:highlight w:val="none"/>
          <w:lang w:eastAsia="zh-CN"/>
        </w:rPr>
        <w:t>，获得批准后</w:t>
      </w:r>
      <w:r>
        <w:rPr>
          <w:rFonts w:hint="eastAsia"/>
          <w:b w:val="0"/>
          <w:bCs w:val="0"/>
          <w:color w:val="auto"/>
          <w:highlight w:val="none"/>
        </w:rPr>
        <w:t>方可动工建场的，竞得人</w:t>
      </w:r>
      <w:r>
        <w:rPr>
          <w:rFonts w:hint="eastAsia"/>
          <w:b w:val="0"/>
          <w:bCs w:val="0"/>
          <w:color w:val="auto"/>
          <w:highlight w:val="none"/>
          <w:lang w:eastAsia="zh-CN"/>
        </w:rPr>
        <w:t>须</w:t>
      </w:r>
      <w:r>
        <w:rPr>
          <w:rFonts w:hint="eastAsia"/>
          <w:b w:val="0"/>
          <w:bCs w:val="0"/>
          <w:color w:val="auto"/>
          <w:highlight w:val="none"/>
        </w:rPr>
        <w:t>按规定提供相关资料，但有关部门未及时审批导致未按时建场或投产的情形除外）。</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1</w:t>
      </w:r>
      <w:r>
        <w:rPr>
          <w:rFonts w:hint="eastAsia"/>
          <w:b w:val="0"/>
          <w:bCs w:val="0"/>
          <w:color w:val="auto"/>
          <w:highlight w:val="none"/>
          <w:lang w:val="en-US" w:eastAsia="zh-CN"/>
        </w:rPr>
        <w:t>1</w:t>
      </w:r>
      <w:r>
        <w:rPr>
          <w:rFonts w:hint="eastAsia"/>
          <w:b w:val="0"/>
          <w:bCs w:val="0"/>
          <w:color w:val="auto"/>
          <w:highlight w:val="none"/>
        </w:rPr>
        <w:t>.采矿权竞得人领取采矿许可证，正式投产后，1年内按照国家绿色矿山建设规范《非金属矿行业绿色矿山建设规范》（DZT0312-2018）完成绿色矿山建设，并根据《广东省自然资源厅关于全面推进绿色矿山建设工作的通知》（粤自然资函〔2021〕497号）要求通过省、市自然资源部门组织的验收。若因采矿权人自身原因，不能完成绿色矿山建设的，矿山所在地县级以上自然资源主管部门应及时下达停产整改通知书，督促限期完成整改，直至达标为止。</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1</w:t>
      </w:r>
      <w:r>
        <w:rPr>
          <w:rFonts w:hint="eastAsia"/>
          <w:b w:val="0"/>
          <w:bCs w:val="0"/>
          <w:color w:val="auto"/>
          <w:highlight w:val="none"/>
          <w:lang w:val="en-US" w:eastAsia="zh-CN"/>
        </w:rPr>
        <w:t>2</w:t>
      </w:r>
      <w:r>
        <w:rPr>
          <w:rFonts w:hint="eastAsia"/>
          <w:b w:val="0"/>
          <w:bCs w:val="0"/>
          <w:color w:val="auto"/>
          <w:highlight w:val="none"/>
        </w:rPr>
        <w:t>.根据《产业结构调整指导目录（2019年本）》（2021年修改）有关规定，竞得人在后续生产过程中生产工艺不能采取以下方式：①集中铲装作业时人工装卸矿岩；②未安装捕尘装置的干式凿岩作业；③主要无轨运输巷道及露天采场采用人力或蓄力运输矿岩；④露天矿山采用扩壶爆破；⑤露天矿山采用掏底崩落、掏挖开采、不分层的“一面墙”开采；⑥露天矿山使用爆破方式对大块矿岩进行二次破碎。</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1</w:t>
      </w:r>
      <w:r>
        <w:rPr>
          <w:rFonts w:hint="eastAsia"/>
          <w:b w:val="0"/>
          <w:bCs w:val="0"/>
          <w:color w:val="auto"/>
          <w:highlight w:val="none"/>
          <w:lang w:val="en-US" w:eastAsia="zh-CN"/>
        </w:rPr>
        <w:t>3</w:t>
      </w:r>
      <w:r>
        <w:rPr>
          <w:rFonts w:hint="eastAsia"/>
          <w:b w:val="0"/>
          <w:bCs w:val="0"/>
          <w:color w:val="auto"/>
          <w:highlight w:val="none"/>
        </w:rPr>
        <w:t>.落实边开采边治理义务。竞得人应按要求计提矿山地质环境治理恢复基金，并按《矿山地质环境保护与土地复垦方案》落实年度的治理恢复内容；基金的计提和使用情况纳入矿山年度公示信息的内容范围。根据有关要求，竞得人还需对矿山损毁土地、矿山恢复治理区域等内容进行长期监测，建设动态监测系统。自然资源主管部门通过随机抽查和专项检查，加强对矿山落实恢复治理责任的监督管理，发现矿山未达到边开采边治理的，依法查处整改；未按要求完成整改</w:t>
      </w:r>
      <w:r>
        <w:rPr>
          <w:rFonts w:hint="eastAsia"/>
          <w:b w:val="0"/>
          <w:bCs w:val="0"/>
          <w:color w:val="auto"/>
          <w:highlight w:val="none"/>
          <w:lang w:eastAsia="zh-CN"/>
        </w:rPr>
        <w:t>的</w:t>
      </w:r>
      <w:r>
        <w:rPr>
          <w:rFonts w:hint="eastAsia"/>
          <w:b w:val="0"/>
          <w:bCs w:val="0"/>
          <w:color w:val="auto"/>
          <w:highlight w:val="none"/>
        </w:rPr>
        <w:t>，矿山将列入矿业权人异常名录或严重违法失信名单，向社会公布，限制行业准入；情节严重的，依法追究其法律责任。同时，矿山企业应加强矿区范围内矿产资源的综合利用，减少固体废弃物的产生。</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1</w:t>
      </w:r>
      <w:r>
        <w:rPr>
          <w:rFonts w:hint="eastAsia"/>
          <w:b w:val="0"/>
          <w:bCs w:val="0"/>
          <w:color w:val="auto"/>
          <w:highlight w:val="none"/>
          <w:lang w:val="en-US" w:eastAsia="zh-CN"/>
        </w:rPr>
        <w:t>4</w:t>
      </w:r>
      <w:r>
        <w:rPr>
          <w:rFonts w:hint="eastAsia"/>
          <w:b w:val="0"/>
          <w:bCs w:val="0"/>
          <w:color w:val="auto"/>
          <w:highlight w:val="none"/>
        </w:rPr>
        <w:t>.因拟设矿区周边涉及相关单位安全距离问题，划定矿区范围已按规定与相关单位预留一定安全距离，已委托第三方技术单位编制《露天爆破作业安全评估报告》并通过专家评审，完成安全评估论证，竞得人应落实以下安全措施及建议：</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（1）爆破作业时严格按爆破设计方案和《爆破安全规程》的要求进行操作到“三控制、一不准”，即控制爆破最小抵抗线方向，控制孔口填塞长度，控制后向和逃逸抵抗线，不准裸露爆破，不准二次破碎爆破。</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（2）单次起爆药量严格执行爆破设计不超过113.1kg，总药量不超过3000kg。</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（3）爆破工程中严禁采用浅孔爆破作业。</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（4）爆破作业应坚持进行振动监测，并撤离300米爆破警戒范围内的（包括地下硐室）的所有人员。</w:t>
      </w:r>
    </w:p>
    <w:p>
      <w:pPr>
        <w:pageBreakBefore w:val="0"/>
        <w:widowControl w:val="0"/>
        <w:kinsoku/>
        <w:wordWrap/>
        <w:overflowPunct/>
        <w:topLinePunct w:val="0"/>
        <w:autoSpaceDE/>
        <w:autoSpaceDN/>
        <w:bidi w:val="0"/>
        <w:adjustRightInd/>
        <w:snapToGrid/>
        <w:spacing w:line="240" w:lineRule="auto"/>
        <w:rPr>
          <w:rFonts w:hint="eastAsia"/>
          <w:b w:val="0"/>
          <w:bCs w:val="0"/>
          <w:color w:val="auto"/>
          <w:highlight w:val="none"/>
          <w:u w:val="none"/>
          <w:lang w:eastAsia="zh-CN"/>
        </w:rPr>
      </w:pPr>
      <w:r>
        <w:rPr>
          <w:rFonts w:hint="eastAsia"/>
          <w:b w:val="0"/>
          <w:bCs w:val="0"/>
          <w:color w:val="auto"/>
          <w:highlight w:val="none"/>
          <w:u w:val="none"/>
        </w:rPr>
        <w:t>1</w:t>
      </w:r>
      <w:r>
        <w:rPr>
          <w:rFonts w:hint="eastAsia"/>
          <w:b w:val="0"/>
          <w:bCs w:val="0"/>
          <w:color w:val="auto"/>
          <w:highlight w:val="none"/>
          <w:u w:val="none"/>
          <w:lang w:val="en-US" w:eastAsia="zh-CN"/>
        </w:rPr>
        <w:t>5</w:t>
      </w:r>
      <w:r>
        <w:rPr>
          <w:rFonts w:hint="eastAsia"/>
          <w:b w:val="0"/>
          <w:bCs w:val="0"/>
          <w:color w:val="auto"/>
          <w:highlight w:val="none"/>
          <w:u w:val="none"/>
        </w:rPr>
        <w:t>.</w:t>
      </w:r>
      <w:r>
        <w:rPr>
          <w:rFonts w:hint="eastAsia"/>
          <w:b w:val="0"/>
          <w:bCs w:val="0"/>
          <w:color w:val="auto"/>
          <w:highlight w:val="none"/>
          <w:u w:val="none"/>
          <w:lang w:eastAsia="zh-CN"/>
        </w:rPr>
        <w:t>竞得人按照约定缴清土地处置成本相关费用后，与乳源瑶族自治县国有企业（富丽源公司）签订涉矿土地使用合同，取得土地使用权。</w:t>
      </w:r>
    </w:p>
    <w:p>
      <w:pPr>
        <w:keepNext w:val="0"/>
        <w:keepLines w:val="0"/>
        <w:widowControl/>
        <w:suppressLineNumbers w:val="0"/>
        <w:jc w:val="left"/>
        <w:rPr>
          <w:rFonts w:hint="eastAsia"/>
          <w:b w:val="0"/>
          <w:bCs w:val="0"/>
          <w:color w:val="auto"/>
          <w:highlight w:val="none"/>
          <w:u w:val="none"/>
          <w:lang w:eastAsia="zh-CN"/>
        </w:rPr>
      </w:pPr>
      <w:r>
        <w:rPr>
          <w:rFonts w:hint="eastAsia" w:eastAsia="仿宋_GB2312" w:cs="仿宋_GB2312"/>
          <w:color w:val="auto"/>
          <w:sz w:val="32"/>
          <w:szCs w:val="32"/>
          <w:highlight w:val="none"/>
          <w:lang w:val="en-US" w:eastAsia="zh-CN"/>
        </w:rPr>
        <w:t>1</w:t>
      </w:r>
      <w:r>
        <w:rPr>
          <w:rFonts w:hint="eastAsia" w:cs="仿宋_GB2312"/>
          <w:color w:val="auto"/>
          <w:sz w:val="32"/>
          <w:szCs w:val="32"/>
          <w:highlight w:val="none"/>
          <w:lang w:val="en-US" w:eastAsia="zh-CN"/>
        </w:rPr>
        <w:t>6</w:t>
      </w:r>
      <w:r>
        <w:rPr>
          <w:rFonts w:hint="eastAsia" w:eastAsia="仿宋_GB2312" w:cs="仿宋_GB2312"/>
          <w:color w:val="auto"/>
          <w:sz w:val="32"/>
          <w:szCs w:val="32"/>
          <w:highlight w:val="none"/>
          <w:lang w:val="en-US" w:eastAsia="zh-CN"/>
        </w:rPr>
        <w:t>.</w:t>
      </w:r>
      <w:r>
        <w:rPr>
          <w:rFonts w:hint="eastAsia"/>
          <w:color w:val="auto"/>
          <w:sz w:val="32"/>
          <w:szCs w:val="32"/>
          <w:highlight w:val="none"/>
          <w:lang w:val="en-US" w:eastAsia="zh-CN"/>
        </w:rPr>
        <w:t>明确新旧矿区治理责任。原矿业权已于2017年6月1日到期，矿山地质环境恢复治理与土地复垦工作未全面实施，根据《广东省自然资源厅矿山地质环境治理恢复基金管理暂行办法》等有关文件精神，旧矿业</w:t>
      </w:r>
      <w:r>
        <w:rPr>
          <w:rFonts w:hint="eastAsia"/>
          <w:color w:val="auto"/>
          <w:highlight w:val="none"/>
          <w:lang w:eastAsia="zh-CN"/>
        </w:rPr>
        <w:t>权人生态环境恢复治理保证金及土地复垦保证金转给地方财政统筹用于相关修复工作，</w:t>
      </w:r>
      <w:r>
        <w:rPr>
          <w:rFonts w:hint="eastAsia"/>
          <w:color w:val="auto"/>
          <w:sz w:val="32"/>
          <w:szCs w:val="32"/>
          <w:highlight w:val="none"/>
          <w:lang w:eastAsia="zh-CN"/>
        </w:rPr>
        <w:t>原矿区由新竞得人负责修复治理。新竞得人应结合旧矿山《地质环境恢复治理与土地复垦方案》重新编制《矿山地质环境恢复治理与土地复垦方案》，同时根据“二合一”方案如期足额缴纳地质</w:t>
      </w:r>
      <w:r>
        <w:rPr>
          <w:rFonts w:hint="eastAsia"/>
          <w:b w:val="0"/>
          <w:bCs w:val="0"/>
          <w:color w:val="auto"/>
          <w:highlight w:val="none"/>
          <w:u w:val="none"/>
          <w:lang w:eastAsia="zh-CN"/>
        </w:rPr>
        <w:t>环境恢复治理基金。</w:t>
      </w:r>
    </w:p>
    <w:p>
      <w:pPr>
        <w:pageBreakBefore w:val="0"/>
        <w:widowControl w:val="0"/>
        <w:kinsoku/>
        <w:wordWrap/>
        <w:overflowPunct/>
        <w:topLinePunct w:val="0"/>
        <w:autoSpaceDE/>
        <w:autoSpaceDN/>
        <w:bidi w:val="0"/>
        <w:adjustRightInd/>
        <w:snapToGrid/>
        <w:spacing w:line="240" w:lineRule="auto"/>
        <w:rPr>
          <w:rFonts w:hint="eastAsia"/>
          <w:b w:val="0"/>
          <w:bCs w:val="0"/>
          <w:color w:val="auto"/>
          <w:highlight w:val="none"/>
        </w:rPr>
      </w:pPr>
      <w:r>
        <w:rPr>
          <w:rFonts w:hint="eastAsia"/>
          <w:b w:val="0"/>
          <w:bCs w:val="0"/>
          <w:color w:val="auto"/>
          <w:highlight w:val="none"/>
        </w:rPr>
        <w:t>1</w:t>
      </w:r>
      <w:r>
        <w:rPr>
          <w:rFonts w:hint="eastAsia"/>
          <w:b w:val="0"/>
          <w:bCs w:val="0"/>
          <w:color w:val="auto"/>
          <w:highlight w:val="none"/>
          <w:lang w:val="en-US" w:eastAsia="zh-CN"/>
        </w:rPr>
        <w:t>7</w:t>
      </w:r>
      <w:r>
        <w:rPr>
          <w:rFonts w:hint="eastAsia"/>
          <w:b w:val="0"/>
          <w:bCs w:val="0"/>
          <w:color w:val="auto"/>
          <w:highlight w:val="none"/>
        </w:rPr>
        <w:t>.采矿权出让期届满后，不再延续，采矿权由政府无偿收回，采矿权人必须按规定办理采矿许可证注销手续，并在6个月完成清场撤离，在1年内完成矿山地质环境治理恢复和土地复垦并通过自然资源主管部门组织验收。</w:t>
      </w:r>
      <w:r>
        <w:rPr>
          <w:rFonts w:hint="eastAsia"/>
          <w:b w:val="0"/>
          <w:bCs w:val="0"/>
          <w:color w:val="auto"/>
          <w:highlight w:val="none"/>
          <w:lang w:eastAsia="zh-CN"/>
        </w:rPr>
        <w:t>若</w:t>
      </w:r>
      <w:r>
        <w:rPr>
          <w:rFonts w:hint="eastAsia"/>
          <w:b w:val="0"/>
          <w:bCs w:val="0"/>
          <w:color w:val="auto"/>
          <w:highlight w:val="none"/>
        </w:rPr>
        <w:t>采矿权人不按规定承担矿山地质环境治理恢复与土地复垦义务或履行不到位、承担责任不足，县级以上自然资源局主管部门可依据相关法律法规对其进行处罚；同时县级以上自然资源主管部门</w:t>
      </w:r>
      <w:r>
        <w:rPr>
          <w:rFonts w:hint="eastAsia"/>
          <w:b w:val="0"/>
          <w:bCs w:val="0"/>
          <w:color w:val="auto"/>
          <w:highlight w:val="none"/>
          <w:lang w:eastAsia="zh-CN"/>
        </w:rPr>
        <w:t>有权</w:t>
      </w:r>
      <w:r>
        <w:rPr>
          <w:rFonts w:hint="eastAsia"/>
          <w:b w:val="0"/>
          <w:bCs w:val="0"/>
          <w:color w:val="auto"/>
          <w:highlight w:val="none"/>
        </w:rPr>
        <w:t>委托第三方进行地质环境治理恢复与土地复垦，治理费用从矿山地质环境治理恢复基金中列支，不足部分由该采矿权人补齐。对拒不履行矿山地质环境治理恢复治理义务的企业，有关主管部门应将其违法违规信息建立信用记录，纳入全国信用信息共享平台，通过“信用中国”网站、国家信息公示系统等向社会公布，为相关行业、部门实施联合惩戒提供信息，并指定符合条件的社会组织就其破坏生态环境的行为向人民法院提起公益诉讼，依据相关法律法规规定对其进行处罚并追究其法律责任。</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lang w:val="en-US" w:eastAsia="zh-CN"/>
        </w:rPr>
        <w:t>18.矿山开采前，矿业权人需充分开展环境影响评估、风险评估、公众参与，充分考虑环境领域的“邻避”矛盾问题。严格实行封闭经营、日常洒水等措施，排水排污要达到环保标准。同时要助力乡村振兴发展，保障矿山附近村中人居环境，积极配合化解“涉矿”纠纷，确保小事不出镇，矛盾不上交。</w:t>
      </w:r>
    </w:p>
    <w:p>
      <w:pPr>
        <w:pStyle w:val="2"/>
        <w:pageBreakBefore w:val="0"/>
        <w:widowControl w:val="0"/>
        <w:kinsoku/>
        <w:wordWrap/>
        <w:overflowPunct/>
        <w:topLinePunct w:val="0"/>
        <w:autoSpaceDE/>
        <w:autoSpaceDN/>
        <w:bidi w:val="0"/>
        <w:adjustRightInd/>
        <w:snapToGrid/>
        <w:spacing w:line="240" w:lineRule="auto"/>
        <w:ind w:firstLine="640"/>
        <w:rPr>
          <w:b w:val="0"/>
          <w:bCs w:val="0"/>
          <w:color w:val="auto"/>
          <w:highlight w:val="none"/>
        </w:rPr>
      </w:pPr>
      <w:r>
        <w:rPr>
          <w:rFonts w:hint="eastAsia"/>
          <w:b w:val="0"/>
          <w:bCs w:val="0"/>
          <w:color w:val="auto"/>
          <w:highlight w:val="none"/>
        </w:rPr>
        <w:t>二、相关要求</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Style w:val="14"/>
          <w:rFonts w:hint="eastAsia"/>
          <w:b w:val="0"/>
          <w:bCs w:val="0"/>
          <w:color w:val="auto"/>
          <w:highlight w:val="none"/>
        </w:rPr>
        <w:t>（一）交易机构：</w:t>
      </w:r>
      <w:r>
        <w:rPr>
          <w:rFonts w:hint="eastAsia"/>
          <w:b w:val="0"/>
          <w:bCs w:val="0"/>
          <w:color w:val="auto"/>
          <w:highlight w:val="none"/>
        </w:rPr>
        <w:t>韶关市公共资源交易中心。</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ascii="楷体_GB2312" w:hAnsi="楷体_GB2312" w:eastAsia="楷体_GB2312" w:cs="楷体_GB2312"/>
          <w:b w:val="0"/>
          <w:bCs w:val="0"/>
          <w:color w:val="auto"/>
          <w:highlight w:val="none"/>
        </w:rPr>
        <w:t>（二）交易方式：</w:t>
      </w:r>
      <w:r>
        <w:rPr>
          <w:rFonts w:hint="eastAsia"/>
          <w:b w:val="0"/>
          <w:bCs w:val="0"/>
          <w:color w:val="auto"/>
          <w:highlight w:val="none"/>
        </w:rPr>
        <w:t>网上挂牌公开交易出让。</w:t>
      </w:r>
    </w:p>
    <w:p>
      <w:pPr>
        <w:pageBreakBefore w:val="0"/>
        <w:widowControl w:val="0"/>
        <w:kinsoku/>
        <w:wordWrap/>
        <w:overflowPunct/>
        <w:topLinePunct w:val="0"/>
        <w:autoSpaceDE/>
        <w:autoSpaceDN/>
        <w:bidi w:val="0"/>
        <w:adjustRightInd/>
        <w:snapToGrid/>
        <w:spacing w:line="240" w:lineRule="auto"/>
        <w:rPr>
          <w:b w:val="0"/>
          <w:bCs w:val="0"/>
          <w:color w:val="auto"/>
          <w:highlight w:val="none"/>
          <w:shd w:val="clear"/>
        </w:rPr>
      </w:pPr>
      <w:r>
        <w:rPr>
          <w:rFonts w:hint="eastAsia" w:ascii="楷体_GB2312" w:hAnsi="楷体_GB2312" w:eastAsia="楷体_GB2312" w:cs="楷体_GB2312"/>
          <w:b w:val="0"/>
          <w:bCs w:val="0"/>
          <w:color w:val="auto"/>
          <w:highlight w:val="none"/>
        </w:rPr>
        <w:t>（三）挂牌起始价：</w:t>
      </w:r>
      <w:r>
        <w:rPr>
          <w:rFonts w:hint="eastAsia"/>
          <w:b w:val="0"/>
          <w:bCs w:val="0"/>
          <w:color w:val="auto"/>
          <w:highlight w:val="none"/>
          <w:shd w:val="clear"/>
        </w:rPr>
        <w:t>271</w:t>
      </w:r>
      <w:r>
        <w:rPr>
          <w:rFonts w:hint="eastAsia"/>
          <w:b w:val="0"/>
          <w:bCs w:val="0"/>
          <w:color w:val="auto"/>
          <w:highlight w:val="none"/>
          <w:shd w:val="clear"/>
          <w:lang w:eastAsia="zh-CN"/>
        </w:rPr>
        <w:t>9</w:t>
      </w:r>
      <w:r>
        <w:rPr>
          <w:rFonts w:hint="eastAsia"/>
          <w:b w:val="0"/>
          <w:bCs w:val="0"/>
          <w:color w:val="auto"/>
          <w:highlight w:val="none"/>
          <w:shd w:val="clear"/>
        </w:rPr>
        <w:t>万元。</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ascii="楷体_GB2312" w:hAnsi="楷体_GB2312" w:eastAsia="楷体_GB2312" w:cs="楷体_GB2312"/>
          <w:b w:val="0"/>
          <w:bCs w:val="0"/>
          <w:color w:val="auto"/>
          <w:highlight w:val="none"/>
        </w:rPr>
        <w:t>（四）增价幅度：</w:t>
      </w:r>
      <w:r>
        <w:rPr>
          <w:rFonts w:hint="eastAsia"/>
          <w:b w:val="0"/>
          <w:bCs w:val="0"/>
          <w:color w:val="auto"/>
          <w:highlight w:val="none"/>
        </w:rPr>
        <w:t>50万元或其整数倍。</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ascii="楷体_GB2312" w:hAnsi="楷体_GB2312" w:eastAsia="楷体_GB2312" w:cs="楷体_GB2312"/>
          <w:b w:val="0"/>
          <w:bCs w:val="0"/>
          <w:color w:val="auto"/>
          <w:highlight w:val="none"/>
        </w:rPr>
        <w:t>（五）竞买保证金：</w:t>
      </w:r>
      <w:r>
        <w:rPr>
          <w:rFonts w:hint="eastAsia"/>
          <w:b w:val="0"/>
          <w:bCs w:val="0"/>
          <w:color w:val="auto"/>
          <w:highlight w:val="none"/>
        </w:rPr>
        <w:t>540万元。</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ascii="楷体_GB2312" w:hAnsi="楷体_GB2312" w:eastAsia="楷体_GB2312" w:cs="楷体_GB2312"/>
          <w:b w:val="0"/>
          <w:bCs w:val="0"/>
          <w:color w:val="auto"/>
          <w:highlight w:val="none"/>
        </w:rPr>
        <w:t>（六）公告时间：</w:t>
      </w:r>
      <w:r>
        <w:rPr>
          <w:rFonts w:hint="eastAsia"/>
          <w:b w:val="0"/>
          <w:bCs w:val="0"/>
          <w:color w:val="auto"/>
          <w:highlight w:val="none"/>
        </w:rPr>
        <w:t>不少于20个工作日，挂牌时间不少于10个工作日。</w:t>
      </w:r>
    </w:p>
    <w:p>
      <w:pPr>
        <w:pageBreakBefore w:val="0"/>
        <w:widowControl w:val="0"/>
        <w:kinsoku/>
        <w:wordWrap/>
        <w:overflowPunct/>
        <w:topLinePunct w:val="0"/>
        <w:autoSpaceDE/>
        <w:autoSpaceDN/>
        <w:bidi w:val="0"/>
        <w:adjustRightInd/>
        <w:snapToGrid/>
        <w:spacing w:line="240" w:lineRule="auto"/>
        <w:rPr>
          <w:rFonts w:ascii="楷体_GB2312" w:hAnsi="楷体_GB2312" w:eastAsia="楷体_GB2312" w:cs="楷体_GB2312"/>
          <w:b w:val="0"/>
          <w:bCs w:val="0"/>
          <w:color w:val="auto"/>
          <w:highlight w:val="none"/>
        </w:rPr>
      </w:pPr>
      <w:r>
        <w:rPr>
          <w:rFonts w:hint="eastAsia" w:ascii="楷体_GB2312" w:hAnsi="楷体_GB2312" w:eastAsia="楷体_GB2312" w:cs="楷体_GB2312"/>
          <w:b w:val="0"/>
          <w:bCs w:val="0"/>
          <w:color w:val="auto"/>
          <w:highlight w:val="none"/>
        </w:rPr>
        <w:t>（七）竞买人资格：</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1.具有独立企业法人资格的企业（法律另有规定除外），但被列入失信企业名单的企业、被列入矿业权人异常名录或严重违法名单的企业，未按照批准的矿山地质环境保护与土地复垦方案履行矿山治理与复垦义务的企业或在矿山关闭、闭坑前未完成矿山治理与复垦的企业和法人不得参加竞买。</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2.本次网上挂牌出让只接受单独竞买，不接受联合竞买。</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3.竞买申请人为中华人民共和国境内注册登记的营利法人，注册资本不低于</w:t>
      </w:r>
      <w:r>
        <w:rPr>
          <w:rFonts w:hint="eastAsia"/>
          <w:b w:val="0"/>
          <w:bCs w:val="0"/>
          <w:color w:val="auto"/>
          <w:highlight w:val="none"/>
          <w:lang w:val="en-US" w:eastAsia="zh-CN"/>
        </w:rPr>
        <w:t>3000</w:t>
      </w:r>
      <w:r>
        <w:rPr>
          <w:rFonts w:hint="eastAsia"/>
          <w:b w:val="0"/>
          <w:bCs w:val="0"/>
          <w:color w:val="auto"/>
          <w:highlight w:val="none"/>
        </w:rPr>
        <w:t>万元；外商投资的，还应符合《外商投资准入特别管理措施（负面清单）》的有关要求。</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4.竞买申请人须提供中华人民共和国境内银行或其分支机构出具的人民币3000万元（含）以上的银行贷款意向书（挂牌报价之日起两年内有效）或人民币3000万元（含）以上的存款证明文件。</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ascii="楷体_GB2312" w:hAnsi="楷体_GB2312" w:eastAsia="楷体_GB2312" w:cs="楷体_GB2312"/>
          <w:b w:val="0"/>
          <w:bCs w:val="0"/>
          <w:color w:val="auto"/>
          <w:highlight w:val="none"/>
        </w:rPr>
        <w:t>（八）资格审查。</w:t>
      </w:r>
      <w:r>
        <w:rPr>
          <w:rFonts w:hint="eastAsia"/>
          <w:b w:val="0"/>
          <w:bCs w:val="0"/>
          <w:color w:val="auto"/>
          <w:highlight w:val="none"/>
        </w:rPr>
        <w:t>采取资格后审方式，由乳源瑶族自治县自然资源局在挂牌实施后对参加者的企业营业执照、法定代表人证明等材料进行资格审查。审查不合格的，取消其竞得资格，竞得采矿权的，采矿权由政府收回并择期重新挂牌，已支付的竞买保证金等相关费用不予退回。竞得人在自然资源部矿业权人勘查开采信息公示系统的“矿业权人异常名录”和“矿业权人严重违法名单”内，或被“信用中国”网站列入失信联合惩戒对象或失信黑名单内，或使用虚假材料或者采取其他非法手段竞得标的的、弃权或违约的，竞得结果无效，采矿权由出让人无偿收回，已付款项不予退回；涉嫌犯罪的，移送公安机关及有关部门依法处理。</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竞得人须在网上挂牌出让活动结束后持相关纸质材料到韶关市公共资源交易中心进行资格审查并签《成交确认书》，材料清单如下：</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1.身份证明文件；</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①有效的营业执照复印件（核原件）；</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②法定代表人证明书及其有效身份证明文件复印件（核原件）；</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③委托他人办理相关手续的，应提交法定代表人签署并加盖单位公章的授权文件及委托代理人有效身份证明文件复印件（核原件），授权文件应明确委托事项和委托权限，加盖公章的单位须对法定代表人和委托代理人签字的真实、合法性负责；</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④“信用中国”网站查询相关证明材料。</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2.竞买申请书（网上打印）；</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3.竞价资格确认书（网上打印）；</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4.成交通知书（网上打印）；</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5.承诺书（网上打印）；</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6.交易保证金缴纳凭证；</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7.中华人民共和国境内银行或其分支机构出具的人民币3000万元（含）以上的银行贷款意向书（挂牌报价之日起两年内有效）或人民币3000万元（含）以上的存款证明文件。</w:t>
      </w:r>
    </w:p>
    <w:p>
      <w:pPr>
        <w:pageBreakBefore w:val="0"/>
        <w:widowControl w:val="0"/>
        <w:kinsoku/>
        <w:wordWrap/>
        <w:overflowPunct/>
        <w:topLinePunct w:val="0"/>
        <w:autoSpaceDE/>
        <w:autoSpaceDN/>
        <w:bidi w:val="0"/>
        <w:adjustRightInd/>
        <w:snapToGrid/>
        <w:spacing w:line="240" w:lineRule="auto"/>
        <w:rPr>
          <w:rFonts w:ascii="楷体_GB2312" w:hAnsi="楷体_GB2312" w:eastAsia="楷体_GB2312" w:cs="楷体_GB2312"/>
          <w:b w:val="0"/>
          <w:bCs w:val="0"/>
          <w:color w:val="auto"/>
          <w:highlight w:val="none"/>
        </w:rPr>
      </w:pPr>
      <w:r>
        <w:rPr>
          <w:rFonts w:hint="eastAsia" w:ascii="楷体_GB2312" w:hAnsi="楷体_GB2312" w:eastAsia="楷体_GB2312" w:cs="楷体_GB2312"/>
          <w:b w:val="0"/>
          <w:bCs w:val="0"/>
          <w:color w:val="auto"/>
          <w:highlight w:val="none"/>
        </w:rPr>
        <w:t>（九）竞得人需承担的费用：</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1.采矿权出让收益：按成交价格签订采矿权出让合同，按照《财政部自然资源部税务总局关于印发〈矿业权出让收益征收办法〉的通知》（财综〔2023〕10号）有关要求缴交；</w:t>
      </w:r>
    </w:p>
    <w:p>
      <w:pPr>
        <w:pageBreakBefore w:val="0"/>
        <w:widowControl w:val="0"/>
        <w:kinsoku/>
        <w:wordWrap/>
        <w:overflowPunct/>
        <w:topLinePunct w:val="0"/>
        <w:autoSpaceDE/>
        <w:autoSpaceDN/>
        <w:bidi w:val="0"/>
        <w:adjustRightInd/>
        <w:snapToGrid/>
        <w:spacing w:line="240" w:lineRule="auto"/>
        <w:rPr>
          <w:rFonts w:hint="eastAsia"/>
          <w:b w:val="0"/>
          <w:bCs w:val="0"/>
          <w:color w:val="auto"/>
          <w:highlight w:val="none"/>
          <w:lang w:val="en-US" w:eastAsia="zh-CN"/>
        </w:rPr>
      </w:pPr>
      <w:r>
        <w:rPr>
          <w:rFonts w:hint="eastAsia"/>
          <w:b w:val="0"/>
          <w:bCs w:val="0"/>
          <w:color w:val="auto"/>
          <w:highlight w:val="none"/>
        </w:rPr>
        <w:t>2.采矿权挂牌前期投入费用</w:t>
      </w:r>
      <w:r>
        <w:rPr>
          <w:rFonts w:hint="eastAsia"/>
          <w:b w:val="0"/>
          <w:bCs w:val="0"/>
          <w:color w:val="auto"/>
          <w:highlight w:val="none"/>
          <w:lang w:eastAsia="zh-CN"/>
        </w:rPr>
        <w:t>（</w:t>
      </w:r>
      <w:r>
        <w:rPr>
          <w:rFonts w:hint="eastAsia"/>
          <w:b w:val="0"/>
          <w:bCs w:val="0"/>
          <w:color w:val="auto"/>
          <w:highlight w:val="none"/>
          <w:u w:val="none"/>
          <w:lang w:val="en-US" w:eastAsia="zh-CN"/>
        </w:rPr>
        <w:t>2358.68万元</w:t>
      </w:r>
      <w:r>
        <w:rPr>
          <w:rFonts w:hint="eastAsia"/>
          <w:b w:val="0"/>
          <w:bCs w:val="0"/>
          <w:color w:val="auto"/>
          <w:highlight w:val="none"/>
          <w:lang w:val="en-US" w:eastAsia="zh-CN"/>
        </w:rPr>
        <w:t>）、</w:t>
      </w:r>
      <w:r>
        <w:rPr>
          <w:rFonts w:hint="eastAsia"/>
          <w:b w:val="0"/>
          <w:bCs w:val="0"/>
          <w:color w:val="auto"/>
          <w:highlight w:val="none"/>
        </w:rPr>
        <w:t>乡村振兴</w:t>
      </w:r>
      <w:r>
        <w:rPr>
          <w:rFonts w:hint="eastAsia"/>
          <w:b w:val="0"/>
          <w:bCs w:val="0"/>
          <w:color w:val="auto"/>
          <w:highlight w:val="none"/>
          <w:lang w:eastAsia="zh-CN"/>
        </w:rPr>
        <w:t>建设</w:t>
      </w:r>
      <w:r>
        <w:rPr>
          <w:rFonts w:hint="eastAsia"/>
          <w:b w:val="0"/>
          <w:bCs w:val="0"/>
          <w:color w:val="auto"/>
          <w:highlight w:val="none"/>
        </w:rPr>
        <w:t>配套</w:t>
      </w:r>
      <w:r>
        <w:rPr>
          <w:rFonts w:hint="eastAsia"/>
          <w:b w:val="0"/>
          <w:bCs w:val="0"/>
          <w:color w:val="auto"/>
          <w:highlight w:val="none"/>
          <w:lang w:eastAsia="zh-CN"/>
        </w:rPr>
        <w:t>资金</w:t>
      </w:r>
      <w:r>
        <w:rPr>
          <w:rFonts w:hint="eastAsia"/>
          <w:b w:val="0"/>
          <w:bCs w:val="0"/>
          <w:color w:val="auto"/>
          <w:highlight w:val="none"/>
          <w:lang w:val="en-US" w:eastAsia="zh-CN"/>
        </w:rPr>
        <w:t>1740.16万元</w:t>
      </w:r>
      <w:r>
        <w:rPr>
          <w:rFonts w:hint="eastAsia" w:cs="仿宋_GB2312"/>
          <w:b w:val="0"/>
          <w:bCs w:val="0"/>
          <w:color w:val="auto"/>
          <w:highlight w:val="none"/>
          <w:lang w:val="en-US" w:eastAsia="zh-CN"/>
        </w:rPr>
        <w:t>；</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3.办理采矿权登记之前，竞得人按相关部门要求自行编制或委托专业技术机构编制各项技术资料的费用；</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4.采矿权使用费500元/年</w:t>
      </w:r>
      <w:r>
        <w:rPr>
          <w:rFonts w:hint="eastAsia"/>
          <w:b w:val="0"/>
          <w:bCs w:val="0"/>
          <w:color w:val="auto"/>
          <w:highlight w:val="none"/>
          <w:lang w:val="en-US" w:eastAsia="zh-CN"/>
        </w:rPr>
        <w:t>/矿</w:t>
      </w:r>
      <w:r>
        <w:rPr>
          <w:rFonts w:hint="eastAsia"/>
          <w:b w:val="0"/>
          <w:bCs w:val="0"/>
          <w:color w:val="auto"/>
          <w:highlight w:val="none"/>
        </w:rPr>
        <w:t>；</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lang w:val="en-US" w:eastAsia="zh-CN"/>
        </w:rPr>
        <w:t>5.</w:t>
      </w:r>
      <w:r>
        <w:rPr>
          <w:rFonts w:hint="eastAsia"/>
          <w:b w:val="0"/>
          <w:bCs w:val="0"/>
          <w:color w:val="auto"/>
          <w:highlight w:val="none"/>
        </w:rPr>
        <w:t>约定的其它费用。</w:t>
      </w:r>
    </w:p>
    <w:p>
      <w:pPr>
        <w:pStyle w:val="2"/>
        <w:pageBreakBefore w:val="0"/>
        <w:widowControl w:val="0"/>
        <w:kinsoku/>
        <w:wordWrap/>
        <w:overflowPunct/>
        <w:topLinePunct w:val="0"/>
        <w:autoSpaceDE/>
        <w:autoSpaceDN/>
        <w:bidi w:val="0"/>
        <w:adjustRightInd/>
        <w:snapToGrid/>
        <w:spacing w:line="240" w:lineRule="auto"/>
        <w:ind w:firstLine="640"/>
        <w:rPr>
          <w:b w:val="0"/>
          <w:bCs w:val="0"/>
          <w:color w:val="auto"/>
          <w:highlight w:val="none"/>
        </w:rPr>
      </w:pPr>
      <w:r>
        <w:rPr>
          <w:rFonts w:hint="eastAsia"/>
          <w:b w:val="0"/>
          <w:bCs w:val="0"/>
          <w:color w:val="auto"/>
          <w:highlight w:val="none"/>
        </w:rPr>
        <w:t>三、风险提示</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Style w:val="14"/>
          <w:rFonts w:hint="eastAsia"/>
          <w:b w:val="0"/>
          <w:bCs w:val="0"/>
          <w:color w:val="auto"/>
          <w:highlight w:val="none"/>
        </w:rPr>
        <w:t>（一）</w:t>
      </w:r>
      <w:r>
        <w:rPr>
          <w:rFonts w:hint="eastAsia"/>
          <w:b w:val="0"/>
          <w:bCs w:val="0"/>
          <w:color w:val="auto"/>
          <w:highlight w:val="none"/>
        </w:rPr>
        <w:t>矿产资源投资具有投资风险性，存在不可抗力和政策变化，竞买人应充分了解和考虑，慎重决策。充分评估投资风险，一旦竞得，签订《成交确认书》，不得以矿产资源储量核实报告中的资源储量、开采条件、发生不可抗力等为由向自然资源部门提出退款、索赔、延长开采期限等要求。</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Style w:val="14"/>
          <w:rFonts w:hint="eastAsia"/>
          <w:b w:val="0"/>
          <w:bCs w:val="0"/>
          <w:color w:val="auto"/>
          <w:highlight w:val="none"/>
        </w:rPr>
        <w:t>（二）</w:t>
      </w:r>
      <w:r>
        <w:rPr>
          <w:rFonts w:hint="eastAsia"/>
          <w:b w:val="0"/>
          <w:bCs w:val="0"/>
          <w:color w:val="auto"/>
          <w:highlight w:val="none"/>
        </w:rPr>
        <w:t>矿山建设、开发开采过程中存在不可预见风险，如果因法律、法规和国家省市县环保、安全等产业政策的调整不能办理采矿证的，竞得人自担风险。</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Style w:val="14"/>
          <w:rFonts w:hint="eastAsia"/>
          <w:b w:val="0"/>
          <w:bCs w:val="0"/>
          <w:color w:val="auto"/>
          <w:highlight w:val="none"/>
        </w:rPr>
        <w:t>（三）</w:t>
      </w:r>
      <w:r>
        <w:rPr>
          <w:rFonts w:hint="eastAsia"/>
          <w:b w:val="0"/>
          <w:bCs w:val="0"/>
          <w:color w:val="auto"/>
          <w:highlight w:val="none"/>
        </w:rPr>
        <w:t>矿山建设、开发开采过程中涉及的林地、水、电、道路、环保</w:t>
      </w:r>
      <w:r>
        <w:rPr>
          <w:rFonts w:hint="eastAsia"/>
          <w:b w:val="0"/>
          <w:bCs w:val="0"/>
          <w:color w:val="auto"/>
          <w:highlight w:val="none"/>
          <w:lang w:eastAsia="zh-CN"/>
        </w:rPr>
        <w:t>、电力线路迁移和</w:t>
      </w:r>
      <w:r>
        <w:rPr>
          <w:rFonts w:hint="eastAsia"/>
          <w:b w:val="0"/>
          <w:bCs w:val="0"/>
          <w:color w:val="auto"/>
          <w:highlight w:val="none"/>
        </w:rPr>
        <w:t>地面附着物搬迁等事宜由竞得人自费解决。</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Style w:val="14"/>
          <w:rFonts w:hint="eastAsia"/>
          <w:b w:val="0"/>
          <w:bCs w:val="0"/>
          <w:color w:val="auto"/>
          <w:highlight w:val="none"/>
        </w:rPr>
        <w:t>（四）</w:t>
      </w:r>
      <w:r>
        <w:rPr>
          <w:rFonts w:hint="eastAsia"/>
          <w:b w:val="0"/>
          <w:bCs w:val="0"/>
          <w:color w:val="auto"/>
          <w:highlight w:val="none"/>
        </w:rPr>
        <w:t>矿区周边存在相关单位安全距离问题，为达到矿山开采条件，划定矿区范围已按规定与相关单位预留一定安全距离，已委托第三方技术单位编制《露天爆破作业安全评估报告》并通过专家评审，矿山生产应务必保障矿区附近设施安全。</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Style w:val="14"/>
          <w:rFonts w:hint="eastAsia"/>
          <w:b w:val="0"/>
          <w:bCs w:val="0"/>
          <w:color w:val="auto"/>
          <w:highlight w:val="none"/>
        </w:rPr>
        <w:t>（五）</w:t>
      </w:r>
      <w:r>
        <w:rPr>
          <w:rFonts w:hint="eastAsia"/>
          <w:b w:val="0"/>
          <w:bCs w:val="0"/>
          <w:color w:val="auto"/>
          <w:highlight w:val="none"/>
        </w:rPr>
        <w:t>竞买人一经报价，即表示对出让标的物可能存在的瑕疵及风险已经了解并自愿全部承担。</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Style w:val="14"/>
          <w:rFonts w:hint="eastAsia"/>
          <w:b w:val="0"/>
          <w:bCs w:val="0"/>
          <w:color w:val="auto"/>
          <w:highlight w:val="none"/>
        </w:rPr>
        <w:t>（六）</w:t>
      </w:r>
      <w:r>
        <w:rPr>
          <w:rFonts w:hint="eastAsia"/>
          <w:b w:val="0"/>
          <w:bCs w:val="0"/>
          <w:color w:val="auto"/>
          <w:highlight w:val="none"/>
        </w:rPr>
        <w:t>申请竞买者自行前往矿区踏勘，全面了解采矿权现状，确定是否竞买，踏勘费用自理。</w:t>
      </w:r>
    </w:p>
    <w:p>
      <w:pPr>
        <w:pStyle w:val="2"/>
        <w:pageBreakBefore w:val="0"/>
        <w:widowControl w:val="0"/>
        <w:kinsoku/>
        <w:wordWrap/>
        <w:overflowPunct/>
        <w:topLinePunct w:val="0"/>
        <w:autoSpaceDE/>
        <w:autoSpaceDN/>
        <w:bidi w:val="0"/>
        <w:adjustRightInd/>
        <w:snapToGrid/>
        <w:spacing w:line="240" w:lineRule="auto"/>
        <w:ind w:firstLine="640"/>
        <w:rPr>
          <w:b w:val="0"/>
          <w:bCs w:val="0"/>
          <w:color w:val="auto"/>
          <w:highlight w:val="none"/>
        </w:rPr>
      </w:pPr>
      <w:r>
        <w:rPr>
          <w:rFonts w:hint="eastAsia"/>
          <w:b w:val="0"/>
          <w:bCs w:val="0"/>
          <w:color w:val="auto"/>
          <w:highlight w:val="none"/>
        </w:rPr>
        <w:t>四、公共资源领域失信联合惩戒相关提示</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Style w:val="14"/>
          <w:rFonts w:hint="eastAsia"/>
          <w:b w:val="0"/>
          <w:bCs w:val="0"/>
          <w:color w:val="auto"/>
          <w:highlight w:val="none"/>
        </w:rPr>
        <w:t>（一）</w:t>
      </w:r>
      <w:r>
        <w:rPr>
          <w:rFonts w:hint="eastAsia"/>
          <w:b w:val="0"/>
          <w:bCs w:val="0"/>
          <w:color w:val="auto"/>
          <w:highlight w:val="none"/>
        </w:rPr>
        <w:t>竞买人存在《关于对公共资源交易领域严重失信主体开展联合惩戒的备忘</w:t>
      </w:r>
      <w:bookmarkStart w:id="0" w:name="_GoBack"/>
      <w:bookmarkEnd w:id="0"/>
      <w:r>
        <w:rPr>
          <w:rFonts w:hint="eastAsia"/>
          <w:b w:val="0"/>
          <w:bCs w:val="0"/>
          <w:color w:val="auto"/>
          <w:highlight w:val="none"/>
        </w:rPr>
        <w:t>录》列明的失信行为，属于联合惩戒对象的，依法限制参加本次采矿权交易活动。</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Style w:val="14"/>
          <w:rFonts w:hint="eastAsia"/>
          <w:b w:val="0"/>
          <w:bCs w:val="0"/>
          <w:color w:val="auto"/>
          <w:highlight w:val="none"/>
        </w:rPr>
        <w:t>（二）</w:t>
      </w:r>
      <w:r>
        <w:rPr>
          <w:rFonts w:hint="eastAsia"/>
          <w:b w:val="0"/>
          <w:bCs w:val="0"/>
          <w:color w:val="auto"/>
          <w:highlight w:val="none"/>
        </w:rPr>
        <w:t>竞买人虽未被列入联合惩戒备忘录，但在本次采矿权出让活动中以抬高竞价为由向其他竞买人勒索财物的，一经查实，其行为将被列为失信惩戒备忘录。</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Style w:val="14"/>
          <w:rFonts w:hint="eastAsia"/>
          <w:b w:val="0"/>
          <w:bCs w:val="0"/>
          <w:color w:val="auto"/>
          <w:highlight w:val="none"/>
        </w:rPr>
        <w:t>（三）</w:t>
      </w:r>
      <w:r>
        <w:rPr>
          <w:rFonts w:hint="eastAsia"/>
          <w:b w:val="0"/>
          <w:bCs w:val="0"/>
          <w:color w:val="auto"/>
          <w:highlight w:val="none"/>
        </w:rPr>
        <w:t>竞得人在自然资源部矿业权人勘查开采信息公示系统的“矿业权人异常名录”和“矿业权人严重违法名单”内或被“信用中国”网站列入失信联合惩戒对象或失信黑名单等，将取消竞得人资格。</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Style w:val="14"/>
          <w:rFonts w:hint="eastAsia"/>
          <w:b w:val="0"/>
          <w:bCs w:val="0"/>
          <w:color w:val="auto"/>
          <w:highlight w:val="none"/>
        </w:rPr>
        <w:t>（四）</w:t>
      </w:r>
      <w:r>
        <w:rPr>
          <w:rFonts w:hint="eastAsia"/>
          <w:b w:val="0"/>
          <w:bCs w:val="0"/>
          <w:color w:val="auto"/>
          <w:highlight w:val="none"/>
        </w:rPr>
        <w:t>有下列情形之一的，视为投标人、竞买人、中标人、竞得人违约，按照公告或者合同约定承担相应的违约责任，接受公共资源交易领域失信联合惩戒：</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1.投标人相互串通投标、竞买人之间串通报价，损害国家利益、社会公共利益或者他人合法权益的；</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2.投标人、竞买人弄虚作假，骗取交易资格或中标、竞得的；</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3.中标人放弃中标项目的、竞得人拒绝签订矿业权成交确认书，中标人、竞得人逾期不签订或者拒绝签订出让合同的；</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4.中标人、竞得人未按约定的时间付清约定的矿业权出让收益或者其他相关费用的；</w:t>
      </w:r>
    </w:p>
    <w:p>
      <w:pPr>
        <w:pageBreakBefore w:val="0"/>
        <w:widowControl w:val="0"/>
        <w:kinsoku/>
        <w:wordWrap/>
        <w:overflowPunct/>
        <w:topLinePunct w:val="0"/>
        <w:autoSpaceDE/>
        <w:autoSpaceDN/>
        <w:bidi w:val="0"/>
        <w:adjustRightInd/>
        <w:snapToGrid/>
        <w:spacing w:line="240" w:lineRule="auto"/>
        <w:rPr>
          <w:b w:val="0"/>
          <w:bCs w:val="0"/>
          <w:color w:val="auto"/>
          <w:highlight w:val="none"/>
        </w:rPr>
      </w:pPr>
      <w:r>
        <w:rPr>
          <w:rFonts w:hint="eastAsia"/>
          <w:b w:val="0"/>
          <w:bCs w:val="0"/>
          <w:color w:val="auto"/>
          <w:highlight w:val="none"/>
        </w:rPr>
        <w:t>5.向主管部门或者评标委员会及其成员行贿或者采取其他不正当手段中标或者竞得的；</w:t>
      </w:r>
    </w:p>
    <w:p>
      <w:pPr>
        <w:pageBreakBefore w:val="0"/>
        <w:widowControl w:val="0"/>
        <w:kinsoku/>
        <w:wordWrap/>
        <w:overflowPunct/>
        <w:topLinePunct w:val="0"/>
        <w:autoSpaceDE/>
        <w:autoSpaceDN/>
        <w:bidi w:val="0"/>
        <w:adjustRightInd/>
        <w:snapToGrid/>
        <w:spacing w:line="240" w:lineRule="auto"/>
        <w:rPr>
          <w:rFonts w:hint="eastAsia"/>
          <w:b w:val="0"/>
          <w:bCs w:val="0"/>
          <w:color w:val="auto"/>
          <w:highlight w:val="none"/>
        </w:rPr>
      </w:pPr>
      <w:r>
        <w:rPr>
          <w:rFonts w:hint="eastAsia"/>
          <w:b w:val="0"/>
          <w:bCs w:val="0"/>
          <w:color w:val="auto"/>
          <w:highlight w:val="none"/>
        </w:rPr>
        <w:t>6.其他依法应当认定为违约的情形。</w:t>
      </w:r>
    </w:p>
    <w:p>
      <w:pPr>
        <w:pageBreakBefore w:val="0"/>
        <w:widowControl w:val="0"/>
        <w:kinsoku/>
        <w:wordWrap/>
        <w:overflowPunct/>
        <w:topLinePunct w:val="0"/>
        <w:autoSpaceDE/>
        <w:autoSpaceDN/>
        <w:bidi w:val="0"/>
        <w:adjustRightInd/>
        <w:snapToGrid/>
        <w:spacing w:line="240" w:lineRule="auto"/>
        <w:rPr>
          <w:rFonts w:hint="eastAsia"/>
          <w:highlight w:val="none"/>
        </w:rPr>
      </w:pPr>
    </w:p>
    <w:p>
      <w:pPr>
        <w:pageBreakBefore w:val="0"/>
        <w:widowControl w:val="0"/>
        <w:kinsoku/>
        <w:wordWrap/>
        <w:overflowPunct/>
        <w:topLinePunct w:val="0"/>
        <w:autoSpaceDE/>
        <w:autoSpaceDN/>
        <w:bidi w:val="0"/>
        <w:adjustRightInd/>
        <w:snapToGrid/>
        <w:spacing w:line="240" w:lineRule="auto"/>
        <w:rPr>
          <w:rFonts w:hint="eastAsia"/>
          <w:highlight w:val="none"/>
          <w:lang w:eastAsia="zh-CN"/>
        </w:rPr>
      </w:pPr>
    </w:p>
    <w:sectPr>
      <w:headerReference r:id="rId5" w:type="default"/>
      <w:footerReference r:id="rId6" w:type="default"/>
      <w:pgSz w:w="11906" w:h="16838"/>
      <w:pgMar w:top="2098" w:right="1701" w:bottom="1984" w:left="1701" w:header="851" w:footer="1474" w:gutter="0"/>
      <w:cols w:space="0" w:num="1"/>
      <w:docGrid w:type="lines" w:linePitch="57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ind w:firstLine="56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7"/>
                      <w:ind w:firstLine="56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r>
                      <w:rPr>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2MTIwZGUwY2Q4NDE3Y2E0OGRmMTg1ZmM5MzM0MGQifQ=="/>
  </w:docVars>
  <w:rsids>
    <w:rsidRoot w:val="3F405BA5"/>
    <w:rsid w:val="0075748F"/>
    <w:rsid w:val="008D0E17"/>
    <w:rsid w:val="009462D4"/>
    <w:rsid w:val="00A0345B"/>
    <w:rsid w:val="00AD0B60"/>
    <w:rsid w:val="00C57B5A"/>
    <w:rsid w:val="00DF55DE"/>
    <w:rsid w:val="01695FE9"/>
    <w:rsid w:val="024A5E4B"/>
    <w:rsid w:val="036162BB"/>
    <w:rsid w:val="04664A43"/>
    <w:rsid w:val="05AF5B06"/>
    <w:rsid w:val="05F90FED"/>
    <w:rsid w:val="07883904"/>
    <w:rsid w:val="09311852"/>
    <w:rsid w:val="0A3C0B18"/>
    <w:rsid w:val="0A4A5BF8"/>
    <w:rsid w:val="0A4E7ED3"/>
    <w:rsid w:val="0A751C33"/>
    <w:rsid w:val="0B2C135B"/>
    <w:rsid w:val="0CBB2517"/>
    <w:rsid w:val="0D4A1FDA"/>
    <w:rsid w:val="0DD159A7"/>
    <w:rsid w:val="0E6236FD"/>
    <w:rsid w:val="0E7D4B58"/>
    <w:rsid w:val="0FC64138"/>
    <w:rsid w:val="11515425"/>
    <w:rsid w:val="11AB19B5"/>
    <w:rsid w:val="11E9219A"/>
    <w:rsid w:val="12135C1B"/>
    <w:rsid w:val="12174B86"/>
    <w:rsid w:val="12A67766"/>
    <w:rsid w:val="13171C0E"/>
    <w:rsid w:val="14F26BE8"/>
    <w:rsid w:val="1581380F"/>
    <w:rsid w:val="173A2123"/>
    <w:rsid w:val="188B4979"/>
    <w:rsid w:val="18D8635E"/>
    <w:rsid w:val="1937447D"/>
    <w:rsid w:val="194B7296"/>
    <w:rsid w:val="19C43E7F"/>
    <w:rsid w:val="1BFE3064"/>
    <w:rsid w:val="1C6C7C4F"/>
    <w:rsid w:val="1C8B27CB"/>
    <w:rsid w:val="1D724B6B"/>
    <w:rsid w:val="1E1F2A02"/>
    <w:rsid w:val="1E27608E"/>
    <w:rsid w:val="1EA12FAF"/>
    <w:rsid w:val="1EA91C48"/>
    <w:rsid w:val="1F03048B"/>
    <w:rsid w:val="1F1817BF"/>
    <w:rsid w:val="1F3539BF"/>
    <w:rsid w:val="1F932403"/>
    <w:rsid w:val="1FD11CB2"/>
    <w:rsid w:val="205C602E"/>
    <w:rsid w:val="212371B4"/>
    <w:rsid w:val="21444984"/>
    <w:rsid w:val="21FC2B51"/>
    <w:rsid w:val="23E603CD"/>
    <w:rsid w:val="23FE6FA6"/>
    <w:rsid w:val="244C1D76"/>
    <w:rsid w:val="261455E0"/>
    <w:rsid w:val="27D17500"/>
    <w:rsid w:val="2802056C"/>
    <w:rsid w:val="2A383867"/>
    <w:rsid w:val="2AAE0992"/>
    <w:rsid w:val="2B0F7992"/>
    <w:rsid w:val="2B5E52B2"/>
    <w:rsid w:val="2CC70022"/>
    <w:rsid w:val="2CDB0D06"/>
    <w:rsid w:val="2D3135A3"/>
    <w:rsid w:val="2D476B34"/>
    <w:rsid w:val="30550CCF"/>
    <w:rsid w:val="309159DD"/>
    <w:rsid w:val="31A342F6"/>
    <w:rsid w:val="31D6527B"/>
    <w:rsid w:val="3253123E"/>
    <w:rsid w:val="32AA7E51"/>
    <w:rsid w:val="3358616F"/>
    <w:rsid w:val="33AD318F"/>
    <w:rsid w:val="33D85EF6"/>
    <w:rsid w:val="34150651"/>
    <w:rsid w:val="348D0957"/>
    <w:rsid w:val="36CD5835"/>
    <w:rsid w:val="372E5849"/>
    <w:rsid w:val="37AE5168"/>
    <w:rsid w:val="38AE2026"/>
    <w:rsid w:val="3ADA379A"/>
    <w:rsid w:val="3B6404D5"/>
    <w:rsid w:val="3C441C8D"/>
    <w:rsid w:val="3C7C2D49"/>
    <w:rsid w:val="3E0E070F"/>
    <w:rsid w:val="3E487287"/>
    <w:rsid w:val="3F405BA5"/>
    <w:rsid w:val="4151103E"/>
    <w:rsid w:val="41F76132"/>
    <w:rsid w:val="421436E2"/>
    <w:rsid w:val="42B605BA"/>
    <w:rsid w:val="44E4041B"/>
    <w:rsid w:val="471600E5"/>
    <w:rsid w:val="49DA74A0"/>
    <w:rsid w:val="4A627CBD"/>
    <w:rsid w:val="4B323687"/>
    <w:rsid w:val="4D5819A6"/>
    <w:rsid w:val="4F7E4914"/>
    <w:rsid w:val="51027081"/>
    <w:rsid w:val="51B873C2"/>
    <w:rsid w:val="52190D29"/>
    <w:rsid w:val="551718E8"/>
    <w:rsid w:val="579E5E27"/>
    <w:rsid w:val="5A1E534A"/>
    <w:rsid w:val="5AED1923"/>
    <w:rsid w:val="5C2E5FB3"/>
    <w:rsid w:val="5CDE609F"/>
    <w:rsid w:val="5D1C12D3"/>
    <w:rsid w:val="5D9B0932"/>
    <w:rsid w:val="5F5345B9"/>
    <w:rsid w:val="63091ABB"/>
    <w:rsid w:val="66A62D89"/>
    <w:rsid w:val="6919609E"/>
    <w:rsid w:val="69BD10B7"/>
    <w:rsid w:val="69F60213"/>
    <w:rsid w:val="6B80404A"/>
    <w:rsid w:val="6C2B1DC9"/>
    <w:rsid w:val="6D611D5A"/>
    <w:rsid w:val="6D7C5FAF"/>
    <w:rsid w:val="6E7E0F99"/>
    <w:rsid w:val="6F9A42D9"/>
    <w:rsid w:val="6FB1735A"/>
    <w:rsid w:val="6FDF0020"/>
    <w:rsid w:val="6FFD54E0"/>
    <w:rsid w:val="71542301"/>
    <w:rsid w:val="716B31A7"/>
    <w:rsid w:val="71A2151C"/>
    <w:rsid w:val="71ED41B4"/>
    <w:rsid w:val="7298621E"/>
    <w:rsid w:val="72A5093A"/>
    <w:rsid w:val="755558D6"/>
    <w:rsid w:val="764D1887"/>
    <w:rsid w:val="77F91893"/>
    <w:rsid w:val="784629F4"/>
    <w:rsid w:val="790740FD"/>
    <w:rsid w:val="79707BF1"/>
    <w:rsid w:val="79AB54CA"/>
    <w:rsid w:val="7BE401F8"/>
    <w:rsid w:val="7CF94691"/>
    <w:rsid w:val="7D352735"/>
    <w:rsid w:val="7E560F7B"/>
    <w:rsid w:val="7EC7699A"/>
    <w:rsid w:val="7F5965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640" w:firstLineChars="200"/>
      <w:jc w:val="both"/>
    </w:pPr>
    <w:rPr>
      <w:rFonts w:ascii="仿宋_GB2312" w:hAnsi="仿宋_GB2312" w:eastAsia="仿宋_GB2312" w:cs="仿宋_GB2312"/>
      <w:kern w:val="2"/>
      <w:sz w:val="32"/>
      <w:szCs w:val="32"/>
      <w:lang w:val="en-US" w:eastAsia="zh-CN" w:bidi="ar-SA"/>
    </w:rPr>
  </w:style>
  <w:style w:type="paragraph" w:styleId="3">
    <w:name w:val="heading 1"/>
    <w:basedOn w:val="1"/>
    <w:next w:val="1"/>
    <w:qFormat/>
    <w:uiPriority w:val="0"/>
    <w:pPr>
      <w:keepNext/>
      <w:keepLines/>
      <w:spacing w:line="600" w:lineRule="exact"/>
      <w:ind w:firstLine="0" w:firstLineChars="0"/>
      <w:jc w:val="center"/>
      <w:outlineLvl w:val="0"/>
    </w:pPr>
    <w:rPr>
      <w:rFonts w:eastAsia="方正小标宋简体"/>
      <w:kern w:val="44"/>
      <w:sz w:val="44"/>
    </w:rPr>
  </w:style>
  <w:style w:type="paragraph" w:styleId="2">
    <w:name w:val="heading 2"/>
    <w:basedOn w:val="1"/>
    <w:next w:val="1"/>
    <w:link w:val="15"/>
    <w:unhideWhenUsed/>
    <w:qFormat/>
    <w:uiPriority w:val="0"/>
    <w:pPr>
      <w:keepNext/>
      <w:keepLines/>
      <w:ind w:firstLine="883"/>
      <w:jc w:val="left"/>
      <w:outlineLvl w:val="1"/>
    </w:pPr>
    <w:rPr>
      <w:rFonts w:ascii="Arial" w:hAnsi="Arial" w:eastAsia="黑体" w:cs="Times New Roman"/>
      <w:szCs w:val="24"/>
    </w:rPr>
  </w:style>
  <w:style w:type="paragraph" w:styleId="4">
    <w:name w:val="heading 3"/>
    <w:basedOn w:val="1"/>
    <w:next w:val="1"/>
    <w:link w:val="14"/>
    <w:unhideWhenUsed/>
    <w:qFormat/>
    <w:uiPriority w:val="0"/>
    <w:pPr>
      <w:keepNext/>
      <w:keepLines/>
      <w:ind w:firstLine="632"/>
      <w:outlineLvl w:val="2"/>
    </w:pPr>
    <w:rPr>
      <w:rFonts w:ascii="Times New Roman" w:hAnsi="Times New Roman" w:eastAsia="楷体_GB2312" w:cstheme="minorBidi"/>
      <w:szCs w:val="2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Body Text Indent"/>
    <w:basedOn w:val="1"/>
    <w:qFormat/>
    <w:uiPriority w:val="0"/>
    <w:pPr>
      <w:spacing w:after="120"/>
      <w:ind w:left="420" w:leftChars="200"/>
    </w:pPr>
  </w:style>
  <w:style w:type="paragraph" w:styleId="6">
    <w:name w:val="Plain Text"/>
    <w:basedOn w:val="1"/>
    <w:qFormat/>
    <w:uiPriority w:val="0"/>
    <w:rPr>
      <w:rFonts w:ascii="宋体" w:hAnsi="Courier New"/>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0">
    <w:name w:val="Body Text First Indent 2"/>
    <w:basedOn w:val="5"/>
    <w:qFormat/>
    <w:uiPriority w:val="0"/>
    <w:pPr>
      <w:ind w:left="0" w:leftChars="0" w:firstLine="420"/>
    </w:pPr>
  </w:style>
  <w:style w:type="paragraph" w:customStyle="1" w:styleId="13">
    <w:name w:val="Heading1"/>
    <w:basedOn w:val="1"/>
    <w:next w:val="1"/>
    <w:qFormat/>
    <w:uiPriority w:val="0"/>
    <w:pPr>
      <w:keepNext/>
      <w:keepLines/>
      <w:spacing w:before="100" w:after="100" w:line="580" w:lineRule="exact"/>
      <w:ind w:firstLine="880"/>
      <w:textAlignment w:val="baseline"/>
    </w:pPr>
    <w:rPr>
      <w:rFonts w:eastAsia="黑体"/>
      <w:bCs/>
      <w:kern w:val="44"/>
      <w:szCs w:val="44"/>
    </w:rPr>
  </w:style>
  <w:style w:type="character" w:customStyle="1" w:styleId="14">
    <w:name w:val="标题 3 字符"/>
    <w:link w:val="4"/>
    <w:qFormat/>
    <w:uiPriority w:val="0"/>
    <w:rPr>
      <w:rFonts w:ascii="Times New Roman" w:hAnsi="Times New Roman" w:eastAsia="楷体_GB2312" w:cstheme="minorBidi"/>
      <w:sz w:val="32"/>
      <w:szCs w:val="22"/>
    </w:rPr>
  </w:style>
  <w:style w:type="character" w:customStyle="1" w:styleId="15">
    <w:name w:val="标题 2 字符"/>
    <w:link w:val="2"/>
    <w:qFormat/>
    <w:uiPriority w:val="0"/>
    <w:rPr>
      <w:rFonts w:ascii="Arial" w:hAnsi="Arial" w:eastAsia="黑体" w:cs="Times New Roman"/>
      <w:sz w:val="32"/>
      <w:szCs w:val="24"/>
    </w:rPr>
  </w:style>
  <w:style w:type="paragraph" w:customStyle="1" w:styleId="16">
    <w:name w:val="正文 New New New New New New New New New New New New New New New New"/>
    <w:basedOn w:val="1"/>
    <w:qFormat/>
    <w:uiPriority w:val="0"/>
  </w:style>
  <w:style w:type="paragraph" w:customStyle="1" w:styleId="17">
    <w:name w:val="Revision"/>
    <w:hidden/>
    <w:unhideWhenUsed/>
    <w:qFormat/>
    <w:uiPriority w:val="99"/>
    <w:rPr>
      <w:rFonts w:ascii="仿宋_GB2312" w:hAnsi="仿宋_GB2312" w:eastAsia="仿宋_GB2312" w:cs="仿宋_GB2312"/>
      <w:kern w:val="2"/>
      <w:sz w:val="32"/>
      <w:szCs w:val="32"/>
      <w:lang w:val="en-US" w:eastAsia="zh-CN" w:bidi="ar-SA"/>
    </w:rPr>
  </w:style>
  <w:style w:type="paragraph" w:customStyle="1" w:styleId="18">
    <w:name w:val="p0 New New"/>
    <w:basedOn w:val="19"/>
    <w:qFormat/>
    <w:uiPriority w:val="0"/>
    <w:pPr>
      <w:widowControl/>
      <w:spacing w:line="365" w:lineRule="atLeast"/>
      <w:ind w:left="1"/>
    </w:pPr>
    <w:rPr>
      <w:kern w:val="0"/>
      <w:sz w:val="20"/>
    </w:rPr>
  </w:style>
  <w:style w:type="paragraph" w:customStyle="1" w:styleId="19">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1">
    <w:name w:val="不明显强调1"/>
    <w:basedOn w:val="12"/>
    <w:qFormat/>
    <w:uiPriority w:val="19"/>
    <w:rPr>
      <w:i/>
      <w:iCs/>
      <w:color w:val="7F7F7F"/>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11527</Words>
  <Characters>12098</Characters>
  <Lines>58</Lines>
  <Paragraphs>16</Paragraphs>
  <TotalTime>23</TotalTime>
  <ScaleCrop>false</ScaleCrop>
  <LinksUpToDate>false</LinksUpToDate>
  <CharactersWithSpaces>12101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2023-09-23T20:01:00Z</dcterms:created>
  <dc:creator>小螺丝</dc:creator>
  <cp:lastModifiedBy>韩.</cp:lastModifiedBy>
  <cp:lastPrinted>2023-10-27T08:16:00Z</cp:lastPrinted>
  <dcterms:modified xsi:type="dcterms:W3CDTF">2023-10-27T08:49:34Z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5810765747DA4BADA14F0BBA41E9A4E2_13</vt:lpwstr>
  </property>
</Properties>
</file>